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黑体" w:eastAsia="方正小标宋简体"/>
          <w:sz w:val="44"/>
          <w:szCs w:val="44"/>
        </w:rPr>
      </w:pPr>
    </w:p>
    <w:p>
      <w:pPr>
        <w:spacing w:line="600" w:lineRule="exact"/>
        <w:jc w:val="center"/>
        <w:rPr>
          <w:rFonts w:hint="eastAsia" w:ascii="方正小标宋简体" w:hAnsi="黑体" w:eastAsia="方正小标宋简体"/>
          <w:sz w:val="44"/>
          <w:szCs w:val="44"/>
        </w:rPr>
      </w:pPr>
    </w:p>
    <w:p>
      <w:pPr>
        <w:spacing w:line="360" w:lineRule="auto"/>
        <w:jc w:val="center"/>
        <w:rPr>
          <w:rFonts w:ascii="方正小标宋简体" w:hAnsi="方正小标宋简体" w:eastAsia="方正小标宋简体" w:cs="方正小标宋简体"/>
          <w:b/>
          <w:bCs/>
          <w:spacing w:val="20"/>
          <w:sz w:val="52"/>
          <w:szCs w:val="52"/>
        </w:rPr>
      </w:pPr>
      <w:bookmarkStart w:id="621" w:name="_GoBack"/>
      <w:r>
        <w:rPr>
          <w:rFonts w:hint="eastAsia" w:ascii="方正小标宋简体" w:hAnsi="方正小标宋简体" w:eastAsia="方正小标宋简体" w:cs="方正小标宋简体"/>
          <w:b/>
          <w:bCs/>
          <w:spacing w:val="20"/>
          <w:sz w:val="52"/>
          <w:szCs w:val="52"/>
        </w:rPr>
        <w:t>税费政策助力产业</w:t>
      </w:r>
      <w:r>
        <w:rPr>
          <w:rFonts w:hint="eastAsia" w:ascii="方正小标宋简体" w:hAnsi="方正小标宋简体" w:eastAsia="方正小标宋简体" w:cs="方正小标宋简体"/>
          <w:b/>
          <w:bCs/>
          <w:spacing w:val="20"/>
          <w:sz w:val="52"/>
          <w:szCs w:val="52"/>
          <w:lang w:eastAsia="zh-CN"/>
        </w:rPr>
        <w:t>发展系列手册</w:t>
      </w:r>
      <w:bookmarkEnd w:id="621"/>
    </w:p>
    <w:p>
      <w:pPr>
        <w:spacing w:line="360" w:lineRule="auto"/>
        <w:jc w:val="center"/>
        <w:outlineLvl w:val="0"/>
        <w:rPr>
          <w:rFonts w:hint="eastAsia" w:ascii="方正小标宋简体" w:hAnsi="方正小标宋简体" w:eastAsia="方正小标宋简体" w:cs="方正小标宋简体"/>
          <w:spacing w:val="20"/>
          <w:sz w:val="32"/>
          <w:szCs w:val="32"/>
        </w:rPr>
      </w:pPr>
      <w:bookmarkStart w:id="0" w:name="_Toc21462"/>
      <w:bookmarkStart w:id="1" w:name="_Toc30613"/>
      <w:bookmarkStart w:id="2" w:name="_Toc31527"/>
      <w:bookmarkStart w:id="3" w:name="_Toc31144"/>
      <w:bookmarkStart w:id="4" w:name="_Toc9298"/>
      <w:bookmarkStart w:id="5" w:name="_Toc22457"/>
      <w:bookmarkStart w:id="6" w:name="_Toc4551"/>
      <w:bookmarkStart w:id="7" w:name="_Toc446"/>
      <w:bookmarkStart w:id="8" w:name="_Toc28696"/>
      <w:bookmarkStart w:id="9" w:name="_Toc26680"/>
      <w:bookmarkStart w:id="10" w:name="_Toc11336"/>
    </w:p>
    <w:p>
      <w:pPr>
        <w:spacing w:line="360" w:lineRule="auto"/>
        <w:jc w:val="center"/>
        <w:outlineLvl w:val="0"/>
        <w:rPr>
          <w:rFonts w:ascii="方正小标宋简体" w:hAnsi="方正小标宋简体" w:eastAsia="方正小标宋简体" w:cs="方正小标宋简体"/>
          <w:spacing w:val="20"/>
          <w:sz w:val="44"/>
          <w:szCs w:val="44"/>
        </w:rPr>
      </w:pPr>
      <w:bookmarkStart w:id="11" w:name="_Toc28658"/>
      <w:bookmarkStart w:id="12" w:name="_Toc17444"/>
      <w:r>
        <w:rPr>
          <w:rFonts w:hint="eastAsia" w:ascii="方正小标宋简体" w:hAnsi="方正小标宋简体" w:eastAsia="方正小标宋简体" w:cs="方正小标宋简体"/>
          <w:spacing w:val="20"/>
          <w:sz w:val="44"/>
          <w:szCs w:val="44"/>
        </w:rPr>
        <w:t>（</w:t>
      </w:r>
      <w:r>
        <w:rPr>
          <w:rFonts w:hint="eastAsia" w:ascii="方正小标宋简体" w:hAnsi="方正小标宋简体" w:eastAsia="方正小标宋简体" w:cs="方正小标宋简体"/>
          <w:spacing w:val="20"/>
          <w:sz w:val="44"/>
          <w:szCs w:val="44"/>
          <w:lang w:eastAsia="zh-CN"/>
        </w:rPr>
        <w:t>金属智造</w:t>
      </w:r>
      <w:r>
        <w:rPr>
          <w:rFonts w:hint="eastAsia" w:ascii="方正小标宋简体" w:hAnsi="方正小标宋简体" w:eastAsia="方正小标宋简体" w:cs="方正小标宋简体"/>
          <w:spacing w:val="20"/>
          <w:sz w:val="44"/>
          <w:szCs w:val="44"/>
        </w:rPr>
        <w:t>）</w:t>
      </w:r>
      <w:bookmarkEnd w:id="0"/>
      <w:bookmarkEnd w:id="1"/>
      <w:bookmarkEnd w:id="2"/>
      <w:bookmarkEnd w:id="3"/>
      <w:bookmarkEnd w:id="4"/>
      <w:bookmarkEnd w:id="5"/>
      <w:bookmarkEnd w:id="6"/>
      <w:bookmarkEnd w:id="7"/>
      <w:bookmarkEnd w:id="8"/>
      <w:bookmarkEnd w:id="9"/>
      <w:bookmarkEnd w:id="10"/>
      <w:bookmarkEnd w:id="11"/>
      <w:bookmarkEnd w:id="12"/>
    </w:p>
    <w:p>
      <w:pPr>
        <w:spacing w:line="360" w:lineRule="auto"/>
        <w:jc w:val="center"/>
        <w:outlineLvl w:val="0"/>
        <w:rPr>
          <w:rFonts w:hint="eastAsia" w:ascii="方正小标宋简体" w:hAnsi="方正小标宋简体" w:eastAsia="方正小标宋简体" w:cs="方正小标宋简体"/>
          <w:spacing w:val="20"/>
          <w:sz w:val="32"/>
          <w:szCs w:val="32"/>
        </w:rPr>
      </w:pPr>
      <w:bookmarkStart w:id="13" w:name="_Toc8382"/>
      <w:bookmarkStart w:id="14" w:name="_Toc15721"/>
      <w:bookmarkStart w:id="15" w:name="_Toc19640"/>
      <w:bookmarkStart w:id="16" w:name="_Toc27608"/>
      <w:bookmarkStart w:id="17" w:name="_Toc14230"/>
      <w:bookmarkStart w:id="18" w:name="_Toc14091"/>
      <w:bookmarkStart w:id="19" w:name="_Toc8253"/>
      <w:bookmarkStart w:id="20" w:name="_Toc20587"/>
      <w:bookmarkStart w:id="21" w:name="_Toc1629"/>
      <w:bookmarkStart w:id="22" w:name="_Toc23168"/>
      <w:bookmarkStart w:id="23" w:name="_Toc1029"/>
      <w:bookmarkStart w:id="24" w:name="_Toc18185"/>
      <w:bookmarkStart w:id="25" w:name="_Toc28046"/>
      <w:bookmarkStart w:id="26" w:name="_Toc3760"/>
    </w:p>
    <w:p>
      <w:pPr>
        <w:spacing w:line="360" w:lineRule="auto"/>
        <w:jc w:val="center"/>
        <w:outlineLvl w:val="0"/>
        <w:rPr>
          <w:rFonts w:hint="eastAsia" w:ascii="方正小标宋简体" w:hAnsi="方正小标宋简体" w:eastAsia="方正小标宋简体" w:cs="方正小标宋简体"/>
          <w:spacing w:val="20"/>
          <w:sz w:val="32"/>
          <w:szCs w:val="32"/>
        </w:rPr>
      </w:pPr>
    </w:p>
    <w:p>
      <w:pPr>
        <w:spacing w:line="360" w:lineRule="auto"/>
        <w:jc w:val="center"/>
        <w:outlineLvl w:val="0"/>
        <w:rPr>
          <w:rFonts w:hint="eastAsia" w:ascii="方正小标宋简体" w:hAnsi="方正小标宋简体" w:eastAsia="方正小标宋简体" w:cs="方正小标宋简体"/>
          <w:spacing w:val="20"/>
          <w:sz w:val="32"/>
          <w:szCs w:val="32"/>
        </w:rPr>
      </w:pPr>
    </w:p>
    <w:p>
      <w:pPr>
        <w:spacing w:line="360" w:lineRule="auto"/>
        <w:jc w:val="center"/>
        <w:outlineLvl w:val="0"/>
        <w:rPr>
          <w:rFonts w:hint="eastAsia" w:ascii="方正小标宋简体" w:hAnsi="方正小标宋简体" w:eastAsia="方正小标宋简体" w:cs="方正小标宋简体"/>
          <w:spacing w:val="20"/>
          <w:sz w:val="32"/>
          <w:szCs w:val="32"/>
        </w:rPr>
      </w:pPr>
    </w:p>
    <w:p>
      <w:pPr>
        <w:spacing w:line="360" w:lineRule="auto"/>
        <w:jc w:val="center"/>
        <w:outlineLvl w:val="0"/>
        <w:rPr>
          <w:rFonts w:hint="eastAsia" w:ascii="方正小标宋简体" w:hAnsi="方正小标宋简体" w:eastAsia="方正小标宋简体" w:cs="方正小标宋简体"/>
          <w:spacing w:val="20"/>
          <w:sz w:val="32"/>
          <w:szCs w:val="32"/>
        </w:rPr>
      </w:pPr>
    </w:p>
    <w:p>
      <w:pPr>
        <w:spacing w:line="360" w:lineRule="auto"/>
        <w:jc w:val="center"/>
        <w:outlineLvl w:val="0"/>
        <w:rPr>
          <w:rFonts w:hint="eastAsia" w:ascii="方正小标宋简体" w:hAnsi="方正小标宋简体" w:eastAsia="方正小标宋简体" w:cs="方正小标宋简体"/>
          <w:spacing w:val="20"/>
          <w:sz w:val="32"/>
          <w:szCs w:val="32"/>
        </w:rPr>
      </w:pPr>
    </w:p>
    <w:p>
      <w:pPr>
        <w:spacing w:line="360" w:lineRule="auto"/>
        <w:jc w:val="center"/>
        <w:outlineLvl w:val="0"/>
        <w:rPr>
          <w:rFonts w:hint="eastAsia" w:ascii="方正小标宋简体" w:hAnsi="方正小标宋简体" w:eastAsia="方正小标宋简体" w:cs="方正小标宋简体"/>
          <w:spacing w:val="20"/>
          <w:sz w:val="32"/>
          <w:szCs w:val="32"/>
        </w:rPr>
      </w:pPr>
    </w:p>
    <w:p>
      <w:pPr>
        <w:spacing w:line="360" w:lineRule="auto"/>
        <w:jc w:val="center"/>
        <w:outlineLvl w:val="0"/>
        <w:rPr>
          <w:rFonts w:hint="eastAsia" w:ascii="方正小标宋简体" w:hAnsi="方正小标宋简体" w:eastAsia="方正小标宋简体" w:cs="方正小标宋简体"/>
          <w:spacing w:val="20"/>
          <w:sz w:val="32"/>
          <w:szCs w:val="32"/>
        </w:rPr>
      </w:pPr>
    </w:p>
    <w:p>
      <w:pPr>
        <w:spacing w:line="360" w:lineRule="auto"/>
        <w:jc w:val="center"/>
        <w:outlineLvl w:val="0"/>
        <w:rPr>
          <w:rFonts w:hint="eastAsia" w:ascii="方正小标宋简体" w:hAnsi="方正小标宋简体" w:eastAsia="方正小标宋简体" w:cs="方正小标宋简体"/>
          <w:spacing w:val="20"/>
          <w:sz w:val="32"/>
          <w:szCs w:val="32"/>
        </w:rPr>
      </w:pPr>
    </w:p>
    <w:p>
      <w:pPr>
        <w:spacing w:line="360" w:lineRule="auto"/>
        <w:jc w:val="center"/>
        <w:outlineLvl w:val="0"/>
        <w:rPr>
          <w:rFonts w:hint="eastAsia" w:ascii="方正小标宋简体" w:hAnsi="方正小标宋简体" w:eastAsia="方正小标宋简体" w:cs="方正小标宋简体"/>
          <w:spacing w:val="20"/>
          <w:sz w:val="32"/>
          <w:szCs w:val="32"/>
        </w:rPr>
      </w:pPr>
    </w:p>
    <w:p>
      <w:pPr>
        <w:spacing w:line="360" w:lineRule="auto"/>
        <w:jc w:val="center"/>
        <w:outlineLvl w:val="0"/>
        <w:rPr>
          <w:rFonts w:hint="eastAsia" w:ascii="方正小标宋简体" w:hAnsi="方正小标宋简体" w:eastAsia="方正小标宋简体" w:cs="方正小标宋简体"/>
          <w:spacing w:val="20"/>
          <w:sz w:val="36"/>
          <w:szCs w:val="36"/>
        </w:rPr>
      </w:pPr>
    </w:p>
    <w:p>
      <w:pPr>
        <w:spacing w:line="360" w:lineRule="auto"/>
        <w:jc w:val="center"/>
        <w:outlineLvl w:val="0"/>
        <w:rPr>
          <w:rFonts w:hint="eastAsia" w:ascii="方正小标宋简体" w:hAnsi="方正小标宋简体" w:eastAsia="方正小标宋简体" w:cs="方正小标宋简体"/>
          <w:spacing w:val="20"/>
          <w:sz w:val="36"/>
          <w:szCs w:val="36"/>
        </w:rPr>
      </w:pPr>
    </w:p>
    <w:p>
      <w:pPr>
        <w:spacing w:line="360" w:lineRule="auto"/>
        <w:jc w:val="center"/>
        <w:outlineLvl w:val="0"/>
        <w:rPr>
          <w:rFonts w:ascii="方正小标宋简体" w:hAnsi="方正小标宋简体" w:eastAsia="方正小标宋简体" w:cs="方正小标宋简体"/>
          <w:spacing w:val="20"/>
          <w:sz w:val="36"/>
          <w:szCs w:val="36"/>
        </w:rPr>
      </w:pPr>
      <w:bookmarkStart w:id="27" w:name="_Toc31923"/>
      <w:bookmarkStart w:id="28" w:name="_Toc29225"/>
      <w:r>
        <w:rPr>
          <w:rFonts w:hint="eastAsia" w:ascii="方正小标宋简体" w:hAnsi="方正小标宋简体" w:eastAsia="方正小标宋简体" w:cs="方正小标宋简体"/>
          <w:spacing w:val="20"/>
          <w:sz w:val="36"/>
          <w:szCs w:val="36"/>
        </w:rPr>
        <w:t>国家税务总局云浮市税务局</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pPr>
        <w:spacing w:line="600" w:lineRule="exact"/>
        <w:jc w:val="center"/>
        <w:rPr>
          <w:rFonts w:hint="default" w:ascii="方正小标宋简体" w:hAnsi="黑体" w:eastAsia="方正小标宋简体"/>
          <w:sz w:val="32"/>
          <w:szCs w:val="32"/>
          <w:lang w:val="en-US" w:eastAsia="zh-CN"/>
        </w:rPr>
      </w:pPr>
      <w:r>
        <w:rPr>
          <w:rFonts w:hint="eastAsia" w:ascii="方正小标宋简体" w:hAnsi="黑体" w:eastAsia="方正小标宋简体"/>
          <w:sz w:val="32"/>
          <w:szCs w:val="32"/>
          <w:lang w:val="en-US" w:eastAsia="zh-CN"/>
        </w:rPr>
        <w:t>2022年7月</w:t>
      </w: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32"/>
          <w:szCs w:val="32"/>
        </w:rPr>
      </w:pP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32"/>
          <w:szCs w:val="32"/>
        </w:rPr>
      </w:pPr>
    </w:p>
    <w:sdt>
      <w:sdtPr>
        <w:rPr>
          <w:rFonts w:hint="eastAsia" w:ascii="黑体" w:hAnsi="黑体" w:eastAsia="黑体" w:cs="黑体"/>
          <w:b/>
          <w:kern w:val="2"/>
          <w:sz w:val="36"/>
          <w:szCs w:val="36"/>
          <w:lang w:val="en-US" w:eastAsia="zh-CN" w:bidi="ar-SA"/>
        </w:rPr>
        <w:id w:val="147480397"/>
        <w15:color w:val="DBDBDB"/>
        <w:docPartObj>
          <w:docPartGallery w:val="Table of Contents"/>
          <w:docPartUnique/>
        </w:docPartObj>
      </w:sdtPr>
      <w:sdtEndPr>
        <w:rPr>
          <w:rFonts w:hint="eastAsia" w:ascii="宋体" w:hAnsi="宋体" w:eastAsia="宋体" w:cs="宋体"/>
          <w:b w:val="0"/>
          <w:bCs/>
          <w:kern w:val="0"/>
          <w:sz w:val="28"/>
          <w:szCs w:val="28"/>
          <w:lang w:val="en-US" w:eastAsia="zh-CN" w:bidi="ar-SA"/>
        </w:rPr>
      </w:sdtEndPr>
      <w:sdtContent>
        <w:p>
          <w:pPr>
            <w:pStyle w:val="12"/>
            <w:widowControl/>
            <w:tabs>
              <w:tab w:val="right" w:leader="dot" w:pos="8306"/>
            </w:tabs>
            <w:jc w:val="center"/>
            <w:rPr>
              <w:rFonts w:hint="eastAsia" w:ascii="宋体" w:hAnsi="宋体" w:eastAsia="宋体" w:cs="宋体"/>
              <w:b w:val="0"/>
              <w:bCs/>
              <w:kern w:val="0"/>
              <w:sz w:val="28"/>
              <w:szCs w:val="28"/>
              <w:lang w:val="en-US" w:eastAsia="zh-CN" w:bidi="ar-SA"/>
            </w:rPr>
          </w:pPr>
          <w:r>
            <w:rPr>
              <w:rFonts w:hint="eastAsia" w:ascii="黑体" w:hAnsi="黑体" w:eastAsia="黑体" w:cs="黑体"/>
              <w:b/>
              <w:kern w:val="2"/>
              <w:sz w:val="36"/>
              <w:szCs w:val="36"/>
              <w:lang w:val="en-US" w:eastAsia="zh-CN" w:bidi="ar-SA"/>
            </w:rPr>
            <w:t>目 录</w:t>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TOC \o "1-3" \h \u </w:instrText>
          </w:r>
          <w:r>
            <w:rPr>
              <w:rFonts w:hint="eastAsia" w:ascii="宋体" w:hAnsi="宋体" w:eastAsia="宋体" w:cs="宋体"/>
              <w:b w:val="0"/>
              <w:bCs/>
              <w:kern w:val="0"/>
              <w:sz w:val="28"/>
              <w:szCs w:val="28"/>
              <w:lang w:val="en-US" w:eastAsia="zh-CN"/>
            </w:rPr>
            <w:fldChar w:fldCharType="separate"/>
          </w:r>
        </w:p>
        <w:p>
          <w:pPr>
            <w:pStyle w:val="12"/>
            <w:tabs>
              <w:tab w:val="right" w:leader="dot" w:pos="8306"/>
            </w:tabs>
          </w:pPr>
          <w:r>
            <w:rPr>
              <w:rFonts w:hint="eastAsia" w:ascii="宋体" w:hAnsi="宋体" w:eastAsia="宋体" w:cs="宋体"/>
              <w:b w:val="0"/>
              <w:bCs w:val="0"/>
              <w:kern w:val="2"/>
              <w:sz w:val="28"/>
              <w:szCs w:val="28"/>
              <w:lang w:val="en-US" w:eastAsia="zh-CN"/>
            </w:rPr>
            <w:fldChar w:fldCharType="begin"/>
          </w:r>
          <w:r>
            <w:rPr>
              <w:rFonts w:hint="eastAsia" w:ascii="宋体" w:hAnsi="宋体" w:eastAsia="宋体" w:cs="宋体"/>
              <w:b w:val="0"/>
              <w:bCs w:val="0"/>
              <w:kern w:val="2"/>
              <w:sz w:val="28"/>
              <w:szCs w:val="28"/>
              <w:lang w:val="en-US" w:eastAsia="zh-CN"/>
            </w:rPr>
            <w:instrText xml:space="preserve"> HYPERLINK \l _Toc150 </w:instrText>
          </w:r>
          <w:r>
            <w:rPr>
              <w:rFonts w:hint="eastAsia" w:ascii="宋体" w:hAnsi="宋体" w:eastAsia="宋体" w:cs="宋体"/>
              <w:b w:val="0"/>
              <w:bCs w:val="0"/>
              <w:kern w:val="2"/>
              <w:sz w:val="28"/>
              <w:szCs w:val="28"/>
              <w:lang w:val="en-US" w:eastAsia="zh-CN"/>
            </w:rPr>
            <w:fldChar w:fldCharType="separate"/>
          </w:r>
          <w:r>
            <w:rPr>
              <w:rFonts w:hint="eastAsia" w:ascii="宋体" w:hAnsi="宋体" w:eastAsia="宋体" w:cs="宋体"/>
              <w:b w:val="0"/>
              <w:bCs w:val="0"/>
              <w:kern w:val="2"/>
              <w:sz w:val="28"/>
              <w:szCs w:val="28"/>
              <w:lang w:val="en-US" w:eastAsia="zh-CN"/>
            </w:rPr>
            <w:t>前 言</w:t>
          </w:r>
          <w:r>
            <w:rPr>
              <w:rFonts w:hint="eastAsia" w:ascii="宋体" w:hAnsi="宋体" w:eastAsia="宋体" w:cs="宋体"/>
              <w:b w:val="0"/>
              <w:bCs w:val="0"/>
              <w:kern w:val="2"/>
              <w:sz w:val="28"/>
              <w:szCs w:val="28"/>
              <w:lang w:val="en-US" w:eastAsia="zh-CN"/>
            </w:rPr>
            <w:tab/>
          </w:r>
          <w:r>
            <w:rPr>
              <w:rFonts w:hint="eastAsia" w:ascii="宋体" w:hAnsi="宋体" w:cs="宋体"/>
              <w:b w:val="0"/>
              <w:bCs w:val="0"/>
              <w:kern w:val="2"/>
              <w:sz w:val="28"/>
              <w:szCs w:val="28"/>
              <w:lang w:val="en-US" w:eastAsia="zh-CN"/>
            </w:rPr>
            <w:t>1</w:t>
          </w:r>
          <w:r>
            <w:rPr>
              <w:rFonts w:hint="eastAsia" w:ascii="宋体" w:hAnsi="宋体" w:eastAsia="宋体" w:cs="宋体"/>
              <w:b w:val="0"/>
              <w:bCs w:val="0"/>
              <w:kern w:val="2"/>
              <w:sz w:val="28"/>
              <w:szCs w:val="28"/>
              <w:lang w:val="en-US" w:eastAsia="zh-CN"/>
            </w:rPr>
            <w:fldChar w:fldCharType="end"/>
          </w:r>
        </w:p>
        <w:p>
          <w:pPr>
            <w:pStyle w:val="12"/>
            <w:widowControl w:val="0"/>
            <w:tabs>
              <w:tab w:val="right" w:leader="dot" w:pos="8306"/>
            </w:tabs>
            <w:ind w:left="0"/>
            <w:rPr>
              <w:rFonts w:hint="eastAsia" w:ascii="黑体" w:hAnsi="黑体" w:eastAsia="黑体" w:cs="黑体"/>
              <w:b/>
              <w:bCs/>
              <w:kern w:val="44"/>
              <w:sz w:val="28"/>
              <w:szCs w:val="28"/>
              <w:lang w:val="en-US" w:eastAsia="zh-CN" w:bidi="ar-SA"/>
            </w:rPr>
          </w:pPr>
          <w:r>
            <w:rPr>
              <w:rFonts w:hint="eastAsia" w:ascii="黑体" w:hAnsi="黑体" w:eastAsia="黑体" w:cs="黑体"/>
              <w:b/>
              <w:bCs/>
              <w:kern w:val="44"/>
              <w:sz w:val="28"/>
              <w:szCs w:val="28"/>
              <w:lang w:val="en-US" w:eastAsia="zh-CN" w:bidi="ar-SA"/>
            </w:rPr>
            <w:fldChar w:fldCharType="begin"/>
          </w:r>
          <w:r>
            <w:rPr>
              <w:rFonts w:hint="eastAsia" w:ascii="黑体" w:hAnsi="黑体" w:eastAsia="黑体" w:cs="黑体"/>
              <w:b/>
              <w:bCs/>
              <w:kern w:val="44"/>
              <w:sz w:val="28"/>
              <w:szCs w:val="28"/>
              <w:lang w:val="en-US" w:eastAsia="zh-CN" w:bidi="ar-SA"/>
            </w:rPr>
            <w:instrText xml:space="preserve"> HYPERLINK \l _Toc12699 </w:instrText>
          </w:r>
          <w:r>
            <w:rPr>
              <w:rFonts w:hint="eastAsia" w:ascii="黑体" w:hAnsi="黑体" w:eastAsia="黑体" w:cs="黑体"/>
              <w:b/>
              <w:bCs/>
              <w:kern w:val="44"/>
              <w:sz w:val="28"/>
              <w:szCs w:val="28"/>
              <w:lang w:val="en-US" w:eastAsia="zh-CN" w:bidi="ar-SA"/>
            </w:rPr>
            <w:fldChar w:fldCharType="separate"/>
          </w:r>
          <w:r>
            <w:rPr>
              <w:rFonts w:hint="eastAsia" w:ascii="黑体" w:hAnsi="黑体" w:eastAsia="黑体" w:cs="黑体"/>
              <w:b/>
              <w:bCs/>
              <w:kern w:val="44"/>
              <w:sz w:val="28"/>
              <w:szCs w:val="28"/>
              <w:lang w:val="en-US" w:eastAsia="zh-CN" w:bidi="ar-SA"/>
            </w:rPr>
            <w:t>一、金属智造行业生产全链条税费优惠政策</w:t>
          </w:r>
          <w:r>
            <w:rPr>
              <w:rFonts w:hint="eastAsia" w:ascii="黑体" w:hAnsi="黑体" w:eastAsia="黑体" w:cs="黑体"/>
              <w:b/>
              <w:bCs/>
              <w:kern w:val="44"/>
              <w:sz w:val="28"/>
              <w:szCs w:val="28"/>
              <w:lang w:val="en-US" w:eastAsia="zh-CN" w:bidi="ar-SA"/>
            </w:rPr>
            <w:tab/>
          </w:r>
          <w:r>
            <w:rPr>
              <w:rFonts w:hint="eastAsia" w:ascii="黑体" w:hAnsi="黑体" w:eastAsia="黑体" w:cs="黑体"/>
              <w:b/>
              <w:bCs/>
              <w:kern w:val="44"/>
              <w:sz w:val="28"/>
              <w:szCs w:val="28"/>
              <w:lang w:val="en-US" w:eastAsia="zh-CN" w:bidi="ar-SA"/>
            </w:rPr>
            <w:fldChar w:fldCharType="begin"/>
          </w:r>
          <w:r>
            <w:rPr>
              <w:rFonts w:hint="eastAsia" w:ascii="黑体" w:hAnsi="黑体" w:eastAsia="黑体" w:cs="黑体"/>
              <w:b/>
              <w:bCs/>
              <w:kern w:val="44"/>
              <w:sz w:val="28"/>
              <w:szCs w:val="28"/>
              <w:lang w:val="en-US" w:eastAsia="zh-CN" w:bidi="ar-SA"/>
            </w:rPr>
            <w:instrText xml:space="preserve"> PAGEREF _Toc12699 \h </w:instrText>
          </w:r>
          <w:r>
            <w:rPr>
              <w:rFonts w:hint="eastAsia" w:ascii="黑体" w:hAnsi="黑体" w:eastAsia="黑体" w:cs="黑体"/>
              <w:b/>
              <w:bCs/>
              <w:kern w:val="44"/>
              <w:sz w:val="28"/>
              <w:szCs w:val="28"/>
              <w:lang w:val="en-US" w:eastAsia="zh-CN" w:bidi="ar-SA"/>
            </w:rPr>
            <w:fldChar w:fldCharType="separate"/>
          </w:r>
          <w:r>
            <w:rPr>
              <w:rFonts w:hint="eastAsia" w:ascii="黑体" w:hAnsi="黑体" w:eastAsia="黑体" w:cs="黑体"/>
              <w:b/>
              <w:bCs/>
              <w:kern w:val="44"/>
              <w:sz w:val="28"/>
              <w:szCs w:val="28"/>
              <w:lang w:val="en-US" w:eastAsia="zh-CN" w:bidi="ar-SA"/>
            </w:rPr>
            <w:t>1</w:t>
          </w:r>
          <w:r>
            <w:rPr>
              <w:rFonts w:hint="eastAsia" w:ascii="黑体" w:hAnsi="黑体" w:eastAsia="黑体" w:cs="黑体"/>
              <w:b/>
              <w:bCs/>
              <w:kern w:val="44"/>
              <w:sz w:val="28"/>
              <w:szCs w:val="28"/>
              <w:lang w:val="en-US" w:eastAsia="zh-CN" w:bidi="ar-SA"/>
            </w:rPr>
            <w:fldChar w:fldCharType="end"/>
          </w:r>
          <w:r>
            <w:rPr>
              <w:rFonts w:hint="eastAsia" w:ascii="黑体" w:hAnsi="黑体" w:eastAsia="黑体" w:cs="黑体"/>
              <w:b/>
              <w:bCs/>
              <w:kern w:val="44"/>
              <w:sz w:val="28"/>
              <w:szCs w:val="28"/>
              <w:lang w:val="en-US" w:eastAsia="zh-CN" w:bidi="ar-SA"/>
            </w:rPr>
            <w:fldChar w:fldCharType="end"/>
          </w:r>
        </w:p>
        <w:p>
          <w:pPr>
            <w:pStyle w:val="13"/>
            <w:widowControl w:val="0"/>
            <w:tabs>
              <w:tab w:val="right" w:leader="dot" w:pos="8306"/>
            </w:tabs>
            <w:ind w:left="0" w:leftChars="0" w:firstLine="301" w:firstLineChars="100"/>
            <w:jc w:val="both"/>
            <w:rPr>
              <w:rFonts w:hint="eastAsia" w:ascii="楷体" w:hAnsi="楷体" w:eastAsia="楷体" w:cs="楷体"/>
              <w:b/>
              <w:bCs/>
              <w:kern w:val="2"/>
              <w:sz w:val="30"/>
              <w:szCs w:val="30"/>
              <w:lang w:val="en-US" w:eastAsia="zh-CN" w:bidi="ar-SA"/>
            </w:rPr>
          </w:pPr>
          <w:r>
            <w:rPr>
              <w:rFonts w:hint="eastAsia" w:ascii="楷体" w:hAnsi="楷体" w:eastAsia="楷体" w:cs="楷体"/>
              <w:b/>
              <w:bCs/>
              <w:kern w:val="2"/>
              <w:sz w:val="30"/>
              <w:szCs w:val="30"/>
              <w:lang w:val="en-US" w:eastAsia="zh-CN" w:bidi="ar-SA"/>
            </w:rPr>
            <w:fldChar w:fldCharType="begin"/>
          </w:r>
          <w:r>
            <w:rPr>
              <w:rFonts w:hint="eastAsia" w:ascii="楷体" w:hAnsi="楷体" w:eastAsia="楷体" w:cs="楷体"/>
              <w:b/>
              <w:bCs/>
              <w:kern w:val="2"/>
              <w:sz w:val="30"/>
              <w:szCs w:val="30"/>
              <w:lang w:val="en-US" w:eastAsia="zh-CN" w:bidi="ar-SA"/>
            </w:rPr>
            <w:instrText xml:space="preserve"> HYPERLINK \l _Toc3121 </w:instrText>
          </w:r>
          <w:r>
            <w:rPr>
              <w:rFonts w:hint="eastAsia" w:ascii="楷体" w:hAnsi="楷体" w:eastAsia="楷体" w:cs="楷体"/>
              <w:b/>
              <w:bCs/>
              <w:kern w:val="2"/>
              <w:sz w:val="30"/>
              <w:szCs w:val="30"/>
              <w:lang w:val="en-US" w:eastAsia="zh-CN" w:bidi="ar-SA"/>
            </w:rPr>
            <w:fldChar w:fldCharType="separate"/>
          </w:r>
          <w:r>
            <w:rPr>
              <w:rFonts w:hint="eastAsia" w:ascii="楷体" w:hAnsi="楷体" w:eastAsia="楷体" w:cs="楷体"/>
              <w:b/>
              <w:bCs/>
              <w:kern w:val="2"/>
              <w:sz w:val="30"/>
              <w:szCs w:val="30"/>
              <w:lang w:val="en-US" w:eastAsia="zh-CN" w:bidi="ar-SA"/>
            </w:rPr>
            <w:t>（一）筹办环节相关优惠政策</w:t>
          </w:r>
          <w:r>
            <w:rPr>
              <w:rFonts w:hint="eastAsia" w:ascii="楷体" w:hAnsi="楷体" w:eastAsia="楷体" w:cs="楷体"/>
              <w:b/>
              <w:bCs/>
              <w:kern w:val="2"/>
              <w:sz w:val="30"/>
              <w:szCs w:val="30"/>
              <w:lang w:val="en-US" w:eastAsia="zh-CN" w:bidi="ar-SA"/>
            </w:rPr>
            <w:tab/>
          </w:r>
          <w:r>
            <w:rPr>
              <w:rFonts w:hint="eastAsia" w:ascii="楷体" w:hAnsi="楷体" w:eastAsia="楷体" w:cs="楷体"/>
              <w:b/>
              <w:bCs/>
              <w:kern w:val="2"/>
              <w:sz w:val="30"/>
              <w:szCs w:val="30"/>
              <w:lang w:val="en-US" w:eastAsia="zh-CN" w:bidi="ar-SA"/>
            </w:rPr>
            <w:fldChar w:fldCharType="begin"/>
          </w:r>
          <w:r>
            <w:rPr>
              <w:rFonts w:hint="eastAsia" w:ascii="楷体" w:hAnsi="楷体" w:eastAsia="楷体" w:cs="楷体"/>
              <w:b/>
              <w:bCs/>
              <w:kern w:val="2"/>
              <w:sz w:val="30"/>
              <w:szCs w:val="30"/>
              <w:lang w:val="en-US" w:eastAsia="zh-CN" w:bidi="ar-SA"/>
            </w:rPr>
            <w:instrText xml:space="preserve"> PAGEREF _Toc3121 \h </w:instrText>
          </w:r>
          <w:r>
            <w:rPr>
              <w:rFonts w:hint="eastAsia" w:ascii="楷体" w:hAnsi="楷体" w:eastAsia="楷体" w:cs="楷体"/>
              <w:b/>
              <w:bCs/>
              <w:kern w:val="2"/>
              <w:sz w:val="30"/>
              <w:szCs w:val="30"/>
              <w:lang w:val="en-US" w:eastAsia="zh-CN" w:bidi="ar-SA"/>
            </w:rPr>
            <w:fldChar w:fldCharType="separate"/>
          </w:r>
          <w:r>
            <w:rPr>
              <w:rFonts w:hint="eastAsia" w:ascii="楷体" w:hAnsi="楷体" w:eastAsia="楷体" w:cs="楷体"/>
              <w:b/>
              <w:bCs/>
              <w:kern w:val="2"/>
              <w:sz w:val="30"/>
              <w:szCs w:val="30"/>
              <w:lang w:val="en-US" w:eastAsia="zh-CN" w:bidi="ar-SA"/>
            </w:rPr>
            <w:t>1</w:t>
          </w:r>
          <w:r>
            <w:rPr>
              <w:rFonts w:hint="eastAsia" w:ascii="楷体" w:hAnsi="楷体" w:eastAsia="楷体" w:cs="楷体"/>
              <w:b/>
              <w:bCs/>
              <w:kern w:val="2"/>
              <w:sz w:val="30"/>
              <w:szCs w:val="30"/>
              <w:lang w:val="en-US" w:eastAsia="zh-CN" w:bidi="ar-SA"/>
            </w:rPr>
            <w:fldChar w:fldCharType="end"/>
          </w:r>
          <w:r>
            <w:rPr>
              <w:rFonts w:hint="eastAsia" w:ascii="楷体" w:hAnsi="楷体" w:eastAsia="楷体" w:cs="楷体"/>
              <w:b/>
              <w:bCs/>
              <w:kern w:val="2"/>
              <w:sz w:val="30"/>
              <w:szCs w:val="30"/>
              <w:lang w:val="en-US" w:eastAsia="zh-CN" w:bidi="ar-SA"/>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_Toc28014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1.企业新购进的设备、器具允许在计算应纳税所得额时一次性扣除</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_Toc28014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1</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_Toc22096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2.企业购进的固定资产加速折旧</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_Toc22096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2</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_Toc10672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3.企业租入固定资产进项税额抵扣</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_Toc10672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3</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_Toc10672 </w:instrText>
          </w:r>
          <w:r>
            <w:rPr>
              <w:rFonts w:hint="eastAsia" w:ascii="宋体" w:hAnsi="宋体" w:eastAsia="宋体" w:cs="宋体"/>
              <w:b w:val="0"/>
              <w:bCs/>
              <w:kern w:val="0"/>
              <w:sz w:val="28"/>
              <w:szCs w:val="28"/>
              <w:lang w:val="en-US" w:eastAsia="zh-CN"/>
            </w:rPr>
            <w:fldChar w:fldCharType="separate"/>
          </w:r>
          <w:r>
            <w:rPr>
              <w:rFonts w:hint="eastAsia" w:ascii="宋体" w:hAnsi="宋体" w:cs="宋体"/>
              <w:b w:val="0"/>
              <w:bCs/>
              <w:kern w:val="0"/>
              <w:sz w:val="28"/>
              <w:szCs w:val="28"/>
              <w:lang w:val="en-US" w:eastAsia="zh-CN"/>
            </w:rPr>
            <w:t>4</w:t>
          </w:r>
          <w:r>
            <w:rPr>
              <w:rFonts w:hint="eastAsia" w:ascii="宋体" w:hAnsi="宋体" w:eastAsia="宋体" w:cs="宋体"/>
              <w:b w:val="0"/>
              <w:bCs/>
              <w:kern w:val="0"/>
              <w:sz w:val="28"/>
              <w:szCs w:val="28"/>
              <w:lang w:val="en-US" w:eastAsia="zh-CN"/>
            </w:rPr>
            <w:t>.</w:t>
          </w:r>
          <w:r>
            <w:rPr>
              <w:rFonts w:hint="eastAsia" w:ascii="宋体" w:hAnsi="宋体" w:cs="宋体"/>
              <w:b w:val="0"/>
              <w:bCs/>
              <w:kern w:val="0"/>
              <w:sz w:val="28"/>
              <w:szCs w:val="28"/>
              <w:lang w:val="en-US" w:eastAsia="zh-CN"/>
            </w:rPr>
            <w:t>增值税期末留抵退税政策</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_Toc10672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3</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3"/>
            <w:widowControl w:val="0"/>
            <w:tabs>
              <w:tab w:val="right" w:leader="dot" w:pos="8306"/>
            </w:tabs>
            <w:ind w:left="0" w:leftChars="0" w:firstLine="301" w:firstLineChars="100"/>
            <w:jc w:val="both"/>
            <w:rPr>
              <w:rFonts w:hint="eastAsia" w:ascii="楷体" w:hAnsi="楷体" w:eastAsia="楷体" w:cs="楷体"/>
              <w:b/>
              <w:bCs/>
              <w:kern w:val="2"/>
              <w:sz w:val="30"/>
              <w:szCs w:val="30"/>
              <w:lang w:val="en-US" w:eastAsia="zh-CN" w:bidi="ar-SA"/>
            </w:rPr>
          </w:pPr>
          <w:r>
            <w:rPr>
              <w:rFonts w:hint="eastAsia" w:ascii="楷体" w:hAnsi="楷体" w:eastAsia="楷体" w:cs="楷体"/>
              <w:b/>
              <w:bCs/>
              <w:kern w:val="2"/>
              <w:sz w:val="30"/>
              <w:szCs w:val="30"/>
              <w:lang w:val="en-US" w:eastAsia="zh-CN" w:bidi="ar-SA"/>
            </w:rPr>
            <w:fldChar w:fldCharType="begin"/>
          </w:r>
          <w:r>
            <w:rPr>
              <w:rFonts w:hint="eastAsia" w:ascii="楷体" w:hAnsi="楷体" w:eastAsia="楷体" w:cs="楷体"/>
              <w:b/>
              <w:bCs/>
              <w:kern w:val="2"/>
              <w:sz w:val="30"/>
              <w:szCs w:val="30"/>
              <w:lang w:val="en-US" w:eastAsia="zh-CN" w:bidi="ar-SA"/>
            </w:rPr>
            <w:instrText xml:space="preserve"> HYPERLINK \l _Toc31176 </w:instrText>
          </w:r>
          <w:r>
            <w:rPr>
              <w:rFonts w:hint="eastAsia" w:ascii="楷体" w:hAnsi="楷体" w:eastAsia="楷体" w:cs="楷体"/>
              <w:b/>
              <w:bCs/>
              <w:kern w:val="2"/>
              <w:sz w:val="30"/>
              <w:szCs w:val="30"/>
              <w:lang w:val="en-US" w:eastAsia="zh-CN" w:bidi="ar-SA"/>
            </w:rPr>
            <w:fldChar w:fldCharType="separate"/>
          </w:r>
          <w:r>
            <w:rPr>
              <w:rFonts w:hint="eastAsia" w:ascii="楷体" w:hAnsi="楷体" w:eastAsia="楷体" w:cs="楷体"/>
              <w:b/>
              <w:bCs/>
              <w:kern w:val="2"/>
              <w:sz w:val="30"/>
              <w:szCs w:val="30"/>
              <w:lang w:val="en-US" w:eastAsia="zh-CN" w:bidi="ar-SA"/>
            </w:rPr>
            <w:t>（二）生产环节相关优惠政策</w:t>
          </w:r>
          <w:r>
            <w:rPr>
              <w:rFonts w:hint="eastAsia" w:ascii="楷体" w:hAnsi="楷体" w:eastAsia="楷体" w:cs="楷体"/>
              <w:b/>
              <w:bCs/>
              <w:kern w:val="2"/>
              <w:sz w:val="30"/>
              <w:szCs w:val="30"/>
              <w:lang w:val="en-US" w:eastAsia="zh-CN" w:bidi="ar-SA"/>
            </w:rPr>
            <w:tab/>
          </w:r>
          <w:r>
            <w:rPr>
              <w:rFonts w:hint="eastAsia" w:ascii="楷体" w:hAnsi="楷体" w:eastAsia="楷体" w:cs="楷体"/>
              <w:b/>
              <w:bCs/>
              <w:kern w:val="2"/>
              <w:sz w:val="30"/>
              <w:szCs w:val="30"/>
              <w:lang w:val="en-US" w:eastAsia="zh-CN" w:bidi="ar-SA"/>
            </w:rPr>
            <w:fldChar w:fldCharType="begin"/>
          </w:r>
          <w:r>
            <w:rPr>
              <w:rFonts w:hint="eastAsia" w:ascii="楷体" w:hAnsi="楷体" w:eastAsia="楷体" w:cs="楷体"/>
              <w:b/>
              <w:bCs/>
              <w:kern w:val="2"/>
              <w:sz w:val="30"/>
              <w:szCs w:val="30"/>
              <w:lang w:val="en-US" w:eastAsia="zh-CN" w:bidi="ar-SA"/>
            </w:rPr>
            <w:instrText xml:space="preserve"> PAGEREF _Toc31176 \h </w:instrText>
          </w:r>
          <w:r>
            <w:rPr>
              <w:rFonts w:hint="eastAsia" w:ascii="楷体" w:hAnsi="楷体" w:eastAsia="楷体" w:cs="楷体"/>
              <w:b/>
              <w:bCs/>
              <w:kern w:val="2"/>
              <w:sz w:val="30"/>
              <w:szCs w:val="30"/>
              <w:lang w:val="en-US" w:eastAsia="zh-CN" w:bidi="ar-SA"/>
            </w:rPr>
            <w:fldChar w:fldCharType="separate"/>
          </w:r>
          <w:r>
            <w:rPr>
              <w:rFonts w:hint="eastAsia" w:ascii="楷体" w:hAnsi="楷体" w:eastAsia="楷体" w:cs="楷体"/>
              <w:b/>
              <w:bCs/>
              <w:kern w:val="2"/>
              <w:sz w:val="30"/>
              <w:szCs w:val="30"/>
              <w:lang w:val="en-US" w:eastAsia="zh-CN" w:bidi="ar-SA"/>
            </w:rPr>
            <w:t>4</w:t>
          </w:r>
          <w:r>
            <w:rPr>
              <w:rFonts w:hint="eastAsia" w:ascii="楷体" w:hAnsi="楷体" w:eastAsia="楷体" w:cs="楷体"/>
              <w:b/>
              <w:bCs/>
              <w:kern w:val="2"/>
              <w:sz w:val="30"/>
              <w:szCs w:val="30"/>
              <w:lang w:val="en-US" w:eastAsia="zh-CN" w:bidi="ar-SA"/>
            </w:rPr>
            <w:fldChar w:fldCharType="end"/>
          </w:r>
          <w:r>
            <w:rPr>
              <w:rFonts w:hint="eastAsia" w:ascii="楷体" w:hAnsi="楷体" w:eastAsia="楷体" w:cs="楷体"/>
              <w:b/>
              <w:bCs/>
              <w:kern w:val="2"/>
              <w:sz w:val="30"/>
              <w:szCs w:val="30"/>
              <w:lang w:val="en-US" w:eastAsia="zh-CN" w:bidi="ar-SA"/>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_Toc11607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5.清洁发展机制基金及清洁发展机制项目实施企业所得税减免</w:t>
          </w:r>
          <w:r>
            <w:rPr>
              <w:rFonts w:hint="eastAsia" w:ascii="宋体" w:hAnsi="宋体" w:cs="宋体"/>
              <w:b w:val="0"/>
              <w:bCs/>
              <w:kern w:val="0"/>
              <w:sz w:val="28"/>
              <w:szCs w:val="28"/>
              <w:lang w:val="en-US" w:eastAsia="zh-CN"/>
            </w:rPr>
            <w:t>政策</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_Toc11607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4</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3"/>
            <w:widowControl w:val="0"/>
            <w:tabs>
              <w:tab w:val="right" w:leader="dot" w:pos="8306"/>
            </w:tabs>
            <w:ind w:left="0" w:leftChars="0" w:firstLine="301" w:firstLineChars="100"/>
            <w:jc w:val="both"/>
            <w:rPr>
              <w:rFonts w:hint="eastAsia" w:ascii="楷体" w:hAnsi="楷体" w:eastAsia="楷体" w:cs="楷体"/>
              <w:b/>
              <w:bCs/>
              <w:kern w:val="2"/>
              <w:sz w:val="30"/>
              <w:szCs w:val="30"/>
              <w:lang w:val="en-US" w:eastAsia="zh-CN" w:bidi="ar-SA"/>
            </w:rPr>
          </w:pPr>
          <w:r>
            <w:rPr>
              <w:rFonts w:hint="eastAsia" w:ascii="楷体" w:hAnsi="楷体" w:eastAsia="楷体" w:cs="楷体"/>
              <w:b/>
              <w:bCs/>
              <w:kern w:val="2"/>
              <w:sz w:val="30"/>
              <w:szCs w:val="30"/>
              <w:lang w:val="en-US" w:eastAsia="zh-CN" w:bidi="ar-SA"/>
            </w:rPr>
            <w:fldChar w:fldCharType="begin"/>
          </w:r>
          <w:r>
            <w:rPr>
              <w:rFonts w:hint="eastAsia" w:ascii="楷体" w:hAnsi="楷体" w:eastAsia="楷体" w:cs="楷体"/>
              <w:b/>
              <w:bCs/>
              <w:kern w:val="2"/>
              <w:sz w:val="30"/>
              <w:szCs w:val="30"/>
              <w:lang w:val="en-US" w:eastAsia="zh-CN" w:bidi="ar-SA"/>
            </w:rPr>
            <w:instrText xml:space="preserve"> HYPERLINK \l _Toc29982 </w:instrText>
          </w:r>
          <w:r>
            <w:rPr>
              <w:rFonts w:hint="eastAsia" w:ascii="楷体" w:hAnsi="楷体" w:eastAsia="楷体" w:cs="楷体"/>
              <w:b/>
              <w:bCs/>
              <w:kern w:val="2"/>
              <w:sz w:val="30"/>
              <w:szCs w:val="30"/>
              <w:lang w:val="en-US" w:eastAsia="zh-CN" w:bidi="ar-SA"/>
            </w:rPr>
            <w:fldChar w:fldCharType="separate"/>
          </w:r>
          <w:r>
            <w:rPr>
              <w:rFonts w:hint="eastAsia" w:ascii="楷体" w:hAnsi="楷体" w:eastAsia="楷体" w:cs="楷体"/>
              <w:b/>
              <w:bCs/>
              <w:kern w:val="2"/>
              <w:sz w:val="30"/>
              <w:szCs w:val="30"/>
              <w:lang w:val="en-US" w:eastAsia="zh-CN" w:bidi="ar-SA"/>
            </w:rPr>
            <w:t>（三）销售环节相关优惠政策</w:t>
          </w:r>
          <w:r>
            <w:rPr>
              <w:rFonts w:hint="eastAsia" w:ascii="楷体" w:hAnsi="楷体" w:eastAsia="楷体" w:cs="楷体"/>
              <w:b/>
              <w:bCs/>
              <w:kern w:val="2"/>
              <w:sz w:val="30"/>
              <w:szCs w:val="30"/>
              <w:lang w:val="en-US" w:eastAsia="zh-CN" w:bidi="ar-SA"/>
            </w:rPr>
            <w:tab/>
          </w:r>
          <w:r>
            <w:rPr>
              <w:rFonts w:hint="eastAsia" w:ascii="楷体" w:hAnsi="楷体" w:eastAsia="楷体" w:cs="楷体"/>
              <w:b/>
              <w:bCs/>
              <w:kern w:val="2"/>
              <w:sz w:val="30"/>
              <w:szCs w:val="30"/>
              <w:lang w:val="en-US" w:eastAsia="zh-CN" w:bidi="ar-SA"/>
            </w:rPr>
            <w:fldChar w:fldCharType="begin"/>
          </w:r>
          <w:r>
            <w:rPr>
              <w:rFonts w:hint="eastAsia" w:ascii="楷体" w:hAnsi="楷体" w:eastAsia="楷体" w:cs="楷体"/>
              <w:b/>
              <w:bCs/>
              <w:kern w:val="2"/>
              <w:sz w:val="30"/>
              <w:szCs w:val="30"/>
              <w:lang w:val="en-US" w:eastAsia="zh-CN" w:bidi="ar-SA"/>
            </w:rPr>
            <w:instrText xml:space="preserve"> PAGEREF _Toc29982 \h </w:instrText>
          </w:r>
          <w:r>
            <w:rPr>
              <w:rFonts w:hint="eastAsia" w:ascii="楷体" w:hAnsi="楷体" w:eastAsia="楷体" w:cs="楷体"/>
              <w:b/>
              <w:bCs/>
              <w:kern w:val="2"/>
              <w:sz w:val="30"/>
              <w:szCs w:val="30"/>
              <w:lang w:val="en-US" w:eastAsia="zh-CN" w:bidi="ar-SA"/>
            </w:rPr>
            <w:fldChar w:fldCharType="separate"/>
          </w:r>
          <w:r>
            <w:rPr>
              <w:rFonts w:hint="eastAsia" w:ascii="楷体" w:hAnsi="楷体" w:eastAsia="楷体" w:cs="楷体"/>
              <w:b/>
              <w:bCs/>
              <w:kern w:val="2"/>
              <w:sz w:val="30"/>
              <w:szCs w:val="30"/>
              <w:lang w:val="en-US" w:eastAsia="zh-CN" w:bidi="ar-SA"/>
            </w:rPr>
            <w:t>5</w:t>
          </w:r>
          <w:r>
            <w:rPr>
              <w:rFonts w:hint="eastAsia" w:ascii="楷体" w:hAnsi="楷体" w:eastAsia="楷体" w:cs="楷体"/>
              <w:b/>
              <w:bCs/>
              <w:kern w:val="2"/>
              <w:sz w:val="30"/>
              <w:szCs w:val="30"/>
              <w:lang w:val="en-US" w:eastAsia="zh-CN" w:bidi="ar-SA"/>
            </w:rPr>
            <w:fldChar w:fldCharType="end"/>
          </w:r>
          <w:r>
            <w:rPr>
              <w:rFonts w:hint="eastAsia" w:ascii="楷体" w:hAnsi="楷体" w:eastAsia="楷体" w:cs="楷体"/>
              <w:b/>
              <w:bCs/>
              <w:kern w:val="2"/>
              <w:sz w:val="30"/>
              <w:szCs w:val="30"/>
              <w:lang w:val="en-US" w:eastAsia="zh-CN" w:bidi="ar-SA"/>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_Toc19802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6.小规模纳税人未达起征点免征增值税</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_Toc19802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5</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_Toc30865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7.小规模纳税人阶段性免征增值税</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_Toc30865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6</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_Toc29103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8.小型微利企业所得税优惠</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_Toc29103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7</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_Toc7590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9.个体工商户个人所得税优惠</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_Toc7590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7</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_Toc23365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10.增值税出口退税政策</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_Toc23365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8</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_Toc13507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11.中小微企业延缓缴纳部分税费</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_Toc13507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9</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3"/>
            <w:widowControl w:val="0"/>
            <w:tabs>
              <w:tab w:val="right" w:leader="dot" w:pos="8306"/>
            </w:tabs>
            <w:ind w:left="0" w:leftChars="0" w:firstLine="301" w:firstLineChars="100"/>
            <w:jc w:val="both"/>
            <w:rPr>
              <w:rFonts w:hint="eastAsia" w:ascii="楷体" w:hAnsi="楷体" w:eastAsia="楷体" w:cs="楷体"/>
              <w:b/>
              <w:bCs/>
              <w:kern w:val="2"/>
              <w:sz w:val="30"/>
              <w:szCs w:val="30"/>
              <w:lang w:val="en-US" w:eastAsia="zh-CN" w:bidi="ar-SA"/>
            </w:rPr>
          </w:pPr>
          <w:r>
            <w:rPr>
              <w:rFonts w:hint="eastAsia" w:ascii="楷体" w:hAnsi="楷体" w:eastAsia="楷体" w:cs="楷体"/>
              <w:b/>
              <w:bCs/>
              <w:kern w:val="2"/>
              <w:sz w:val="30"/>
              <w:szCs w:val="30"/>
              <w:lang w:val="en-US" w:eastAsia="zh-CN" w:bidi="ar-SA"/>
            </w:rPr>
            <w:fldChar w:fldCharType="begin"/>
          </w:r>
          <w:r>
            <w:rPr>
              <w:rFonts w:hint="eastAsia" w:ascii="楷体" w:hAnsi="楷体" w:eastAsia="楷体" w:cs="楷体"/>
              <w:b/>
              <w:bCs/>
              <w:kern w:val="2"/>
              <w:sz w:val="30"/>
              <w:szCs w:val="30"/>
              <w:lang w:val="en-US" w:eastAsia="zh-CN" w:bidi="ar-SA"/>
            </w:rPr>
            <w:instrText xml:space="preserve"> HYPERLINK \l _Toc13728 </w:instrText>
          </w:r>
          <w:r>
            <w:rPr>
              <w:rFonts w:hint="eastAsia" w:ascii="楷体" w:hAnsi="楷体" w:eastAsia="楷体" w:cs="楷体"/>
              <w:b/>
              <w:bCs/>
              <w:kern w:val="2"/>
              <w:sz w:val="30"/>
              <w:szCs w:val="30"/>
              <w:lang w:val="en-US" w:eastAsia="zh-CN" w:bidi="ar-SA"/>
            </w:rPr>
            <w:fldChar w:fldCharType="separate"/>
          </w:r>
          <w:r>
            <w:rPr>
              <w:rFonts w:hint="eastAsia" w:ascii="楷体" w:hAnsi="楷体" w:eastAsia="楷体" w:cs="楷体"/>
              <w:b/>
              <w:bCs/>
              <w:kern w:val="2"/>
              <w:sz w:val="30"/>
              <w:szCs w:val="30"/>
              <w:lang w:val="en-US" w:eastAsia="zh-CN" w:bidi="ar-SA"/>
            </w:rPr>
            <w:t>（四）生产要素投入相关优惠政策</w:t>
          </w:r>
          <w:r>
            <w:rPr>
              <w:rFonts w:hint="eastAsia" w:ascii="楷体" w:hAnsi="楷体" w:eastAsia="楷体" w:cs="楷体"/>
              <w:b/>
              <w:bCs/>
              <w:kern w:val="2"/>
              <w:sz w:val="30"/>
              <w:szCs w:val="30"/>
              <w:lang w:val="en-US" w:eastAsia="zh-CN" w:bidi="ar-SA"/>
            </w:rPr>
            <w:tab/>
          </w:r>
          <w:r>
            <w:rPr>
              <w:rFonts w:hint="eastAsia" w:ascii="楷体" w:hAnsi="楷体" w:eastAsia="楷体" w:cs="楷体"/>
              <w:b/>
              <w:bCs/>
              <w:kern w:val="2"/>
              <w:sz w:val="30"/>
              <w:szCs w:val="30"/>
              <w:lang w:val="en-US" w:eastAsia="zh-CN" w:bidi="ar-SA"/>
            </w:rPr>
            <w:fldChar w:fldCharType="begin"/>
          </w:r>
          <w:r>
            <w:rPr>
              <w:rFonts w:hint="eastAsia" w:ascii="楷体" w:hAnsi="楷体" w:eastAsia="楷体" w:cs="楷体"/>
              <w:b/>
              <w:bCs/>
              <w:kern w:val="2"/>
              <w:sz w:val="30"/>
              <w:szCs w:val="30"/>
              <w:lang w:val="en-US" w:eastAsia="zh-CN" w:bidi="ar-SA"/>
            </w:rPr>
            <w:instrText xml:space="preserve"> PAGEREF _Toc13728 \h </w:instrText>
          </w:r>
          <w:r>
            <w:rPr>
              <w:rFonts w:hint="eastAsia" w:ascii="楷体" w:hAnsi="楷体" w:eastAsia="楷体" w:cs="楷体"/>
              <w:b/>
              <w:bCs/>
              <w:kern w:val="2"/>
              <w:sz w:val="30"/>
              <w:szCs w:val="30"/>
              <w:lang w:val="en-US" w:eastAsia="zh-CN" w:bidi="ar-SA"/>
            </w:rPr>
            <w:fldChar w:fldCharType="separate"/>
          </w:r>
          <w:r>
            <w:rPr>
              <w:rFonts w:hint="eastAsia" w:ascii="楷体" w:hAnsi="楷体" w:eastAsia="楷体" w:cs="楷体"/>
              <w:b/>
              <w:bCs/>
              <w:kern w:val="2"/>
              <w:sz w:val="30"/>
              <w:szCs w:val="30"/>
              <w:lang w:val="en-US" w:eastAsia="zh-CN" w:bidi="ar-SA"/>
            </w:rPr>
            <w:t>10</w:t>
          </w:r>
          <w:r>
            <w:rPr>
              <w:rFonts w:hint="eastAsia" w:ascii="楷体" w:hAnsi="楷体" w:eastAsia="楷体" w:cs="楷体"/>
              <w:b/>
              <w:bCs/>
              <w:kern w:val="2"/>
              <w:sz w:val="30"/>
              <w:szCs w:val="30"/>
              <w:lang w:val="en-US" w:eastAsia="zh-CN" w:bidi="ar-SA"/>
            </w:rPr>
            <w:fldChar w:fldCharType="end"/>
          </w:r>
          <w:r>
            <w:rPr>
              <w:rFonts w:hint="eastAsia" w:ascii="楷体" w:hAnsi="楷体" w:eastAsia="楷体" w:cs="楷体"/>
              <w:b/>
              <w:bCs/>
              <w:kern w:val="2"/>
              <w:sz w:val="30"/>
              <w:szCs w:val="30"/>
              <w:lang w:val="en-US" w:eastAsia="zh-CN" w:bidi="ar-SA"/>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_Toc9854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12.阶段性降低用人单位社保费缴费费率</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_Toc9854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10</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_Toc26410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13.小微企业“六税两费” 减免政策</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_Toc26410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10</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_Toc2397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1</w:t>
          </w:r>
          <w:r>
            <w:rPr>
              <w:rFonts w:hint="eastAsia" w:ascii="宋体" w:hAnsi="宋体" w:cs="宋体"/>
              <w:b w:val="0"/>
              <w:bCs/>
              <w:kern w:val="0"/>
              <w:sz w:val="28"/>
              <w:szCs w:val="28"/>
              <w:lang w:val="en-US" w:eastAsia="zh-CN"/>
            </w:rPr>
            <w:t>4</w:t>
          </w:r>
          <w:r>
            <w:rPr>
              <w:rFonts w:hint="eastAsia" w:ascii="宋体" w:hAnsi="宋体" w:eastAsia="宋体" w:cs="宋体"/>
              <w:b w:val="0"/>
              <w:bCs/>
              <w:kern w:val="0"/>
              <w:sz w:val="28"/>
              <w:szCs w:val="28"/>
              <w:lang w:val="en-US" w:eastAsia="zh-CN"/>
            </w:rPr>
            <w:t>.</w:t>
          </w:r>
          <w:r>
            <w:rPr>
              <w:rFonts w:hint="eastAsia" w:ascii="宋体" w:hAnsi="宋体" w:cs="宋体"/>
              <w:b w:val="0"/>
              <w:bCs/>
              <w:kern w:val="0"/>
              <w:sz w:val="28"/>
              <w:szCs w:val="28"/>
              <w:lang w:val="en-US" w:eastAsia="zh-CN"/>
            </w:rPr>
            <w:t>符合条件的缴纳义务人免征有关政府性基金</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_Toc2397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11</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_Toc2397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15.符合条件的企业暂免征收残疾人就业保障金</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_Toc2397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11</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_Toc19923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16.符合条件的用人单位分档减缴征收残疾人就业保障金</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_Toc19923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12</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_Toc18632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17.企业安置残疾人员所支付的工资加计扣除</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_Toc18632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13</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_Toc2289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18.企业安置残疾人就业增值税即征即退</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_Toc2289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13</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_Toc15098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19.企业安置残疾人就业单位用地减免城镇土地使用税</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_Toc15098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14</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_Toc19521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20.残疾、孤老人员和烈属的个人所得减征个人所得税</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_Toc19521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15</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_Toc15330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21.工伤职工取得的工伤保险待遇免征个人所得税</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_Toc15330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16</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_Toc28176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22.自主就业退役士兵、重点群体就业创业税费优惠</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_Toc28176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16</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_Toc31398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23.企业厂区以外的公共绿化用地免征城镇土地使用税</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_Toc31398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18</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_Toc22085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24.符合条件的企业暂免征收工会经费</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_Toc22085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19</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_Toc30164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25.个人以非货币性资产投资，分期缴纳个人所得税</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_Toc30164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19</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_Toc28641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26.</w:t>
          </w:r>
          <w:r>
            <w:rPr>
              <w:rFonts w:hint="default" w:ascii="宋体" w:hAnsi="宋体" w:eastAsia="宋体" w:cs="宋体"/>
              <w:b w:val="0"/>
              <w:bCs/>
              <w:kern w:val="0"/>
              <w:sz w:val="28"/>
              <w:szCs w:val="28"/>
              <w:lang w:val="en-US" w:eastAsia="zh-CN"/>
            </w:rPr>
            <w:t>获得非上市公司股票期权、股权期权、限制性股票和股权奖励递延缴纳个人所得税</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_Toc28641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20</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_Toc26358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27.</w:t>
          </w:r>
          <w:r>
            <w:rPr>
              <w:rFonts w:hint="default" w:ascii="宋体" w:hAnsi="宋体" w:eastAsia="宋体" w:cs="宋体"/>
              <w:b w:val="0"/>
              <w:bCs/>
              <w:kern w:val="0"/>
              <w:sz w:val="28"/>
              <w:szCs w:val="28"/>
              <w:lang w:val="en-US" w:eastAsia="zh-CN"/>
            </w:rPr>
            <w:t>3岁以下婴幼儿照护个人所得税专项附加扣除政策</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_Toc26358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21</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_Toc21734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28.企业发放疫情防护用品免征个人所得税</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_Toc21734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21</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_Toc27703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29.</w:t>
          </w:r>
          <w:r>
            <w:rPr>
              <w:rFonts w:hint="default" w:ascii="宋体" w:hAnsi="宋体" w:eastAsia="宋体" w:cs="宋体"/>
              <w:b w:val="0"/>
              <w:bCs/>
              <w:kern w:val="0"/>
              <w:sz w:val="28"/>
              <w:szCs w:val="28"/>
              <w:lang w:val="en-US" w:eastAsia="zh-CN"/>
            </w:rPr>
            <w:t>全年一次性奖金个人所得税优惠政策</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_Toc27703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22</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_Toc22019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30.</w:t>
          </w:r>
          <w:r>
            <w:rPr>
              <w:rFonts w:hint="default" w:ascii="宋体" w:hAnsi="宋体" w:eastAsia="宋体" w:cs="宋体"/>
              <w:b w:val="0"/>
              <w:bCs/>
              <w:kern w:val="0"/>
              <w:sz w:val="28"/>
              <w:szCs w:val="28"/>
              <w:lang w:val="en-US" w:eastAsia="zh-CN"/>
            </w:rPr>
            <w:t>外籍个人津补贴个人所得税优惠政策</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_Toc22019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23</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val="0"/>
            <w:tabs>
              <w:tab w:val="right" w:leader="dot" w:pos="8306"/>
            </w:tabs>
            <w:ind w:left="0"/>
            <w:rPr>
              <w:rFonts w:hint="eastAsia" w:ascii="黑体" w:hAnsi="黑体" w:eastAsia="黑体" w:cs="黑体"/>
              <w:b/>
              <w:bCs/>
              <w:kern w:val="44"/>
              <w:sz w:val="28"/>
              <w:szCs w:val="28"/>
              <w:lang w:val="en-US" w:eastAsia="zh-CN" w:bidi="ar-SA"/>
            </w:rPr>
          </w:pPr>
          <w:r>
            <w:rPr>
              <w:rFonts w:hint="eastAsia" w:ascii="黑体" w:hAnsi="黑体" w:eastAsia="黑体" w:cs="黑体"/>
              <w:b/>
              <w:bCs/>
              <w:kern w:val="44"/>
              <w:sz w:val="28"/>
              <w:szCs w:val="28"/>
              <w:lang w:val="en-US" w:eastAsia="zh-CN" w:bidi="ar-SA"/>
            </w:rPr>
            <w:fldChar w:fldCharType="begin"/>
          </w:r>
          <w:r>
            <w:rPr>
              <w:rFonts w:hint="eastAsia" w:ascii="黑体" w:hAnsi="黑体" w:eastAsia="黑体" w:cs="黑体"/>
              <w:b/>
              <w:bCs/>
              <w:kern w:val="44"/>
              <w:sz w:val="28"/>
              <w:szCs w:val="28"/>
              <w:lang w:val="en-US" w:eastAsia="zh-CN" w:bidi="ar-SA"/>
            </w:rPr>
            <w:instrText xml:space="preserve"> HYPERLINK \l _Toc30947 </w:instrText>
          </w:r>
          <w:r>
            <w:rPr>
              <w:rFonts w:hint="eastAsia" w:ascii="黑体" w:hAnsi="黑体" w:eastAsia="黑体" w:cs="黑体"/>
              <w:b/>
              <w:bCs/>
              <w:kern w:val="44"/>
              <w:sz w:val="28"/>
              <w:szCs w:val="28"/>
              <w:lang w:val="en-US" w:eastAsia="zh-CN" w:bidi="ar-SA"/>
            </w:rPr>
            <w:fldChar w:fldCharType="separate"/>
          </w:r>
          <w:r>
            <w:rPr>
              <w:rFonts w:hint="eastAsia" w:ascii="黑体" w:hAnsi="黑体" w:eastAsia="黑体" w:cs="黑体"/>
              <w:b/>
              <w:bCs/>
              <w:kern w:val="44"/>
              <w:sz w:val="28"/>
              <w:szCs w:val="28"/>
              <w:lang w:val="en-US" w:eastAsia="zh-CN" w:bidi="ar-SA"/>
            </w:rPr>
            <w:t>二、支持金属智造行业科技创新和成果转化税费优惠政策</w:t>
          </w:r>
          <w:r>
            <w:rPr>
              <w:rFonts w:hint="eastAsia" w:ascii="黑体" w:hAnsi="黑体" w:eastAsia="黑体" w:cs="黑体"/>
              <w:b/>
              <w:bCs/>
              <w:kern w:val="44"/>
              <w:sz w:val="28"/>
              <w:szCs w:val="28"/>
              <w:lang w:val="en-US" w:eastAsia="zh-CN" w:bidi="ar-SA"/>
            </w:rPr>
            <w:tab/>
          </w:r>
          <w:r>
            <w:rPr>
              <w:rFonts w:hint="eastAsia" w:ascii="黑体" w:hAnsi="黑体" w:eastAsia="黑体" w:cs="黑体"/>
              <w:b/>
              <w:bCs/>
              <w:kern w:val="44"/>
              <w:sz w:val="28"/>
              <w:szCs w:val="28"/>
              <w:lang w:val="en-US" w:eastAsia="zh-CN" w:bidi="ar-SA"/>
            </w:rPr>
            <w:fldChar w:fldCharType="begin"/>
          </w:r>
          <w:r>
            <w:rPr>
              <w:rFonts w:hint="eastAsia" w:ascii="黑体" w:hAnsi="黑体" w:eastAsia="黑体" w:cs="黑体"/>
              <w:b/>
              <w:bCs/>
              <w:kern w:val="44"/>
              <w:sz w:val="28"/>
              <w:szCs w:val="28"/>
              <w:lang w:val="en-US" w:eastAsia="zh-CN" w:bidi="ar-SA"/>
            </w:rPr>
            <w:instrText xml:space="preserve"> PAGEREF _Toc30947 \h </w:instrText>
          </w:r>
          <w:r>
            <w:rPr>
              <w:rFonts w:hint="eastAsia" w:ascii="黑体" w:hAnsi="黑体" w:eastAsia="黑体" w:cs="黑体"/>
              <w:b/>
              <w:bCs/>
              <w:kern w:val="44"/>
              <w:sz w:val="28"/>
              <w:szCs w:val="28"/>
              <w:lang w:val="en-US" w:eastAsia="zh-CN" w:bidi="ar-SA"/>
            </w:rPr>
            <w:fldChar w:fldCharType="separate"/>
          </w:r>
          <w:r>
            <w:rPr>
              <w:rFonts w:hint="eastAsia" w:ascii="黑体" w:hAnsi="黑体" w:eastAsia="黑体" w:cs="黑体"/>
              <w:b/>
              <w:bCs/>
              <w:kern w:val="44"/>
              <w:sz w:val="28"/>
              <w:szCs w:val="28"/>
              <w:lang w:val="en-US" w:eastAsia="zh-CN" w:bidi="ar-SA"/>
            </w:rPr>
            <w:t>24</w:t>
          </w:r>
          <w:r>
            <w:rPr>
              <w:rFonts w:hint="eastAsia" w:ascii="黑体" w:hAnsi="黑体" w:eastAsia="黑体" w:cs="黑体"/>
              <w:b/>
              <w:bCs/>
              <w:kern w:val="44"/>
              <w:sz w:val="28"/>
              <w:szCs w:val="28"/>
              <w:lang w:val="en-US" w:eastAsia="zh-CN" w:bidi="ar-SA"/>
            </w:rPr>
            <w:fldChar w:fldCharType="end"/>
          </w:r>
          <w:r>
            <w:rPr>
              <w:rFonts w:hint="eastAsia" w:ascii="黑体" w:hAnsi="黑体" w:eastAsia="黑体" w:cs="黑体"/>
              <w:b/>
              <w:bCs/>
              <w:kern w:val="44"/>
              <w:sz w:val="28"/>
              <w:szCs w:val="28"/>
              <w:lang w:val="en-US" w:eastAsia="zh-CN" w:bidi="ar-SA"/>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_Toc24150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31.高新技术企业税率优惠</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_Toc24150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24</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_Toc19100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32.技术先进型服务企业享受低税率企业所得税优惠</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_Toc19100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24</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_Toc28582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33.提高研究开发费用税前加计扣除比例</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_Toc28582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25</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_Toc28342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34.委托境外研究开发费用税前加计扣除</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_Toc28342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26</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_Toc18861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35.企业以及个人以技术成果投资入股递延缴纳所得税</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_Toc18861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27</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_Toc11571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36.</w:t>
          </w:r>
          <w:r>
            <w:rPr>
              <w:rFonts w:hint="default" w:ascii="宋体" w:hAnsi="宋体" w:eastAsia="宋体" w:cs="宋体"/>
              <w:b w:val="0"/>
              <w:bCs/>
              <w:kern w:val="0"/>
              <w:sz w:val="28"/>
              <w:szCs w:val="28"/>
              <w:lang w:val="en-US" w:eastAsia="zh-CN"/>
            </w:rPr>
            <w:t>高新技术企业技术人员股权奖励分期缴纳个人所得税</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_Toc11571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28</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ind w:left="559" w:leftChars="266" w:firstLine="0" w:firstLineChars="0"/>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_Toc9264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37.</w:t>
          </w:r>
          <w:r>
            <w:rPr>
              <w:rFonts w:hint="default" w:ascii="宋体" w:hAnsi="宋体" w:eastAsia="宋体" w:cs="宋体"/>
              <w:b w:val="0"/>
              <w:bCs/>
              <w:kern w:val="0"/>
              <w:sz w:val="28"/>
              <w:szCs w:val="28"/>
              <w:lang w:val="en-US" w:eastAsia="zh-CN"/>
            </w:rPr>
            <w:t>由国家级、省部级以及国际组织对科技人员颁发的科技奖金免征个人所得税</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_Toc9264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28</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val="0"/>
            <w:tabs>
              <w:tab w:val="right" w:leader="dot" w:pos="8306"/>
            </w:tabs>
            <w:ind w:left="0"/>
            <w:rPr>
              <w:rFonts w:hint="eastAsia" w:ascii="黑体" w:hAnsi="黑体" w:eastAsia="黑体" w:cs="黑体"/>
              <w:b/>
              <w:bCs/>
              <w:kern w:val="44"/>
              <w:sz w:val="28"/>
              <w:szCs w:val="28"/>
              <w:lang w:val="en-US" w:eastAsia="zh-CN" w:bidi="ar-SA"/>
            </w:rPr>
          </w:pPr>
          <w:r>
            <w:rPr>
              <w:rFonts w:hint="eastAsia" w:ascii="黑体" w:hAnsi="黑体" w:eastAsia="黑体" w:cs="黑体"/>
              <w:b/>
              <w:bCs/>
              <w:kern w:val="44"/>
              <w:sz w:val="28"/>
              <w:szCs w:val="28"/>
              <w:lang w:val="en-US" w:eastAsia="zh-CN" w:bidi="ar-SA"/>
            </w:rPr>
            <w:fldChar w:fldCharType="begin"/>
          </w:r>
          <w:r>
            <w:rPr>
              <w:rFonts w:hint="eastAsia" w:ascii="黑体" w:hAnsi="黑体" w:eastAsia="黑体" w:cs="黑体"/>
              <w:b/>
              <w:bCs/>
              <w:kern w:val="44"/>
              <w:sz w:val="28"/>
              <w:szCs w:val="28"/>
              <w:lang w:val="en-US" w:eastAsia="zh-CN" w:bidi="ar-SA"/>
            </w:rPr>
            <w:instrText xml:space="preserve"> HYPERLINK \l _Toc25657 </w:instrText>
          </w:r>
          <w:r>
            <w:rPr>
              <w:rFonts w:hint="eastAsia" w:ascii="黑体" w:hAnsi="黑体" w:eastAsia="黑体" w:cs="黑体"/>
              <w:b/>
              <w:bCs/>
              <w:kern w:val="44"/>
              <w:sz w:val="28"/>
              <w:szCs w:val="28"/>
              <w:lang w:val="en-US" w:eastAsia="zh-CN" w:bidi="ar-SA"/>
            </w:rPr>
            <w:fldChar w:fldCharType="separate"/>
          </w:r>
          <w:r>
            <w:rPr>
              <w:rFonts w:hint="eastAsia" w:ascii="黑体" w:hAnsi="黑体" w:eastAsia="黑体" w:cs="黑体"/>
              <w:b/>
              <w:bCs/>
              <w:kern w:val="44"/>
              <w:sz w:val="28"/>
              <w:szCs w:val="28"/>
              <w:lang w:val="en-US" w:eastAsia="zh-CN" w:bidi="ar-SA"/>
            </w:rPr>
            <w:t>三、支持金属智造行业节能环保和资源综合利用税费优惠政策</w:t>
          </w:r>
          <w:r>
            <w:rPr>
              <w:rFonts w:hint="eastAsia" w:ascii="黑体" w:hAnsi="黑体" w:eastAsia="黑体" w:cs="黑体"/>
              <w:b/>
              <w:bCs/>
              <w:kern w:val="44"/>
              <w:sz w:val="28"/>
              <w:szCs w:val="28"/>
              <w:lang w:val="en-US" w:eastAsia="zh-CN" w:bidi="ar-SA"/>
            </w:rPr>
            <w:tab/>
          </w:r>
          <w:r>
            <w:rPr>
              <w:rFonts w:hint="eastAsia" w:ascii="黑体" w:hAnsi="黑体" w:eastAsia="黑体" w:cs="黑体"/>
              <w:b/>
              <w:bCs/>
              <w:kern w:val="44"/>
              <w:sz w:val="28"/>
              <w:szCs w:val="28"/>
              <w:lang w:val="en-US" w:eastAsia="zh-CN" w:bidi="ar-SA"/>
            </w:rPr>
            <w:fldChar w:fldCharType="begin"/>
          </w:r>
          <w:r>
            <w:rPr>
              <w:rFonts w:hint="eastAsia" w:ascii="黑体" w:hAnsi="黑体" w:eastAsia="黑体" w:cs="黑体"/>
              <w:b/>
              <w:bCs/>
              <w:kern w:val="44"/>
              <w:sz w:val="28"/>
              <w:szCs w:val="28"/>
              <w:lang w:val="en-US" w:eastAsia="zh-CN" w:bidi="ar-SA"/>
            </w:rPr>
            <w:instrText xml:space="preserve"> PAGEREF _Toc25657 \h </w:instrText>
          </w:r>
          <w:r>
            <w:rPr>
              <w:rFonts w:hint="eastAsia" w:ascii="黑体" w:hAnsi="黑体" w:eastAsia="黑体" w:cs="黑体"/>
              <w:b/>
              <w:bCs/>
              <w:kern w:val="44"/>
              <w:sz w:val="28"/>
              <w:szCs w:val="28"/>
              <w:lang w:val="en-US" w:eastAsia="zh-CN" w:bidi="ar-SA"/>
            </w:rPr>
            <w:fldChar w:fldCharType="separate"/>
          </w:r>
          <w:r>
            <w:rPr>
              <w:rFonts w:hint="eastAsia" w:ascii="黑体" w:hAnsi="黑体" w:eastAsia="黑体" w:cs="黑体"/>
              <w:b/>
              <w:bCs/>
              <w:kern w:val="44"/>
              <w:sz w:val="28"/>
              <w:szCs w:val="28"/>
              <w:lang w:val="en-US" w:eastAsia="zh-CN" w:bidi="ar-SA"/>
            </w:rPr>
            <w:t>29</w:t>
          </w:r>
          <w:r>
            <w:rPr>
              <w:rFonts w:hint="eastAsia" w:ascii="黑体" w:hAnsi="黑体" w:eastAsia="黑体" w:cs="黑体"/>
              <w:b/>
              <w:bCs/>
              <w:kern w:val="44"/>
              <w:sz w:val="28"/>
              <w:szCs w:val="28"/>
              <w:lang w:val="en-US" w:eastAsia="zh-CN" w:bidi="ar-SA"/>
            </w:rPr>
            <w:fldChar w:fldCharType="end"/>
          </w:r>
          <w:r>
            <w:rPr>
              <w:rFonts w:hint="eastAsia" w:ascii="黑体" w:hAnsi="黑体" w:eastAsia="黑体" w:cs="黑体"/>
              <w:b/>
              <w:bCs/>
              <w:kern w:val="44"/>
              <w:sz w:val="28"/>
              <w:szCs w:val="28"/>
              <w:lang w:val="en-US" w:eastAsia="zh-CN" w:bidi="ar-SA"/>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_Toc31497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38.新能源车船免征车船税</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_Toc31497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29</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_Toc24325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39.节能汽车减半征收车船税</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_Toc24325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29</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_Toc29163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40.新能源汽车免征车辆购置税</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_Toc29163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30</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_Toc31726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41.减征部分乘用车的车辆购置税</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_Toc31726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30</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_Toc20888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42.排放应税大气污染物或者水污染物的浓度值低于国家和地方规定的污染物排放标准减征环境保护税</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_Toc20888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31</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_Toc11594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43.资源综合利用产品及劳务增值税即征即退</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_Toc11594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31</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_Toc2427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44.综合利用资源生产产品取得的收入在计算应纳税所得额时减计收入</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_Toc2427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32</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_Toc10763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45.综合利用的固体废物免征环境保护税</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_Toc10763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33</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_Toc193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46.污水处理劳务增值税即征即退或免征增值税</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_Toc193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33</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_Toc19253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47.企业购置用于环境保护、节能节水、安全生产等专用设备的投资额按一定比例实行税额抵免</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_Toc19253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34</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val="0"/>
            <w:tabs>
              <w:tab w:val="right" w:leader="dot" w:pos="8306"/>
            </w:tabs>
            <w:ind w:left="0"/>
            <w:rPr>
              <w:rFonts w:hint="eastAsia" w:ascii="黑体" w:hAnsi="黑体" w:eastAsia="黑体" w:cs="黑体"/>
              <w:b/>
              <w:bCs/>
              <w:kern w:val="44"/>
              <w:sz w:val="28"/>
              <w:szCs w:val="28"/>
              <w:lang w:val="en-US" w:eastAsia="zh-CN" w:bidi="ar-SA"/>
            </w:rPr>
          </w:pPr>
          <w:r>
            <w:rPr>
              <w:rFonts w:hint="eastAsia" w:ascii="黑体" w:hAnsi="黑体" w:eastAsia="黑体" w:cs="黑体"/>
              <w:b/>
              <w:bCs/>
              <w:kern w:val="44"/>
              <w:sz w:val="28"/>
              <w:szCs w:val="28"/>
              <w:lang w:val="en-US" w:eastAsia="zh-CN" w:bidi="ar-SA"/>
            </w:rPr>
            <w:fldChar w:fldCharType="begin"/>
          </w:r>
          <w:r>
            <w:rPr>
              <w:rFonts w:hint="eastAsia" w:ascii="黑体" w:hAnsi="黑体" w:eastAsia="黑体" w:cs="黑体"/>
              <w:b/>
              <w:bCs/>
              <w:kern w:val="44"/>
              <w:sz w:val="28"/>
              <w:szCs w:val="28"/>
              <w:lang w:val="en-US" w:eastAsia="zh-CN" w:bidi="ar-SA"/>
            </w:rPr>
            <w:instrText xml:space="preserve"> HYPERLINK \l _Toc18007 </w:instrText>
          </w:r>
          <w:r>
            <w:rPr>
              <w:rFonts w:hint="eastAsia" w:ascii="黑体" w:hAnsi="黑体" w:eastAsia="黑体" w:cs="黑体"/>
              <w:b/>
              <w:bCs/>
              <w:kern w:val="44"/>
              <w:sz w:val="28"/>
              <w:szCs w:val="28"/>
              <w:lang w:val="en-US" w:eastAsia="zh-CN" w:bidi="ar-SA"/>
            </w:rPr>
            <w:fldChar w:fldCharType="separate"/>
          </w:r>
          <w:r>
            <w:rPr>
              <w:rFonts w:hint="eastAsia" w:ascii="黑体" w:hAnsi="黑体" w:eastAsia="黑体" w:cs="黑体"/>
              <w:b/>
              <w:bCs/>
              <w:kern w:val="44"/>
              <w:sz w:val="28"/>
              <w:szCs w:val="28"/>
              <w:lang w:val="en-US" w:eastAsia="zh-CN" w:bidi="ar-SA"/>
            </w:rPr>
            <w:t>四、支持金属智造行业资产重组做强做大税费优惠政策</w:t>
          </w:r>
          <w:r>
            <w:rPr>
              <w:rFonts w:hint="eastAsia" w:ascii="黑体" w:hAnsi="黑体" w:eastAsia="黑体" w:cs="黑体"/>
              <w:b/>
              <w:bCs/>
              <w:kern w:val="44"/>
              <w:sz w:val="28"/>
              <w:szCs w:val="28"/>
              <w:lang w:val="en-US" w:eastAsia="zh-CN" w:bidi="ar-SA"/>
            </w:rPr>
            <w:tab/>
          </w:r>
          <w:r>
            <w:rPr>
              <w:rFonts w:hint="eastAsia" w:ascii="黑体" w:hAnsi="黑体" w:eastAsia="黑体" w:cs="黑体"/>
              <w:b/>
              <w:bCs/>
              <w:kern w:val="44"/>
              <w:sz w:val="28"/>
              <w:szCs w:val="28"/>
              <w:lang w:val="en-US" w:eastAsia="zh-CN" w:bidi="ar-SA"/>
            </w:rPr>
            <w:fldChar w:fldCharType="begin"/>
          </w:r>
          <w:r>
            <w:rPr>
              <w:rFonts w:hint="eastAsia" w:ascii="黑体" w:hAnsi="黑体" w:eastAsia="黑体" w:cs="黑体"/>
              <w:b/>
              <w:bCs/>
              <w:kern w:val="44"/>
              <w:sz w:val="28"/>
              <w:szCs w:val="28"/>
              <w:lang w:val="en-US" w:eastAsia="zh-CN" w:bidi="ar-SA"/>
            </w:rPr>
            <w:instrText xml:space="preserve"> PAGEREF _Toc18007 \h </w:instrText>
          </w:r>
          <w:r>
            <w:rPr>
              <w:rFonts w:hint="eastAsia" w:ascii="黑体" w:hAnsi="黑体" w:eastAsia="黑体" w:cs="黑体"/>
              <w:b/>
              <w:bCs/>
              <w:kern w:val="44"/>
              <w:sz w:val="28"/>
              <w:szCs w:val="28"/>
              <w:lang w:val="en-US" w:eastAsia="zh-CN" w:bidi="ar-SA"/>
            </w:rPr>
            <w:fldChar w:fldCharType="separate"/>
          </w:r>
          <w:r>
            <w:rPr>
              <w:rFonts w:hint="eastAsia" w:ascii="黑体" w:hAnsi="黑体" w:eastAsia="黑体" w:cs="黑体"/>
              <w:b/>
              <w:bCs/>
              <w:kern w:val="44"/>
              <w:sz w:val="28"/>
              <w:szCs w:val="28"/>
              <w:lang w:val="en-US" w:eastAsia="zh-CN" w:bidi="ar-SA"/>
            </w:rPr>
            <w:t>35</w:t>
          </w:r>
          <w:r>
            <w:rPr>
              <w:rFonts w:hint="eastAsia" w:ascii="黑体" w:hAnsi="黑体" w:eastAsia="黑体" w:cs="黑体"/>
              <w:b/>
              <w:bCs/>
              <w:kern w:val="44"/>
              <w:sz w:val="28"/>
              <w:szCs w:val="28"/>
              <w:lang w:val="en-US" w:eastAsia="zh-CN" w:bidi="ar-SA"/>
            </w:rPr>
            <w:fldChar w:fldCharType="end"/>
          </w:r>
          <w:r>
            <w:rPr>
              <w:rFonts w:hint="eastAsia" w:ascii="黑体" w:hAnsi="黑体" w:eastAsia="黑体" w:cs="黑体"/>
              <w:b/>
              <w:bCs/>
              <w:kern w:val="44"/>
              <w:sz w:val="28"/>
              <w:szCs w:val="28"/>
              <w:lang w:val="en-US" w:eastAsia="zh-CN" w:bidi="ar-SA"/>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_Toc32021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48纳税人资产重组有关增值税问题</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_Toc32021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35</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_Toc16187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49.企业重组所得税特殊性税务处理</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_Toc16187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36</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_Toc21634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50.企业、事业单位改制重组涉及的契税优惠政策</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_Toc21634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40</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_Toc20717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51.企业改制重组有关土地增值税政策</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_Toc20717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43</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_Toc18281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52.企业改制过程中有关印花税优惠政策</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_Toc18281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44</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ind w:left="559" w:leftChars="266" w:firstLine="0" w:firstLineChars="0"/>
          </w:pP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HYPERLINK \l _Toc21616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53.企业所得税非货币性资产投资可递延纳税</w:t>
          </w:r>
          <w:r>
            <w:rPr>
              <w:rFonts w:hint="eastAsia" w:ascii="宋体" w:hAnsi="宋体" w:eastAsia="宋体" w:cs="宋体"/>
              <w:b w:val="0"/>
              <w:bCs/>
              <w:kern w:val="0"/>
              <w:sz w:val="28"/>
              <w:szCs w:val="28"/>
              <w:lang w:val="en-US" w:eastAsia="zh-CN"/>
            </w:rPr>
            <w:tab/>
          </w:r>
          <w:r>
            <w:rPr>
              <w:rFonts w:hint="eastAsia" w:ascii="宋体" w:hAnsi="宋体" w:eastAsia="宋体" w:cs="宋体"/>
              <w:b w:val="0"/>
              <w:bCs/>
              <w:kern w:val="0"/>
              <w:sz w:val="28"/>
              <w:szCs w:val="28"/>
              <w:lang w:val="en-US" w:eastAsia="zh-CN"/>
            </w:rPr>
            <w:fldChar w:fldCharType="begin"/>
          </w:r>
          <w:r>
            <w:rPr>
              <w:rFonts w:hint="eastAsia" w:ascii="宋体" w:hAnsi="宋体" w:eastAsia="宋体" w:cs="宋体"/>
              <w:b w:val="0"/>
              <w:bCs/>
              <w:kern w:val="0"/>
              <w:sz w:val="28"/>
              <w:szCs w:val="28"/>
              <w:lang w:val="en-US" w:eastAsia="zh-CN"/>
            </w:rPr>
            <w:instrText xml:space="preserve"> PAGEREF _Toc21616 \h </w:instrText>
          </w:r>
          <w:r>
            <w:rPr>
              <w:rFonts w:hint="eastAsia" w:ascii="宋体" w:hAnsi="宋体" w:eastAsia="宋体" w:cs="宋体"/>
              <w:b w:val="0"/>
              <w:bCs/>
              <w:kern w:val="0"/>
              <w:sz w:val="28"/>
              <w:szCs w:val="28"/>
              <w:lang w:val="en-US" w:eastAsia="zh-CN"/>
            </w:rPr>
            <w:fldChar w:fldCharType="separate"/>
          </w:r>
          <w:r>
            <w:rPr>
              <w:rFonts w:hint="eastAsia" w:ascii="宋体" w:hAnsi="宋体" w:eastAsia="宋体" w:cs="宋体"/>
              <w:b w:val="0"/>
              <w:bCs/>
              <w:kern w:val="0"/>
              <w:sz w:val="28"/>
              <w:szCs w:val="28"/>
              <w:lang w:val="en-US" w:eastAsia="zh-CN"/>
            </w:rPr>
            <w:t>45</w:t>
          </w:r>
          <w:r>
            <w:rPr>
              <w:rFonts w:hint="eastAsia" w:ascii="宋体" w:hAnsi="宋体" w:eastAsia="宋体" w:cs="宋体"/>
              <w:b w:val="0"/>
              <w:bCs/>
              <w:kern w:val="0"/>
              <w:sz w:val="28"/>
              <w:szCs w:val="28"/>
              <w:lang w:val="en-US" w:eastAsia="zh-CN"/>
            </w:rPr>
            <w:fldChar w:fldCharType="end"/>
          </w:r>
          <w:r>
            <w:rPr>
              <w:rFonts w:hint="eastAsia" w:ascii="宋体" w:hAnsi="宋体" w:eastAsia="宋体" w:cs="宋体"/>
              <w:b w:val="0"/>
              <w:bCs/>
              <w:kern w:val="0"/>
              <w:sz w:val="28"/>
              <w:szCs w:val="28"/>
              <w:lang w:val="en-US" w:eastAsia="zh-CN"/>
            </w:rPr>
            <w:fldChar w:fldCharType="end"/>
          </w:r>
        </w:p>
        <w:p>
          <w:pPr>
            <w:pStyle w:val="12"/>
            <w:widowControl/>
            <w:tabs>
              <w:tab w:val="right" w:leader="dot" w:pos="8306"/>
            </w:tabs>
            <w:jc w:val="both"/>
            <w:rPr>
              <w:rFonts w:hint="eastAsia" w:ascii="宋体" w:hAnsi="宋体" w:eastAsia="宋体" w:cs="宋体"/>
              <w:b w:val="0"/>
              <w:bCs/>
              <w:kern w:val="0"/>
              <w:sz w:val="28"/>
              <w:szCs w:val="28"/>
              <w:lang w:val="en-US" w:eastAsia="zh-CN"/>
            </w:rPr>
          </w:pPr>
          <w:r>
            <w:rPr>
              <w:rFonts w:hint="eastAsia" w:ascii="宋体" w:hAnsi="宋体" w:eastAsia="宋体" w:cs="宋体"/>
              <w:b w:val="0"/>
              <w:bCs/>
              <w:kern w:val="0"/>
              <w:sz w:val="28"/>
              <w:szCs w:val="28"/>
              <w:lang w:val="en-US" w:eastAsia="zh-CN"/>
            </w:rPr>
            <w:fldChar w:fldCharType="end"/>
          </w:r>
        </w:p>
      </w:sdtContent>
    </w:sdt>
    <w:p>
      <w:pPr>
        <w:pStyle w:val="12"/>
        <w:widowControl/>
        <w:tabs>
          <w:tab w:val="right" w:leader="dot" w:pos="8306"/>
        </w:tabs>
        <w:ind w:left="559" w:leftChars="266" w:firstLine="0" w:firstLineChars="0"/>
        <w:rPr>
          <w:rFonts w:hint="eastAsia" w:ascii="宋体" w:hAnsi="宋体" w:eastAsia="宋体" w:cs="宋体"/>
          <w:b w:val="0"/>
          <w:bCs/>
          <w:kern w:val="0"/>
          <w:sz w:val="28"/>
          <w:szCs w:val="28"/>
          <w:lang w:val="en-US" w:eastAsia="zh-CN"/>
        </w:rPr>
        <w:sectPr>
          <w:pgSz w:w="11906" w:h="16838"/>
          <w:pgMar w:top="1440" w:right="1800" w:bottom="1440" w:left="1800" w:header="851" w:footer="992" w:gutter="0"/>
          <w:lnNumType w:countBy="0"/>
          <w:pgNumType w:start="1"/>
          <w:cols w:space="425" w:num="1"/>
          <w:docGrid w:type="lines" w:linePitch="312" w:charSpace="0"/>
        </w:sectPr>
      </w:pPr>
    </w:p>
    <w:p>
      <w:pPr>
        <w:spacing w:line="360" w:lineRule="auto"/>
        <w:jc w:val="center"/>
        <w:outlineLvl w:val="0"/>
        <w:rPr>
          <w:rFonts w:hint="eastAsia" w:ascii="方正小标宋简体" w:hAnsi="方正小标宋简体" w:eastAsia="方正小标宋简体" w:cs="方正小标宋简体"/>
          <w:b/>
          <w:bCs/>
          <w:sz w:val="32"/>
          <w:szCs w:val="32"/>
          <w:lang w:val="en-US" w:eastAsia="zh-CN"/>
        </w:rPr>
      </w:pPr>
      <w:bookmarkStart w:id="29" w:name="_Toc1706"/>
      <w:bookmarkStart w:id="30" w:name="_Toc150"/>
      <w:bookmarkStart w:id="31" w:name="_Toc3116"/>
      <w:bookmarkStart w:id="32" w:name="_Toc23795"/>
      <w:bookmarkStart w:id="33" w:name="_Toc27362"/>
      <w:r>
        <w:rPr>
          <w:rFonts w:hint="eastAsia" w:ascii="方正小标宋简体" w:hAnsi="方正小标宋简体" w:eastAsia="方正小标宋简体" w:cs="方正小标宋简体"/>
          <w:b/>
          <w:bCs/>
          <w:sz w:val="32"/>
          <w:szCs w:val="32"/>
          <w:lang w:val="en-US" w:eastAsia="zh-CN"/>
        </w:rPr>
        <w:t>前 言</w:t>
      </w:r>
      <w:bookmarkEnd w:id="29"/>
      <w:bookmarkEnd w:id="30"/>
      <w:bookmarkEnd w:id="31"/>
      <w:bookmarkEnd w:id="32"/>
      <w:bookmarkEnd w:id="33"/>
    </w:p>
    <w:p>
      <w:pPr>
        <w:spacing w:line="360" w:lineRule="auto"/>
        <w:jc w:val="center"/>
        <w:outlineLvl w:val="0"/>
        <w:rPr>
          <w:rFonts w:hint="eastAsia" w:ascii="方正小标宋简体" w:hAnsi="方正小标宋简体" w:eastAsia="方正小标宋简体" w:cs="方正小标宋简体"/>
          <w:b/>
          <w:bCs/>
          <w:sz w:val="32"/>
          <w:szCs w:val="32"/>
          <w:lang w:val="en-US" w:eastAsia="zh-CN"/>
        </w:rPr>
      </w:pPr>
    </w:p>
    <w:p>
      <w:pPr>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贯彻落实市委、市政府关于推动云浮市金属智造企业高质量发展的统一部署，积极响应“增强云浮市高质量发展动力，培育金属智造产业集群”发展理念，助力全市金属智造行业转型升级做大做强，国家税务总局云浮市税务局坚持以纳税人缴费人为中心的服务理念，编制《金属智造行业税费服务手册》，以实现税费优惠政策的精准推送，服务云浮实体经济高质量发展。</w:t>
      </w:r>
    </w:p>
    <w:p>
      <w:pPr>
        <w:spacing w:line="360" w:lineRule="auto"/>
        <w:ind w:firstLine="640" w:firstLineChars="200"/>
        <w:jc w:val="both"/>
        <w:rPr>
          <w:rFonts w:hint="eastAsia" w:ascii="仿宋_GB2312" w:hAnsi="仿宋_GB2312" w:eastAsia="仿宋_GB2312" w:cs="仿宋_GB2312"/>
          <w:sz w:val="32"/>
          <w:szCs w:val="32"/>
        </w:rPr>
      </w:pPr>
    </w:p>
    <w:p>
      <w:pPr>
        <w:spacing w:line="360" w:lineRule="auto"/>
        <w:ind w:firstLine="640" w:firstLineChars="200"/>
        <w:jc w:val="both"/>
        <w:rPr>
          <w:rFonts w:hint="eastAsia" w:ascii="仿宋_GB2312" w:hAnsi="仿宋_GB2312" w:eastAsia="仿宋_GB2312" w:cs="仿宋_GB2312"/>
          <w:sz w:val="32"/>
          <w:szCs w:val="32"/>
        </w:rPr>
      </w:pPr>
    </w:p>
    <w:p>
      <w:pPr>
        <w:spacing w:line="360" w:lineRule="auto"/>
        <w:ind w:firstLine="640" w:firstLineChars="200"/>
        <w:jc w:val="both"/>
        <w:rPr>
          <w:rFonts w:hint="eastAsia" w:ascii="仿宋_GB2312" w:hAnsi="仿宋_GB2312" w:eastAsia="仿宋_GB2312" w:cs="仿宋_GB2312"/>
          <w:sz w:val="32"/>
          <w:szCs w:val="32"/>
        </w:rPr>
      </w:pPr>
    </w:p>
    <w:p>
      <w:pPr>
        <w:spacing w:line="360" w:lineRule="auto"/>
        <w:ind w:firstLine="640" w:firstLineChars="200"/>
        <w:jc w:val="both"/>
        <w:rPr>
          <w:rFonts w:hint="eastAsia" w:ascii="仿宋_GB2312" w:hAnsi="仿宋_GB2312" w:eastAsia="仿宋_GB2312" w:cs="仿宋_GB2312"/>
          <w:sz w:val="32"/>
          <w:szCs w:val="32"/>
        </w:rPr>
      </w:pPr>
    </w:p>
    <w:p>
      <w:pPr>
        <w:spacing w:line="360" w:lineRule="auto"/>
        <w:ind w:firstLine="640" w:firstLineChars="200"/>
        <w:jc w:val="both"/>
        <w:rPr>
          <w:rFonts w:hint="eastAsia" w:ascii="仿宋_GB2312" w:hAnsi="仿宋_GB2312" w:eastAsia="仿宋_GB2312" w:cs="仿宋_GB2312"/>
          <w:sz w:val="32"/>
          <w:szCs w:val="32"/>
        </w:rPr>
      </w:pPr>
    </w:p>
    <w:p>
      <w:pPr>
        <w:spacing w:line="360" w:lineRule="auto"/>
        <w:ind w:firstLine="640" w:firstLineChars="200"/>
        <w:jc w:val="both"/>
        <w:rPr>
          <w:rFonts w:hint="eastAsia" w:ascii="仿宋_GB2312" w:hAnsi="仿宋_GB2312" w:eastAsia="仿宋_GB2312" w:cs="仿宋_GB2312"/>
          <w:sz w:val="32"/>
          <w:szCs w:val="32"/>
        </w:rPr>
      </w:pPr>
    </w:p>
    <w:p>
      <w:pPr>
        <w:spacing w:line="360" w:lineRule="auto"/>
        <w:ind w:firstLine="640" w:firstLineChars="200"/>
        <w:jc w:val="both"/>
        <w:rPr>
          <w:rFonts w:hint="eastAsia" w:ascii="仿宋_GB2312" w:hAnsi="仿宋_GB2312" w:eastAsia="仿宋_GB2312" w:cs="仿宋_GB2312"/>
          <w:sz w:val="32"/>
          <w:szCs w:val="32"/>
        </w:rPr>
      </w:pPr>
    </w:p>
    <w:p>
      <w:pPr>
        <w:spacing w:line="360" w:lineRule="auto"/>
        <w:ind w:firstLine="640" w:firstLineChars="200"/>
        <w:jc w:val="both"/>
        <w:rPr>
          <w:rFonts w:hint="eastAsia" w:ascii="仿宋_GB2312" w:hAnsi="仿宋_GB2312" w:eastAsia="仿宋_GB2312" w:cs="仿宋_GB2312"/>
          <w:sz w:val="32"/>
          <w:szCs w:val="32"/>
        </w:rPr>
      </w:pPr>
    </w:p>
    <w:p>
      <w:pPr>
        <w:spacing w:line="360" w:lineRule="auto"/>
        <w:ind w:firstLine="640" w:firstLineChars="200"/>
        <w:jc w:val="both"/>
        <w:rPr>
          <w:rFonts w:hint="eastAsia" w:ascii="仿宋_GB2312" w:hAnsi="仿宋_GB2312" w:eastAsia="仿宋_GB2312" w:cs="仿宋_GB2312"/>
          <w:sz w:val="32"/>
          <w:szCs w:val="32"/>
        </w:rPr>
      </w:pPr>
    </w:p>
    <w:p>
      <w:pPr>
        <w:spacing w:line="360" w:lineRule="auto"/>
        <w:ind w:firstLine="640" w:firstLineChars="200"/>
        <w:jc w:val="both"/>
        <w:rPr>
          <w:rFonts w:hint="eastAsia" w:ascii="仿宋_GB2312" w:hAnsi="仿宋_GB2312" w:eastAsia="仿宋_GB2312" w:cs="仿宋_GB2312"/>
          <w:sz w:val="32"/>
          <w:szCs w:val="32"/>
        </w:rPr>
      </w:pPr>
    </w:p>
    <w:p>
      <w:pPr>
        <w:spacing w:line="360" w:lineRule="auto"/>
        <w:ind w:firstLine="420" w:firstLineChars="200"/>
        <w:jc w:val="both"/>
        <w:rPr>
          <w:rFonts w:ascii="仿宋_GB2312" w:hAnsi="仿宋_GB2312" w:eastAsia="仿宋_GB2312" w:cs="仿宋_GB2312"/>
          <w:szCs w:val="21"/>
        </w:rPr>
      </w:pPr>
    </w:p>
    <w:p>
      <w:pPr>
        <w:spacing w:line="360" w:lineRule="auto"/>
        <w:jc w:val="both"/>
        <w:outlineLvl w:val="0"/>
        <w:rPr>
          <w:rFonts w:hint="eastAsia" w:ascii="黑体" w:hAnsi="黑体" w:eastAsia="黑体" w:cs="黑体"/>
          <w:b w:val="0"/>
          <w:bCs/>
          <w:kern w:val="44"/>
          <w:sz w:val="36"/>
          <w:szCs w:val="36"/>
          <w:lang w:val="en-US" w:eastAsia="zh-CN" w:bidi="ar-SA"/>
        </w:rPr>
        <w:sectPr>
          <w:footerReference r:id="rId3" w:type="default"/>
          <w:pgSz w:w="11906" w:h="16838"/>
          <w:pgMar w:top="1440" w:right="1800" w:bottom="1440" w:left="1800" w:header="851" w:footer="992" w:gutter="0"/>
          <w:lnNumType w:countBy="0"/>
          <w:pgNumType w:fmt="decimal"/>
          <w:cols w:space="425" w:num="1"/>
          <w:docGrid w:type="lines" w:linePitch="312" w:charSpace="0"/>
        </w:sectPr>
      </w:pPr>
      <w:bookmarkStart w:id="34" w:name="_Toc20740"/>
      <w:bookmarkStart w:id="35" w:name="_Toc17636"/>
      <w:bookmarkStart w:id="36" w:name="_Toc2603"/>
      <w:bookmarkStart w:id="37" w:name="_Toc15804"/>
    </w:p>
    <w:p>
      <w:pPr>
        <w:numPr>
          <w:ilvl w:val="0"/>
          <w:numId w:val="0"/>
        </w:numPr>
        <w:spacing w:line="360" w:lineRule="auto"/>
        <w:ind w:firstLine="643" w:firstLineChars="200"/>
        <w:jc w:val="both"/>
        <w:outlineLvl w:val="0"/>
        <w:rPr>
          <w:rFonts w:hint="eastAsia" w:ascii="黑体" w:hAnsi="黑体" w:eastAsia="黑体" w:cs="黑体"/>
          <w:b/>
          <w:bCs w:val="0"/>
          <w:kern w:val="44"/>
          <w:sz w:val="32"/>
          <w:szCs w:val="32"/>
          <w:lang w:val="en-US" w:eastAsia="zh-CN" w:bidi="ar-SA"/>
        </w:rPr>
      </w:pPr>
      <w:bookmarkStart w:id="38" w:name="_Toc12699"/>
      <w:r>
        <w:rPr>
          <w:rFonts w:hint="eastAsia" w:ascii="黑体" w:hAnsi="黑体" w:eastAsia="黑体" w:cs="黑体"/>
          <w:b/>
          <w:bCs w:val="0"/>
          <w:kern w:val="44"/>
          <w:sz w:val="32"/>
          <w:szCs w:val="32"/>
          <w:lang w:val="en-US" w:eastAsia="zh-CN" w:bidi="ar-SA"/>
        </w:rPr>
        <w:t>一、金属智造行业生产全链条税费</w:t>
      </w:r>
      <w:bookmarkEnd w:id="34"/>
      <w:bookmarkEnd w:id="35"/>
      <w:bookmarkEnd w:id="36"/>
      <w:bookmarkEnd w:id="37"/>
      <w:r>
        <w:rPr>
          <w:rFonts w:hint="eastAsia" w:ascii="黑体" w:hAnsi="黑体" w:eastAsia="黑体" w:cs="黑体"/>
          <w:b/>
          <w:bCs w:val="0"/>
          <w:kern w:val="44"/>
          <w:sz w:val="32"/>
          <w:szCs w:val="32"/>
          <w:lang w:val="en-US" w:eastAsia="zh-CN" w:bidi="ar-SA"/>
        </w:rPr>
        <w:t>优惠政策</w:t>
      </w:r>
      <w:bookmarkEnd w:id="38"/>
    </w:p>
    <w:p>
      <w:pPr>
        <w:pageBreakBefore w:val="0"/>
        <w:widowControl w:val="0"/>
        <w:kinsoku/>
        <w:wordWrap/>
        <w:overflowPunct/>
        <w:topLinePunct w:val="0"/>
        <w:autoSpaceDE/>
        <w:autoSpaceDN/>
        <w:bidi w:val="0"/>
        <w:adjustRightInd/>
        <w:snapToGrid/>
        <w:spacing w:line="360" w:lineRule="auto"/>
        <w:ind w:firstLine="642"/>
        <w:jc w:val="both"/>
        <w:textAlignment w:val="auto"/>
        <w:outlineLvl w:val="1"/>
        <w:rPr>
          <w:rFonts w:hint="eastAsia" w:ascii="楷体" w:hAnsi="楷体" w:eastAsia="楷体" w:cs="楷体"/>
          <w:b/>
          <w:bCs w:val="0"/>
          <w:sz w:val="32"/>
          <w:szCs w:val="32"/>
        </w:rPr>
      </w:pPr>
      <w:bookmarkStart w:id="39" w:name="_Toc25896"/>
      <w:bookmarkStart w:id="40" w:name="_Toc28339"/>
      <w:bookmarkStart w:id="41" w:name="_Toc393"/>
      <w:bookmarkStart w:id="42" w:name="_Toc1944"/>
      <w:bookmarkStart w:id="43" w:name="_Toc3121"/>
      <w:r>
        <w:rPr>
          <w:rFonts w:hint="eastAsia" w:ascii="楷体" w:hAnsi="楷体" w:eastAsia="楷体" w:cs="楷体"/>
          <w:b/>
          <w:bCs w:val="0"/>
          <w:kern w:val="2"/>
          <w:sz w:val="32"/>
          <w:szCs w:val="32"/>
          <w:lang w:val="en-US" w:eastAsia="zh-CN" w:bidi="ar-SA"/>
        </w:rPr>
        <w:t>（一）筹办环节</w:t>
      </w:r>
      <w:bookmarkEnd w:id="39"/>
      <w:bookmarkEnd w:id="40"/>
      <w:bookmarkEnd w:id="41"/>
      <w:bookmarkEnd w:id="42"/>
      <w:r>
        <w:rPr>
          <w:rFonts w:hint="eastAsia" w:ascii="楷体" w:hAnsi="楷体" w:eastAsia="楷体" w:cs="楷体"/>
          <w:b/>
          <w:bCs w:val="0"/>
          <w:kern w:val="2"/>
          <w:sz w:val="32"/>
          <w:szCs w:val="32"/>
          <w:lang w:val="en-US" w:eastAsia="zh-CN" w:bidi="ar-SA"/>
        </w:rPr>
        <w:t>相关优惠政策</w:t>
      </w:r>
      <w:bookmarkEnd w:id="43"/>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44" w:name="_Toc12685"/>
      <w:bookmarkStart w:id="45" w:name="_Toc22674"/>
      <w:bookmarkStart w:id="46" w:name="_Toc28014"/>
      <w:r>
        <w:rPr>
          <w:rFonts w:hint="eastAsia" w:ascii="仿宋_GB2312" w:hAnsi="仿宋_GB2312" w:eastAsia="仿宋_GB2312" w:cs="仿宋_GB2312"/>
          <w:b/>
          <w:bCs w:val="0"/>
          <w:color w:val="auto"/>
          <w:kern w:val="2"/>
          <w:sz w:val="32"/>
          <w:szCs w:val="32"/>
          <w:lang w:val="en-US" w:eastAsia="zh-CN" w:bidi="ar-SA"/>
        </w:rPr>
        <w:t>1.</w:t>
      </w:r>
      <w:bookmarkEnd w:id="44"/>
      <w:bookmarkEnd w:id="45"/>
      <w:bookmarkStart w:id="47" w:name="_Toc25959"/>
      <w:bookmarkStart w:id="48" w:name="_Toc13707"/>
      <w:bookmarkStart w:id="49" w:name="_Toc18931"/>
      <w:bookmarkStart w:id="50" w:name="_Toc30202"/>
      <w:r>
        <w:rPr>
          <w:rFonts w:hint="eastAsia" w:ascii="仿宋_GB2312" w:hAnsi="仿宋_GB2312" w:eastAsia="仿宋_GB2312" w:cs="仿宋_GB2312"/>
          <w:b/>
          <w:bCs w:val="0"/>
          <w:color w:val="auto"/>
          <w:kern w:val="2"/>
          <w:sz w:val="32"/>
          <w:szCs w:val="32"/>
          <w:lang w:val="en-US" w:eastAsia="zh-CN" w:bidi="ar-SA"/>
        </w:rPr>
        <w:t>企业新购进的设备、器具允许在计算应纳税所得额时一次性扣除</w:t>
      </w:r>
      <w:bookmarkEnd w:id="46"/>
      <w:bookmarkEnd w:id="47"/>
      <w:bookmarkEnd w:id="48"/>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51" w:name="_Toc2281"/>
      <w:bookmarkStart w:id="52" w:name="_Toc9423"/>
      <w:r>
        <w:rPr>
          <w:rFonts w:hint="eastAsia" w:ascii="仿宋_GB2312" w:hAnsi="仿宋_GB2312" w:eastAsia="仿宋_GB2312" w:cs="仿宋_GB2312"/>
          <w:b/>
          <w:bCs w:val="0"/>
          <w:color w:val="auto"/>
          <w:kern w:val="2"/>
          <w:sz w:val="32"/>
          <w:szCs w:val="32"/>
          <w:lang w:val="en-US" w:eastAsia="zh-CN" w:bidi="ar-SA"/>
        </w:rPr>
        <w:t>【政策内容】</w:t>
      </w:r>
      <w:bookmarkEnd w:id="51"/>
      <w:bookmarkEnd w:id="52"/>
    </w:p>
    <w:p>
      <w:pPr>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企业在2018年1月1日至2023年12月31日期间新购进的设备、器具，单位价值不超过500万元的，允许一次性计入当期成本费用在计算应纳税所得额时扣除，不再分年度计算折旧。</w:t>
      </w:r>
    </w:p>
    <w:p>
      <w:pPr>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中小微企业在2022年1月1日至2022年12月31日期间新购置的设备、器具，单位价值在500万元以上的，按照单位价值的一定比例自愿选择在企业所得税税前扣除。其中，企业所得税法实施条例规定最低折旧年限为3年的设备器具，单位价值的100%可在当年一次性税前扣除；最低折旧年限为4年、5年、10年的，单位价值的50%可在当年一次性税前扣除，其余50%按规定在剩余年度计算折旧进行税前扣除。</w:t>
      </w:r>
    </w:p>
    <w:p>
      <w:pPr>
        <w:spacing w:line="360" w:lineRule="auto"/>
        <w:ind w:firstLine="643" w:firstLineChars="200"/>
        <w:jc w:val="both"/>
        <w:outlineLvl w:val="2"/>
        <w:rPr>
          <w:rFonts w:hint="eastAsia" w:ascii="仿宋_GB2312" w:hAnsi="仿宋_GB2312" w:eastAsia="仿宋_GB2312" w:cs="仿宋_GB2312"/>
          <w:sz w:val="32"/>
          <w:szCs w:val="32"/>
          <w:lang w:eastAsia="zh-CN"/>
        </w:rPr>
      </w:pPr>
      <w:bookmarkStart w:id="53" w:name="_Toc12873"/>
      <w:bookmarkStart w:id="54" w:name="_Toc590"/>
      <w:r>
        <w:rPr>
          <w:rFonts w:hint="eastAsia" w:ascii="仿宋_GB2312" w:hAnsi="仿宋_GB2312" w:eastAsia="仿宋_GB2312" w:cs="仿宋_GB2312"/>
          <w:b/>
          <w:sz w:val="32"/>
          <w:szCs w:val="32"/>
          <w:lang w:eastAsia="zh-CN"/>
        </w:rPr>
        <w:t>【政策依据】</w:t>
      </w:r>
      <w:bookmarkEnd w:id="53"/>
      <w:bookmarkEnd w:id="54"/>
    </w:p>
    <w:p>
      <w:pPr>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《财政部 税务总局关于设备 器具扣除有关企业所得税政策的通知》（财税〔2018〕54号）</w:t>
      </w:r>
    </w:p>
    <w:p>
      <w:pPr>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《国家税务总局关于设备 器具扣除有关企业所得税政策执行问题的公告》（国家税务总局公告2018年第46号）</w:t>
      </w:r>
    </w:p>
    <w:p>
      <w:pPr>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《财政部 税务总局关于延长部分税收优惠政策执行期限的公告》（财政部 税务总局公告2021年第6号）</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 税务总局关于中小微企业设备器具所得税税前扣除有关政策的公告》（财政部 税务总局公告2022年第12号）</w:t>
      </w:r>
    </w:p>
    <w:p>
      <w:pPr>
        <w:jc w:val="both"/>
        <w:rPr>
          <w:rFonts w:hint="eastAsia" w:ascii="仿宋_GB2312" w:hAnsi="仿宋_GB2312" w:eastAsia="仿宋_GB2312" w:cs="仿宋_GB2312"/>
          <w:sz w:val="32"/>
          <w:szCs w:val="32"/>
          <w:lang w:eastAsia="zh-CN"/>
        </w:rPr>
      </w:pPr>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55" w:name="_Toc22096"/>
      <w:r>
        <w:rPr>
          <w:rFonts w:hint="eastAsia" w:ascii="仿宋_GB2312" w:hAnsi="仿宋_GB2312" w:eastAsia="仿宋_GB2312" w:cs="仿宋_GB2312"/>
          <w:b/>
          <w:bCs w:val="0"/>
          <w:color w:val="auto"/>
          <w:kern w:val="2"/>
          <w:sz w:val="32"/>
          <w:szCs w:val="32"/>
          <w:lang w:val="en-US" w:eastAsia="zh-CN" w:bidi="ar-SA"/>
        </w:rPr>
        <w:t>2.企业购进的固定资产加速折旧</w:t>
      </w:r>
      <w:bookmarkEnd w:id="55"/>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56" w:name="_Toc28330"/>
      <w:bookmarkStart w:id="57" w:name="_Toc10681"/>
      <w:r>
        <w:rPr>
          <w:rFonts w:hint="eastAsia" w:ascii="仿宋_GB2312" w:hAnsi="仿宋_GB2312" w:eastAsia="仿宋_GB2312" w:cs="仿宋_GB2312"/>
          <w:b/>
          <w:bCs w:val="0"/>
          <w:color w:val="auto"/>
          <w:kern w:val="2"/>
          <w:sz w:val="32"/>
          <w:szCs w:val="32"/>
          <w:lang w:val="en-US" w:eastAsia="zh-CN" w:bidi="ar-SA"/>
        </w:rPr>
        <w:t>【政策内容】</w:t>
      </w:r>
      <w:bookmarkEnd w:id="56"/>
      <w:bookmarkEnd w:id="57"/>
    </w:p>
    <w:p>
      <w:pPr>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自2019年1月1日起，制造业领域企业新购进的固定资产，可由企业选择缩短折旧年限或采取加速折旧的方法。缩短折旧年限的，最低折旧年限不得低于企业所得税法实施条例第六十条规定折旧年限的60%;采取加速折旧方法的，可采取双倍余额递减法或者年数总和法。</w:t>
      </w:r>
    </w:p>
    <w:p>
      <w:pPr>
        <w:spacing w:line="360" w:lineRule="auto"/>
        <w:ind w:firstLine="643"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【政策依据】</w:t>
      </w:r>
    </w:p>
    <w:p>
      <w:pPr>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《财政部 税务总局关于扩大固定资产加速折旧优惠政策适用范围的公告》（财政部 税务总局公告2019年第66号）</w:t>
      </w:r>
    </w:p>
    <w:p>
      <w:pPr>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《财政部 国家税务总局关于进一步完善固定资产加速折旧企业所得税政策的通知》（财税〔2015〕106号）</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 国家税务总局关于完善固定资产加速折旧企业所得税政策的通知》（财税〔2014〕75号）</w:t>
      </w:r>
    </w:p>
    <w:p>
      <w:pPr>
        <w:jc w:val="both"/>
        <w:rPr>
          <w:rFonts w:hint="eastAsia" w:ascii="仿宋_GB2312" w:hAnsi="仿宋_GB2312" w:eastAsia="仿宋_GB2312" w:cs="仿宋_GB2312"/>
          <w:sz w:val="32"/>
          <w:szCs w:val="32"/>
          <w:lang w:eastAsia="zh-CN"/>
        </w:rPr>
      </w:pPr>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58" w:name="_Toc10672"/>
      <w:r>
        <w:rPr>
          <w:rFonts w:hint="eastAsia" w:ascii="仿宋_GB2312" w:hAnsi="仿宋_GB2312" w:eastAsia="仿宋_GB2312" w:cs="仿宋_GB2312"/>
          <w:b/>
          <w:bCs w:val="0"/>
          <w:color w:val="auto"/>
          <w:kern w:val="2"/>
          <w:sz w:val="32"/>
          <w:szCs w:val="32"/>
          <w:lang w:val="en-US" w:eastAsia="zh-CN" w:bidi="ar-SA"/>
        </w:rPr>
        <w:t>3.企业租入固定资产进项税额抵扣</w:t>
      </w:r>
      <w:bookmarkEnd w:id="58"/>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59" w:name="_Toc26831"/>
      <w:bookmarkStart w:id="60" w:name="_Toc19040"/>
      <w:r>
        <w:rPr>
          <w:rFonts w:hint="eastAsia" w:ascii="仿宋_GB2312" w:hAnsi="仿宋_GB2312" w:eastAsia="仿宋_GB2312" w:cs="仿宋_GB2312"/>
          <w:b/>
          <w:bCs w:val="0"/>
          <w:color w:val="auto"/>
          <w:kern w:val="2"/>
          <w:sz w:val="32"/>
          <w:szCs w:val="32"/>
          <w:lang w:val="en-US" w:eastAsia="zh-CN" w:bidi="ar-SA"/>
        </w:rPr>
        <w:t>【政策内容】</w:t>
      </w:r>
      <w:bookmarkEnd w:id="59"/>
      <w:bookmarkEnd w:id="60"/>
    </w:p>
    <w:p>
      <w:pPr>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自2018年1月1日起，纳税人租入固定资产、不动产，既用于一般计税方法计税项目，又用于简易计税方法计税项目、免征增值税项目、集体福利或者个人消费的，其进项税额准予从销项税额中全额抵扣。</w:t>
      </w:r>
    </w:p>
    <w:p>
      <w:pPr>
        <w:spacing w:line="360" w:lineRule="auto"/>
        <w:ind w:firstLine="643" w:firstLineChars="200"/>
        <w:jc w:val="both"/>
        <w:outlineLvl w:val="2"/>
        <w:rPr>
          <w:rFonts w:hint="eastAsia" w:ascii="仿宋_GB2312" w:hAnsi="仿宋_GB2312" w:eastAsia="仿宋_GB2312" w:cs="仿宋_GB2312"/>
          <w:sz w:val="32"/>
          <w:szCs w:val="32"/>
          <w:lang w:eastAsia="zh-CN"/>
        </w:rPr>
      </w:pPr>
      <w:bookmarkStart w:id="61" w:name="_Toc17838"/>
      <w:bookmarkStart w:id="62" w:name="_Toc9610"/>
      <w:r>
        <w:rPr>
          <w:rFonts w:hint="eastAsia" w:ascii="仿宋_GB2312" w:hAnsi="仿宋_GB2312" w:eastAsia="仿宋_GB2312" w:cs="仿宋_GB2312"/>
          <w:b/>
          <w:sz w:val="32"/>
          <w:szCs w:val="32"/>
          <w:lang w:eastAsia="zh-CN"/>
        </w:rPr>
        <w:t>【政策依据】</w:t>
      </w:r>
      <w:bookmarkEnd w:id="61"/>
      <w:bookmarkEnd w:id="62"/>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 税务总局关于租入固定资产进项税额抵扣等增值税政策的通知》（财税〔2017〕90号）</w:t>
      </w:r>
    </w:p>
    <w:p>
      <w:pPr>
        <w:jc w:val="both"/>
        <w:rPr>
          <w:rFonts w:hint="eastAsia" w:ascii="仿宋_GB2312" w:hAnsi="仿宋_GB2312" w:eastAsia="仿宋_GB2312" w:cs="仿宋_GB2312"/>
          <w:sz w:val="32"/>
          <w:szCs w:val="32"/>
          <w:lang w:eastAsia="zh-CN"/>
        </w:rPr>
      </w:pPr>
    </w:p>
    <w:p>
      <w:pPr>
        <w:spacing w:line="360" w:lineRule="auto"/>
        <w:ind w:firstLine="643" w:firstLineChars="200"/>
        <w:jc w:val="both"/>
        <w:rPr>
          <w:rFonts w:hint="eastAsia" w:ascii="仿宋_GB2312" w:hAnsi="仿宋_GB2312" w:eastAsia="仿宋_GB2312" w:cs="仿宋_GB2312"/>
          <w:b/>
          <w:bCs w:val="0"/>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4.增值税期末留抵退税政策</w:t>
      </w:r>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63" w:name="_Toc15957"/>
      <w:bookmarkStart w:id="64" w:name="_Toc24836"/>
      <w:r>
        <w:rPr>
          <w:rFonts w:hint="eastAsia" w:ascii="仿宋_GB2312" w:hAnsi="仿宋_GB2312" w:eastAsia="仿宋_GB2312" w:cs="仿宋_GB2312"/>
          <w:b/>
          <w:bCs w:val="0"/>
          <w:color w:val="auto"/>
          <w:kern w:val="2"/>
          <w:sz w:val="32"/>
          <w:szCs w:val="32"/>
          <w:lang w:val="en-US" w:eastAsia="zh-CN" w:bidi="ar-SA"/>
        </w:rPr>
        <w:t>【政策内容】</w:t>
      </w:r>
      <w:bookmarkEnd w:id="63"/>
      <w:bookmarkEnd w:id="64"/>
    </w:p>
    <w:p>
      <w:pPr>
        <w:numPr>
          <w:ilvl w:val="0"/>
          <w:numId w:val="0"/>
        </w:numPr>
        <w:spacing w:line="360" w:lineRule="auto"/>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符合条件的小微企业，可以自2022年4月纳税申报期起向主管税务机关申请退还增量留抵税额。</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lang w:eastAsia="zh-CN"/>
        </w:rPr>
        <w:t>符合条件的微型企业，可以自2022年4月纳税申报期起向主管税务机关申请一次性退还存量留抵税额；符合条件的小型企业，可以自2022年5月纳税申报期起向主管税务机关申请一次性退还存量留抵税额。</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（3）符合条件的制造业等行业企业，可以自2022年4月纳税申报期起向主管税务机关申请退还增量留抵税额。</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4）符合条件的制造业等行业中型企业，可以自2022年5月纳税申报期起向主管税务机关申请一次性退还存量留抵税额；符合条件的制造业等行业大型企业，可以自2022年6月纳税申报期起向主管税务机关申请一次性退还存量留抵税额。</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sz w:val="32"/>
          <w:szCs w:val="32"/>
          <w:lang w:eastAsia="zh-CN"/>
        </w:rPr>
        <w:t>【政策依据】</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《财政部 税务总局关于进一步加大增值税期末留抵退税政策实施力度的公告》（财政部 税务总局公告2022年第14号）</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《财政部 税务总局关于进一步加快增值税期末留抵退税政策实施进度的公告》（2022年第17号）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《财政部 税务总局关于进一步持续加快增值税期末留抵退税政策实施进度的公告》（2022年第19号）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《财政部 税务总局关于扩大全额退还增值税留抵税额政策行业范围的公告 》 （2022年第21号） </w:t>
      </w:r>
    </w:p>
    <w:p>
      <w:pPr>
        <w:spacing w:line="360" w:lineRule="auto"/>
        <w:jc w:val="both"/>
        <w:rPr>
          <w:rFonts w:hint="default" w:ascii="仿宋_GB2312" w:eastAsia="仿宋_GB2312"/>
          <w:sz w:val="32"/>
          <w:szCs w:val="32"/>
          <w:lang w:val="en-US" w:eastAsia="zh-CN"/>
        </w:rPr>
      </w:pPr>
    </w:p>
    <w:p>
      <w:pPr>
        <w:spacing w:line="360" w:lineRule="auto"/>
        <w:ind w:firstLine="642"/>
        <w:jc w:val="both"/>
        <w:outlineLvl w:val="1"/>
        <w:rPr>
          <w:rFonts w:hint="eastAsia" w:ascii="仿宋_GB2312" w:hAnsi="仿宋_GB2312" w:eastAsia="仿宋_GB2312" w:cs="仿宋_GB2312"/>
          <w:sz w:val="32"/>
          <w:szCs w:val="32"/>
        </w:rPr>
      </w:pPr>
      <w:bookmarkStart w:id="65" w:name="_Toc3755"/>
      <w:bookmarkStart w:id="66" w:name="_Toc22189"/>
      <w:bookmarkStart w:id="67" w:name="_Toc31176"/>
      <w:r>
        <w:rPr>
          <w:rFonts w:hint="eastAsia" w:ascii="楷体" w:hAnsi="楷体" w:eastAsia="楷体" w:cs="楷体"/>
          <w:b/>
          <w:bCs w:val="0"/>
          <w:kern w:val="2"/>
          <w:sz w:val="32"/>
          <w:szCs w:val="32"/>
          <w:lang w:val="en-US" w:eastAsia="zh-CN" w:bidi="ar-SA"/>
        </w:rPr>
        <w:t>（二）生产环节相关优惠政策</w:t>
      </w:r>
      <w:bookmarkEnd w:id="65"/>
      <w:bookmarkEnd w:id="66"/>
      <w:bookmarkEnd w:id="67"/>
      <w:bookmarkStart w:id="68" w:name="_Toc17707"/>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69" w:name="_Toc11607"/>
      <w:r>
        <w:rPr>
          <w:rFonts w:hint="eastAsia" w:ascii="仿宋_GB2312" w:hAnsi="仿宋_GB2312" w:eastAsia="仿宋_GB2312" w:cs="仿宋_GB2312"/>
          <w:b/>
          <w:bCs w:val="0"/>
          <w:color w:val="auto"/>
          <w:kern w:val="2"/>
          <w:sz w:val="32"/>
          <w:szCs w:val="32"/>
          <w:lang w:val="en-US" w:eastAsia="zh-CN" w:bidi="ar-SA"/>
        </w:rPr>
        <w:t>5.清洁发展机制基金及清洁发展机制项目实施企业所得税减免</w:t>
      </w:r>
      <w:bookmarkEnd w:id="69"/>
      <w:r>
        <w:rPr>
          <w:rFonts w:hint="eastAsia" w:ascii="仿宋_GB2312" w:hAnsi="仿宋_GB2312" w:eastAsia="仿宋_GB2312" w:cs="仿宋_GB2312"/>
          <w:b/>
          <w:bCs w:val="0"/>
          <w:color w:val="auto"/>
          <w:kern w:val="2"/>
          <w:sz w:val="32"/>
          <w:szCs w:val="32"/>
          <w:lang w:val="en-US" w:eastAsia="zh-CN" w:bidi="ar-SA"/>
        </w:rPr>
        <w:t>政策</w:t>
      </w:r>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70" w:name="_Toc6565"/>
      <w:bookmarkStart w:id="71" w:name="_Toc15044"/>
      <w:r>
        <w:rPr>
          <w:rFonts w:hint="eastAsia" w:ascii="仿宋_GB2312" w:hAnsi="仿宋_GB2312" w:eastAsia="仿宋_GB2312" w:cs="仿宋_GB2312"/>
          <w:b/>
          <w:bCs w:val="0"/>
          <w:color w:val="auto"/>
          <w:kern w:val="2"/>
          <w:sz w:val="32"/>
          <w:szCs w:val="32"/>
          <w:lang w:val="en-US" w:eastAsia="zh-CN" w:bidi="ar-SA"/>
        </w:rPr>
        <w:t>【政策内容】</w:t>
      </w:r>
      <w:bookmarkEnd w:id="70"/>
      <w:bookmarkEnd w:id="71"/>
    </w:p>
    <w:p>
      <w:pPr>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清洁发展机制基金取得CDM项目温室气体减排量转让收入上缴国家的部分，国际金融组织赠款收入，基金资金的存款利息收入、购买国债的利息收入，国内外机构、组织和个人的捐赠收入，免征企业所得税。</w:t>
      </w:r>
    </w:p>
    <w:p>
      <w:pPr>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清洁发展机制项目实施企业按照《清洁发展机制项目运行管理办法》（发展改革委、科技部、外交部、财政部令第37号）的规定，将温室气体减排量的转让收入，按照比例上缴给国家的部分，准予在计算应纳税所得额时扣除。</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3）对清洁发展机制项目企业实施的将温室气体减排量转让收入的65%上缴给国家的HFC和PFC类CDM项目，以及将温室气体减排量转让收入的30%上缴给国家的N2O类CDM项目，其实施该类CDM项目的所得，自项目取得第一笔减排量转让收入所属纳税年度起，第一年至第三年免征企业所得税，第四年至第六年减半征收企业所得税。</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【政策依据】</w:t>
      </w:r>
    </w:p>
    <w:p>
      <w:pPr>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《财政部 国家税务总局关于中国清洁发展机制基金及清洁发展机制项目实施企业有关企业所得税政策问题的通知》（财税〔2009〕30号）</w:t>
      </w:r>
    </w:p>
    <w:p>
      <w:pPr>
        <w:spacing w:line="360" w:lineRule="auto"/>
        <w:ind w:firstLine="640" w:firstLineChars="200"/>
        <w:jc w:val="both"/>
        <w:rPr>
          <w:rFonts w:hint="eastAsia" w:ascii="仿宋_GB2312" w:hAnsi="仿宋_GB2312" w:eastAsia="仿宋_GB2312" w:cs="仿宋_GB2312"/>
          <w:sz w:val="32"/>
          <w:szCs w:val="32"/>
          <w:lang w:val="en-US" w:eastAsia="zh-CN"/>
        </w:rPr>
      </w:pPr>
    </w:p>
    <w:bookmarkEnd w:id="68"/>
    <w:p>
      <w:pPr>
        <w:spacing w:line="360" w:lineRule="auto"/>
        <w:ind w:firstLine="642"/>
        <w:jc w:val="both"/>
        <w:outlineLvl w:val="1"/>
        <w:rPr>
          <w:rFonts w:hint="eastAsia" w:ascii="楷体" w:hAnsi="楷体" w:eastAsia="楷体" w:cs="楷体"/>
          <w:b/>
          <w:bCs w:val="0"/>
          <w:kern w:val="2"/>
          <w:sz w:val="32"/>
          <w:szCs w:val="32"/>
          <w:lang w:val="en-US" w:eastAsia="zh-CN" w:bidi="ar-SA"/>
        </w:rPr>
      </w:pPr>
      <w:bookmarkStart w:id="72" w:name="_Toc3838"/>
      <w:bookmarkStart w:id="73" w:name="_Toc66"/>
      <w:bookmarkStart w:id="74" w:name="_Toc29982"/>
      <w:r>
        <w:rPr>
          <w:rFonts w:hint="eastAsia" w:ascii="楷体" w:hAnsi="楷体" w:eastAsia="楷体" w:cs="楷体"/>
          <w:b/>
          <w:bCs w:val="0"/>
          <w:kern w:val="2"/>
          <w:sz w:val="32"/>
          <w:szCs w:val="32"/>
          <w:lang w:val="en-US" w:eastAsia="zh-CN" w:bidi="ar-SA"/>
        </w:rPr>
        <w:t>（三）销售环节相关优惠政策</w:t>
      </w:r>
      <w:bookmarkEnd w:id="72"/>
      <w:bookmarkEnd w:id="73"/>
      <w:bookmarkEnd w:id="74"/>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75" w:name="_Toc4814"/>
      <w:bookmarkStart w:id="76" w:name="_Toc27258"/>
      <w:bookmarkStart w:id="77" w:name="_Toc18587"/>
      <w:bookmarkStart w:id="78" w:name="_Toc19802"/>
      <w:r>
        <w:rPr>
          <w:rFonts w:hint="eastAsia" w:ascii="仿宋_GB2312" w:hAnsi="仿宋_GB2312" w:eastAsia="仿宋_GB2312" w:cs="仿宋_GB2312"/>
          <w:b/>
          <w:bCs w:val="0"/>
          <w:color w:val="auto"/>
          <w:kern w:val="2"/>
          <w:sz w:val="32"/>
          <w:szCs w:val="32"/>
          <w:lang w:val="en-US" w:eastAsia="zh-CN" w:bidi="ar-SA"/>
        </w:rPr>
        <w:t>6.小规模纳税人未达起征点免征增值税</w:t>
      </w:r>
      <w:bookmarkEnd w:id="75"/>
      <w:bookmarkEnd w:id="76"/>
      <w:bookmarkEnd w:id="77"/>
      <w:bookmarkEnd w:id="78"/>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79" w:name="_Toc5581"/>
      <w:bookmarkStart w:id="80" w:name="_Toc24890"/>
      <w:r>
        <w:rPr>
          <w:rFonts w:hint="eastAsia" w:ascii="仿宋_GB2312" w:hAnsi="仿宋_GB2312" w:eastAsia="仿宋_GB2312" w:cs="仿宋_GB2312"/>
          <w:b/>
          <w:bCs w:val="0"/>
          <w:color w:val="auto"/>
          <w:kern w:val="2"/>
          <w:sz w:val="32"/>
          <w:szCs w:val="32"/>
          <w:lang w:val="en-US" w:eastAsia="zh-CN" w:bidi="ar-SA"/>
        </w:rPr>
        <w:t>【政策内容】</w:t>
      </w:r>
      <w:bookmarkEnd w:id="79"/>
      <w:bookmarkEnd w:id="80"/>
    </w:p>
    <w:p>
      <w:pPr>
        <w:spacing w:line="360" w:lineRule="auto"/>
        <w:ind w:firstLine="640" w:firstLineChars="200"/>
        <w:jc w:val="both"/>
        <w:rPr>
          <w:rFonts w:ascii="仿宋_GB2312" w:hAnsi="仿宋_GB2312" w:eastAsia="仿宋_GB2312" w:cs="仿宋_GB2312"/>
          <w:sz w:val="36"/>
          <w:szCs w:val="36"/>
        </w:rPr>
      </w:pPr>
      <w:r>
        <w:rPr>
          <w:rFonts w:ascii="仿宋_GB2312" w:hAnsi="仿宋_GB2312" w:eastAsia="仿宋_GB2312" w:cs="仿宋_GB2312"/>
          <w:color w:val="000000" w:themeColor="text1"/>
          <w:sz w:val="32"/>
          <w:szCs w:val="32"/>
          <w14:textFill>
            <w14:solidFill>
              <w14:schemeClr w14:val="tx1"/>
            </w14:solidFill>
          </w14:textFill>
        </w:rPr>
        <w:t>自2021年4月1日至2022年12月31日,对月销售额15万元以下</w:t>
      </w:r>
      <w:r>
        <w:rPr>
          <w:rFonts w:hint="eastAsia" w:ascii="仿宋_GB2312" w:hAnsi="仿宋_GB2312" w:eastAsia="仿宋_GB2312" w:cs="仿宋_GB2312"/>
          <w:color w:val="000000" w:themeColor="text1"/>
          <w:sz w:val="32"/>
          <w:szCs w:val="32"/>
          <w14:textFill>
            <w14:solidFill>
              <w14:schemeClr w14:val="tx1"/>
            </w14:solidFill>
          </w14:textFill>
        </w:rPr>
        <w:t>（季销售额45万元以下，含本数）</w:t>
      </w:r>
      <w:r>
        <w:rPr>
          <w:rFonts w:ascii="仿宋_GB2312" w:hAnsi="仿宋_GB2312" w:eastAsia="仿宋_GB2312" w:cs="仿宋_GB2312"/>
          <w:color w:val="000000" w:themeColor="text1"/>
          <w:sz w:val="32"/>
          <w:szCs w:val="32"/>
          <w14:textFill>
            <w14:solidFill>
              <w14:schemeClr w14:val="tx1"/>
            </w14:solidFill>
          </w14:textFill>
        </w:rPr>
        <w:t>的增</w:t>
      </w:r>
      <w:r>
        <w:rPr>
          <w:rFonts w:ascii="仿宋_GB2312" w:hAnsi="仿宋_GB2312" w:eastAsia="仿宋_GB2312" w:cs="仿宋_GB2312"/>
          <w:sz w:val="32"/>
          <w:szCs w:val="32"/>
        </w:rPr>
        <w:t>值税小规</w:t>
      </w:r>
      <w:r>
        <w:rPr>
          <w:rFonts w:ascii="仿宋_GB2312" w:hAnsi="仿宋_GB2312" w:eastAsia="仿宋_GB2312" w:cs="仿宋_GB2312"/>
          <w:sz w:val="36"/>
          <w:szCs w:val="36"/>
        </w:rPr>
        <w:t>模纳税人，免征增值税。</w:t>
      </w:r>
    </w:p>
    <w:p>
      <w:pPr>
        <w:spacing w:line="360" w:lineRule="auto"/>
        <w:ind w:firstLine="643" w:firstLineChars="200"/>
        <w:jc w:val="both"/>
        <w:rPr>
          <w:rFonts w:hint="eastAsia" w:ascii="仿宋_GB2312" w:hAnsi="仿宋_GB2312" w:eastAsia="仿宋_GB2312" w:cs="仿宋_GB2312"/>
          <w:b/>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lang w:eastAsia="zh-CN"/>
          <w14:textFill>
            <w14:solidFill>
              <w14:schemeClr w14:val="tx1"/>
            </w14:solidFill>
          </w14:textFill>
        </w:rPr>
        <w:t>【政策依据】</w:t>
      </w:r>
    </w:p>
    <w:p>
      <w:pPr>
        <w:spacing w:line="360" w:lineRule="auto"/>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《关于明确增值税小规模纳税人免征增值税政策的公告》（财政部 税务总局公告2021年第11号）</w:t>
      </w:r>
    </w:p>
    <w:p>
      <w:pPr>
        <w:spacing w:line="360" w:lineRule="auto"/>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81" w:name="_Toc15576"/>
      <w:bookmarkStart w:id="82" w:name="_Toc20484"/>
      <w:bookmarkStart w:id="83" w:name="_Toc1293"/>
      <w:bookmarkStart w:id="84" w:name="_Toc30865"/>
      <w:r>
        <w:rPr>
          <w:rFonts w:hint="eastAsia" w:ascii="仿宋_GB2312" w:hAnsi="仿宋_GB2312" w:eastAsia="仿宋_GB2312" w:cs="仿宋_GB2312"/>
          <w:b/>
          <w:bCs w:val="0"/>
          <w:color w:val="auto"/>
          <w:kern w:val="2"/>
          <w:sz w:val="32"/>
          <w:szCs w:val="32"/>
          <w:lang w:val="en-US" w:eastAsia="zh-CN" w:bidi="ar-SA"/>
        </w:rPr>
        <w:t>7.小规模纳税人阶段性免征增值税</w:t>
      </w:r>
      <w:bookmarkEnd w:id="81"/>
      <w:bookmarkEnd w:id="82"/>
      <w:bookmarkEnd w:id="83"/>
      <w:bookmarkEnd w:id="84"/>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85" w:name="_Toc25562"/>
      <w:bookmarkStart w:id="86" w:name="_Toc32658"/>
      <w:r>
        <w:rPr>
          <w:rFonts w:hint="eastAsia" w:ascii="仿宋_GB2312" w:hAnsi="仿宋_GB2312" w:eastAsia="仿宋_GB2312" w:cs="仿宋_GB2312"/>
          <w:b/>
          <w:bCs w:val="0"/>
          <w:color w:val="auto"/>
          <w:kern w:val="2"/>
          <w:sz w:val="32"/>
          <w:szCs w:val="32"/>
          <w:lang w:val="en-US" w:eastAsia="zh-CN" w:bidi="ar-SA"/>
        </w:rPr>
        <w:t>【政策内容】</w:t>
      </w:r>
      <w:bookmarkEnd w:id="85"/>
      <w:bookmarkEnd w:id="86"/>
    </w:p>
    <w:p>
      <w:pPr>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2020年3月1日至2022年3月31日，增值税小规模纳税人，适用3%征收率的应税销售收入，减按1%征收率征收增值税；适用3%预征率的预缴增值税项目，减按1%预征率预缴增值税。自2022年4月1日至2022年12月31日，增值税小规模纳税人，适用3%征收率的应税销售收入，免征征增值税；适用3%预征率的预缴增值税项目，暂停预缴增值税。</w:t>
      </w:r>
    </w:p>
    <w:p>
      <w:pPr>
        <w:spacing w:line="360" w:lineRule="auto"/>
        <w:ind w:firstLine="643"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【政策依据】</w:t>
      </w:r>
    </w:p>
    <w:p>
      <w:pPr>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《财政部 税务总局关于支持个体工商户复工复业增值税政策的公告》（财政部 税务总局公告2020年第13号）</w:t>
      </w:r>
    </w:p>
    <w:p>
      <w:pPr>
        <w:spacing w:line="360" w:lineRule="auto"/>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《财政部 税务总局关于延续实施应对疫情部分税费优惠政策的公告》（财政部 税务总局公告2021年第7号）第一条</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 税务总局关于对增值税小规模纳税人免征增值税的公告》（财政部 税务总局公告2022年第15号）</w:t>
      </w:r>
    </w:p>
    <w:p>
      <w:pPr>
        <w:spacing w:line="360" w:lineRule="auto"/>
        <w:ind w:firstLine="640" w:firstLineChars="200"/>
        <w:jc w:val="both"/>
        <w:rPr>
          <w:rFonts w:hint="eastAsia" w:ascii="仿宋_GB2312" w:hAnsi="仿宋_GB2312" w:eastAsia="仿宋_GB2312" w:cs="仿宋_GB2312"/>
          <w:sz w:val="32"/>
          <w:szCs w:val="32"/>
        </w:rPr>
      </w:pPr>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87" w:name="_Toc222"/>
      <w:bookmarkStart w:id="88" w:name="_Toc414"/>
      <w:bookmarkStart w:id="89" w:name="_Toc15306"/>
      <w:bookmarkStart w:id="90" w:name="_Toc29103"/>
      <w:r>
        <w:rPr>
          <w:rFonts w:hint="eastAsia" w:ascii="仿宋_GB2312" w:hAnsi="仿宋_GB2312" w:eastAsia="仿宋_GB2312" w:cs="仿宋_GB2312"/>
          <w:b/>
          <w:bCs w:val="0"/>
          <w:color w:val="auto"/>
          <w:kern w:val="2"/>
          <w:sz w:val="32"/>
          <w:szCs w:val="32"/>
          <w:lang w:val="en-US" w:eastAsia="zh-CN" w:bidi="ar-SA"/>
        </w:rPr>
        <w:t>8.小型微利企业所得税优惠</w:t>
      </w:r>
      <w:bookmarkEnd w:id="87"/>
      <w:bookmarkEnd w:id="88"/>
      <w:bookmarkEnd w:id="89"/>
      <w:bookmarkEnd w:id="90"/>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91" w:name="_Toc16143"/>
      <w:bookmarkStart w:id="92" w:name="_Toc31597"/>
      <w:r>
        <w:rPr>
          <w:rFonts w:hint="eastAsia" w:ascii="仿宋_GB2312" w:hAnsi="仿宋_GB2312" w:eastAsia="仿宋_GB2312" w:cs="仿宋_GB2312"/>
          <w:b/>
          <w:bCs w:val="0"/>
          <w:color w:val="auto"/>
          <w:kern w:val="2"/>
          <w:sz w:val="32"/>
          <w:szCs w:val="32"/>
          <w:lang w:val="en-US" w:eastAsia="zh-CN" w:bidi="ar-SA"/>
        </w:rPr>
        <w:t>【政策内容】</w:t>
      </w:r>
      <w:bookmarkEnd w:id="91"/>
      <w:bookmarkEnd w:id="92"/>
    </w:p>
    <w:p>
      <w:pPr>
        <w:spacing w:line="360" w:lineRule="auto"/>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自2021年1月1日至2022年12月31日，对小型微利企业年应纳税所得额不超过100万元的部分，减按12.5%计入应纳税所得额，按20%的税率缴纳企业所得税</w:t>
      </w:r>
      <w:r>
        <w:rPr>
          <w:rFonts w:hint="eastAsia" w:ascii="仿宋_GB2312" w:hAnsi="仿宋_GB2312" w:eastAsia="仿宋_GB2312" w:cs="仿宋_GB2312"/>
          <w:sz w:val="32"/>
          <w:szCs w:val="32"/>
        </w:rPr>
        <w:t>。</w:t>
      </w:r>
    </w:p>
    <w:p>
      <w:pPr>
        <w:spacing w:line="360" w:lineRule="auto"/>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自</w:t>
      </w:r>
      <w:r>
        <w:rPr>
          <w:rFonts w:hint="eastAsia" w:ascii="仿宋_GB2312" w:hAnsi="仿宋_GB2312" w:eastAsia="仿宋_GB2312" w:cs="仿宋_GB2312"/>
          <w:sz w:val="32"/>
          <w:szCs w:val="32"/>
        </w:rPr>
        <w:t>2022年1月1日至2024年12月31日，对小型微利企业年应纳税所得额超过100万元但不超过300万元的部分，减按25%计入应纳税所得额，按20%的税率缴纳企业所得税。</w:t>
      </w:r>
    </w:p>
    <w:p>
      <w:pPr>
        <w:spacing w:line="360" w:lineRule="auto"/>
        <w:ind w:firstLine="643"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【政策依据】</w:t>
      </w:r>
    </w:p>
    <w:p>
      <w:pPr>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《财政部 税务总局关于实施小微企业和个体工商户所得税优惠政策的公告》（财政部 税务总局公告2021年第12号）第一条</w:t>
      </w:r>
    </w:p>
    <w:p>
      <w:pPr>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《国家税务总局关于落实支持小型微利企业和个体工商户发展所得税优惠政策有关事项的公告》（国家税务总局公告2021年第8号）第一条</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 税务总局关于进一步实施小微企业所得税优惠政策的公告》（财政部 税务总局公告2022年第13号）第一条</w:t>
      </w:r>
    </w:p>
    <w:p>
      <w:pPr>
        <w:spacing w:line="360" w:lineRule="auto"/>
        <w:jc w:val="both"/>
        <w:rPr>
          <w:rFonts w:hint="eastAsia" w:ascii="仿宋_GB2312" w:hAnsi="仿宋_GB2312" w:eastAsia="仿宋_GB2312" w:cs="仿宋_GB2312"/>
          <w:sz w:val="32"/>
          <w:szCs w:val="32"/>
        </w:rPr>
      </w:pPr>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93" w:name="_Toc7590"/>
      <w:r>
        <w:rPr>
          <w:rFonts w:hint="eastAsia" w:ascii="仿宋_GB2312" w:hAnsi="仿宋_GB2312" w:eastAsia="仿宋_GB2312" w:cs="仿宋_GB2312"/>
          <w:b/>
          <w:bCs w:val="0"/>
          <w:color w:val="auto"/>
          <w:kern w:val="2"/>
          <w:sz w:val="32"/>
          <w:szCs w:val="32"/>
          <w:lang w:val="en-US" w:eastAsia="zh-CN" w:bidi="ar-SA"/>
        </w:rPr>
        <w:t>9.个体工商户个人所得税优惠</w:t>
      </w:r>
      <w:bookmarkEnd w:id="93"/>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94" w:name="_Toc16706"/>
      <w:bookmarkStart w:id="95" w:name="_Toc6543"/>
      <w:r>
        <w:rPr>
          <w:rFonts w:hint="eastAsia" w:ascii="仿宋_GB2312" w:hAnsi="仿宋_GB2312" w:eastAsia="仿宋_GB2312" w:cs="仿宋_GB2312"/>
          <w:b/>
          <w:bCs w:val="0"/>
          <w:color w:val="auto"/>
          <w:kern w:val="2"/>
          <w:sz w:val="32"/>
          <w:szCs w:val="32"/>
          <w:lang w:val="en-US" w:eastAsia="zh-CN" w:bidi="ar-SA"/>
        </w:rPr>
        <w:t>【政策内容】</w:t>
      </w:r>
      <w:bookmarkEnd w:id="94"/>
      <w:bookmarkEnd w:id="95"/>
    </w:p>
    <w:p>
      <w:pPr>
        <w:spacing w:line="360" w:lineRule="auto"/>
        <w:ind w:firstLine="640" w:firstLineChars="200"/>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对个体工商户年应纳税所得额不超过100万元的部分，在现行优惠政策基础上，减半征收个人所得税。</w:t>
      </w:r>
    </w:p>
    <w:p>
      <w:pPr>
        <w:spacing w:line="360" w:lineRule="auto"/>
        <w:ind w:firstLine="643"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28"/>
          <w:lang w:val="en-US" w:eastAsia="zh-CN"/>
        </w:rPr>
        <w:t>【政策依据】</w:t>
      </w:r>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《财政部 税务总局关于实施小微企业和个体工商户所得税优惠政策的公告》（财政部 税务总局公告2021年第12号）第二条</w:t>
      </w:r>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《国家税务总局关于落实支持小型微利企业和个体工商户发展所得税优惠政策有关事项的公告》（国家税务总局公告2021年第8号）第二条</w:t>
      </w:r>
    </w:p>
    <w:p>
      <w:pPr>
        <w:numPr>
          <w:ilvl w:val="0"/>
          <w:numId w:val="0"/>
        </w:numPr>
        <w:spacing w:line="360" w:lineRule="auto"/>
        <w:jc w:val="both"/>
        <w:rPr>
          <w:rFonts w:hint="eastAsia" w:ascii="仿宋_GB2312" w:hAnsi="仿宋_GB2312" w:eastAsia="仿宋_GB2312" w:cs="仿宋_GB2312"/>
          <w:sz w:val="32"/>
          <w:szCs w:val="32"/>
          <w:lang w:val="en-US" w:eastAsia="zh-CN"/>
        </w:rPr>
      </w:pPr>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96" w:name="_Toc23365"/>
      <w:r>
        <w:rPr>
          <w:rFonts w:hint="eastAsia" w:ascii="仿宋_GB2312" w:hAnsi="仿宋_GB2312" w:eastAsia="仿宋_GB2312" w:cs="仿宋_GB2312"/>
          <w:b/>
          <w:bCs w:val="0"/>
          <w:color w:val="auto"/>
          <w:kern w:val="2"/>
          <w:sz w:val="32"/>
          <w:szCs w:val="32"/>
          <w:lang w:val="en-US" w:eastAsia="zh-CN" w:bidi="ar-SA"/>
        </w:rPr>
        <w:t>10.增值税出口退税政策</w:t>
      </w:r>
      <w:bookmarkEnd w:id="96"/>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97" w:name="_Toc11165"/>
      <w:bookmarkStart w:id="98" w:name="_Toc7749"/>
      <w:r>
        <w:rPr>
          <w:rFonts w:hint="eastAsia" w:ascii="仿宋_GB2312" w:hAnsi="仿宋_GB2312" w:eastAsia="仿宋_GB2312" w:cs="仿宋_GB2312"/>
          <w:b/>
          <w:bCs w:val="0"/>
          <w:color w:val="auto"/>
          <w:kern w:val="2"/>
          <w:sz w:val="32"/>
          <w:szCs w:val="32"/>
          <w:lang w:val="en-US" w:eastAsia="zh-CN" w:bidi="ar-SA"/>
        </w:rPr>
        <w:t>【政策内容】</w:t>
      </w:r>
      <w:bookmarkEnd w:id="97"/>
      <w:bookmarkEnd w:id="98"/>
    </w:p>
    <w:p>
      <w:pPr>
        <w:spacing w:line="360" w:lineRule="auto"/>
        <w:ind w:firstLine="640" w:firstLineChars="200"/>
        <w:jc w:val="both"/>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将六氟铝酸钠等化工制品、香水等香化洗涤、聚氯乙烯等塑料、部分橡胶及其制品、毛皮衣服等皮革制品、信封等纸制品、日用陶瓷、显像管玻壳等玻璃制品、精密焊钢管等钢材、单晶硅片、直径大于等于30cm的单晶硅棒、铝型材等有色金属材、部分凿岩工具、金属家具等商品的出口退税率提高到13%。</w:t>
      </w:r>
    </w:p>
    <w:p>
      <w:pPr>
        <w:spacing w:line="360" w:lineRule="auto"/>
        <w:ind w:firstLine="640" w:firstLineChars="200"/>
        <w:jc w:val="both"/>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将碳酸钠等化工制品、建筑陶瓷、卫生陶瓷、锁具等小五金、铜板带材、部分搪瓷制品、部分钢铁制品、仿真首饰等商品的出口退税率提高到9%。</w:t>
      </w:r>
    </w:p>
    <w:p>
      <w:pPr>
        <w:spacing w:line="360" w:lineRule="auto"/>
        <w:ind w:firstLine="640" w:firstLineChars="200"/>
        <w:jc w:val="both"/>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将瓷制卫生器具等1084项产品出口退税率提高至13%；将植物生长调节剂等380项产品出口退税率提高至9%。</w:t>
      </w:r>
    </w:p>
    <w:p>
      <w:pPr>
        <w:numPr>
          <w:ilvl w:val="0"/>
          <w:numId w:val="0"/>
        </w:numPr>
        <w:spacing w:line="360" w:lineRule="auto"/>
        <w:ind w:firstLine="643" w:firstLineChars="200"/>
        <w:jc w:val="both"/>
        <w:outlineLvl w:val="1"/>
        <w:rPr>
          <w:rFonts w:hint="eastAsia" w:ascii="仿宋_GB2312" w:eastAsia="仿宋_GB2312"/>
          <w:b w:val="0"/>
          <w:bCs/>
          <w:sz w:val="32"/>
          <w:szCs w:val="32"/>
          <w:lang w:val="en-US" w:eastAsia="zh-CN"/>
        </w:rPr>
      </w:pPr>
      <w:bookmarkStart w:id="99" w:name="_Toc12624"/>
      <w:bookmarkStart w:id="100" w:name="_Toc911"/>
      <w:r>
        <w:rPr>
          <w:rFonts w:hint="eastAsia" w:ascii="仿宋_GB2312" w:eastAsia="仿宋_GB2312"/>
          <w:b/>
          <w:sz w:val="32"/>
          <w:szCs w:val="32"/>
          <w:lang w:val="en-US" w:eastAsia="zh-CN"/>
        </w:rPr>
        <w:t>【政策依据】</w:t>
      </w:r>
      <w:bookmarkEnd w:id="99"/>
      <w:bookmarkEnd w:id="100"/>
    </w:p>
    <w:p>
      <w:pPr>
        <w:spacing w:line="360" w:lineRule="auto"/>
        <w:ind w:firstLine="640" w:firstLineChars="200"/>
        <w:jc w:val="both"/>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《财政部 国家税务总局关于提高轻纺 电子信息等商品出口退税率的通知》（财税〔2009〕43号）</w:t>
      </w:r>
    </w:p>
    <w:p>
      <w:pPr>
        <w:spacing w:line="360" w:lineRule="auto"/>
        <w:ind w:firstLine="640" w:firstLineChars="200"/>
        <w:jc w:val="both"/>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《财政部 税务总局关于提高部分产品出口退税率的公告》（财政部 税务总局公告2020年第15号）</w:t>
      </w:r>
    </w:p>
    <w:p>
      <w:pPr>
        <w:numPr>
          <w:ilvl w:val="0"/>
          <w:numId w:val="0"/>
        </w:numPr>
        <w:spacing w:line="360" w:lineRule="auto"/>
        <w:ind w:firstLine="640" w:firstLineChars="200"/>
        <w:jc w:val="both"/>
        <w:outlineLvl w:val="1"/>
        <w:rPr>
          <w:rFonts w:hint="eastAsia" w:ascii="仿宋_GB2312" w:hAnsi="仿宋_GB2312" w:eastAsia="仿宋_GB2312" w:cs="仿宋_GB2312"/>
          <w:b w:val="0"/>
          <w:bCs/>
          <w:color w:val="auto"/>
          <w:kern w:val="2"/>
          <w:sz w:val="32"/>
          <w:szCs w:val="32"/>
          <w:lang w:val="en-US" w:eastAsia="zh-CN" w:bidi="ar-SA"/>
        </w:rPr>
      </w:pPr>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101" w:name="_Toc30944"/>
      <w:bookmarkStart w:id="102" w:name="_Toc11149"/>
      <w:bookmarkStart w:id="103" w:name="_Toc7047"/>
      <w:bookmarkStart w:id="104" w:name="_Toc13507"/>
      <w:r>
        <w:rPr>
          <w:rFonts w:hint="eastAsia" w:ascii="仿宋_GB2312" w:hAnsi="仿宋_GB2312" w:eastAsia="仿宋_GB2312" w:cs="仿宋_GB2312"/>
          <w:b/>
          <w:bCs w:val="0"/>
          <w:color w:val="auto"/>
          <w:kern w:val="2"/>
          <w:sz w:val="32"/>
          <w:szCs w:val="32"/>
          <w:lang w:val="en-US" w:eastAsia="zh-CN" w:bidi="ar-SA"/>
        </w:rPr>
        <w:t>11.中小微企业延缓缴纳部分税费</w:t>
      </w:r>
      <w:bookmarkEnd w:id="101"/>
      <w:bookmarkEnd w:id="102"/>
      <w:bookmarkEnd w:id="103"/>
      <w:bookmarkEnd w:id="104"/>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105" w:name="_Toc24545"/>
      <w:bookmarkStart w:id="106" w:name="_Toc31266"/>
      <w:r>
        <w:rPr>
          <w:rFonts w:hint="eastAsia" w:ascii="仿宋_GB2312" w:hAnsi="仿宋_GB2312" w:eastAsia="仿宋_GB2312" w:cs="仿宋_GB2312"/>
          <w:b/>
          <w:bCs w:val="0"/>
          <w:color w:val="auto"/>
          <w:kern w:val="2"/>
          <w:sz w:val="32"/>
          <w:szCs w:val="32"/>
          <w:lang w:val="en-US" w:eastAsia="zh-CN" w:bidi="ar-SA"/>
        </w:rPr>
        <w:t>【政策内容】</w:t>
      </w:r>
      <w:bookmarkEnd w:id="105"/>
      <w:bookmarkEnd w:id="106"/>
    </w:p>
    <w:p>
      <w:pPr>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符合规定条件的制造业中小微企业，对2021年第四季度、2022年第一季度、第二季度依法办理纳税申报后，制造业中型企业可以延缓缴纳各项税费金额的50%（企业所得税、个人所得税（代扣代缴除外）、国内增值税、国内消费税及附征的城市维护建设税、教育费附加、地方教育附加，不包括向税务机关申请代开发票时缴纳的税费），制造业小微企业可以延缓缴纳全部税费。其中2021年第四季度延缓的期限为9个月，2022年第一季度、第二季度延缓的期限为6个月。</w:t>
      </w:r>
    </w:p>
    <w:p>
      <w:pPr>
        <w:spacing w:line="360" w:lineRule="auto"/>
        <w:ind w:firstLine="643" w:firstLineChars="200"/>
        <w:jc w:val="both"/>
        <w:outlineLvl w:val="2"/>
        <w:rPr>
          <w:rFonts w:hint="eastAsia" w:ascii="仿宋_GB2312" w:hAnsi="仿宋_GB2312" w:eastAsia="仿宋_GB2312" w:cs="仿宋_GB2312"/>
          <w:sz w:val="32"/>
          <w:szCs w:val="32"/>
          <w:lang w:eastAsia="zh-CN"/>
        </w:rPr>
      </w:pPr>
      <w:bookmarkStart w:id="107" w:name="_Toc26546"/>
      <w:bookmarkStart w:id="108" w:name="_Toc27265"/>
      <w:r>
        <w:rPr>
          <w:rFonts w:hint="eastAsia" w:ascii="仿宋_GB2312" w:hAnsi="仿宋_GB2312" w:eastAsia="仿宋_GB2312" w:cs="仿宋_GB2312"/>
          <w:b/>
          <w:sz w:val="32"/>
          <w:szCs w:val="32"/>
          <w:lang w:eastAsia="zh-CN"/>
        </w:rPr>
        <w:t>【政策依据】</w:t>
      </w:r>
      <w:bookmarkEnd w:id="107"/>
      <w:bookmarkEnd w:id="108"/>
    </w:p>
    <w:p>
      <w:pPr>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《国家税务总局 财政部关于制造业中小微企业延缓缴纳2021年第四季度部分税费有关事项的公告》（国家税务总局公告2021年第30号）</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《国家税务总局 财政部关于延续实施制造业中小微企业延缓缴纳部分税费有关事项的公告》（国家税务总局 财政部公告2022年第2号）</w:t>
      </w:r>
    </w:p>
    <w:p>
      <w:pPr>
        <w:spacing w:line="360" w:lineRule="auto"/>
        <w:jc w:val="both"/>
        <w:rPr>
          <w:rFonts w:hint="default" w:ascii="仿宋_GB2312" w:eastAsia="仿宋_GB2312"/>
          <w:b w:val="0"/>
          <w:bCs/>
          <w:sz w:val="32"/>
          <w:szCs w:val="32"/>
          <w:lang w:val="en-US" w:eastAsia="zh-CN"/>
        </w:rPr>
      </w:pPr>
    </w:p>
    <w:p>
      <w:pPr>
        <w:numPr>
          <w:ilvl w:val="0"/>
          <w:numId w:val="1"/>
        </w:numPr>
        <w:spacing w:line="360" w:lineRule="auto"/>
        <w:ind w:firstLine="642"/>
        <w:jc w:val="both"/>
        <w:outlineLvl w:val="1"/>
        <w:rPr>
          <w:rFonts w:hint="eastAsia" w:ascii="楷体" w:hAnsi="楷体" w:eastAsia="楷体" w:cs="楷体"/>
          <w:b/>
          <w:bCs w:val="0"/>
          <w:kern w:val="2"/>
          <w:sz w:val="32"/>
          <w:szCs w:val="32"/>
          <w:lang w:val="en-US" w:eastAsia="zh-CN" w:bidi="ar-SA"/>
        </w:rPr>
      </w:pPr>
      <w:bookmarkStart w:id="109" w:name="_Toc13728"/>
      <w:r>
        <w:rPr>
          <w:rFonts w:hint="eastAsia" w:ascii="楷体" w:hAnsi="楷体" w:eastAsia="楷体" w:cs="楷体"/>
          <w:b/>
          <w:bCs w:val="0"/>
          <w:kern w:val="2"/>
          <w:sz w:val="32"/>
          <w:szCs w:val="32"/>
          <w:lang w:val="en-US" w:eastAsia="zh-CN" w:bidi="ar-SA"/>
        </w:rPr>
        <w:t>生产要素投入相关优惠政策</w:t>
      </w:r>
      <w:bookmarkEnd w:id="109"/>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110" w:name="_Toc9854"/>
      <w:r>
        <w:rPr>
          <w:rFonts w:hint="eastAsia" w:ascii="仿宋_GB2312" w:hAnsi="仿宋_GB2312" w:eastAsia="仿宋_GB2312" w:cs="仿宋_GB2312"/>
          <w:b/>
          <w:bCs w:val="0"/>
          <w:color w:val="auto"/>
          <w:kern w:val="2"/>
          <w:sz w:val="32"/>
          <w:szCs w:val="32"/>
          <w:lang w:val="en-US" w:eastAsia="zh-CN" w:bidi="ar-SA"/>
        </w:rPr>
        <w:t>12.</w:t>
      </w:r>
      <w:bookmarkStart w:id="111" w:name="_Toc16955"/>
      <w:bookmarkStart w:id="112" w:name="_Toc9291"/>
      <w:bookmarkStart w:id="113" w:name="_Toc22503"/>
      <w:r>
        <w:rPr>
          <w:rFonts w:hint="eastAsia" w:ascii="仿宋_GB2312" w:hAnsi="仿宋_GB2312" w:eastAsia="仿宋_GB2312" w:cs="仿宋_GB2312"/>
          <w:b/>
          <w:bCs w:val="0"/>
          <w:color w:val="auto"/>
          <w:kern w:val="2"/>
          <w:sz w:val="32"/>
          <w:szCs w:val="32"/>
          <w:lang w:val="en-US" w:eastAsia="zh-CN" w:bidi="ar-SA"/>
        </w:rPr>
        <w:t>阶段性降低用人单位社保费缴费费率</w:t>
      </w:r>
      <w:bookmarkEnd w:id="110"/>
    </w:p>
    <w:p>
      <w:pPr>
        <w:numPr>
          <w:ilvl w:val="0"/>
          <w:numId w:val="0"/>
        </w:numPr>
        <w:spacing w:line="360" w:lineRule="auto"/>
        <w:ind w:firstLine="643" w:firstLineChars="200"/>
        <w:jc w:val="both"/>
        <w:outlineLvl w:val="1"/>
        <w:rPr>
          <w:rFonts w:hint="eastAsia" w:ascii="仿宋_GB2312" w:hAnsi="仿宋_GB2312" w:eastAsia="仿宋_GB2312" w:cs="仿宋_GB2312"/>
          <w:color w:val="000000" w:themeColor="text1"/>
          <w:sz w:val="32"/>
          <w:szCs w:val="32"/>
          <w:lang w:eastAsia="zh-CN"/>
          <w14:textFill>
            <w14:solidFill>
              <w14:schemeClr w14:val="tx1"/>
            </w14:solidFill>
          </w14:textFill>
        </w:rPr>
      </w:pPr>
      <w:bookmarkStart w:id="114" w:name="_Toc24114"/>
      <w:bookmarkStart w:id="115" w:name="_Toc10344"/>
      <w:r>
        <w:rPr>
          <w:rFonts w:hint="eastAsia" w:ascii="仿宋_GB2312" w:hAnsi="仿宋_GB2312" w:eastAsia="仿宋_GB2312" w:cs="仿宋_GB2312"/>
          <w:b/>
          <w:bCs w:val="0"/>
          <w:color w:val="auto"/>
          <w:kern w:val="2"/>
          <w:sz w:val="32"/>
          <w:szCs w:val="32"/>
          <w:lang w:val="en-US" w:eastAsia="zh-CN" w:bidi="ar-SA"/>
        </w:rPr>
        <w:t>【政策内容</w:t>
      </w: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bookmarkEnd w:id="114"/>
      <w:bookmarkEnd w:id="115"/>
    </w:p>
    <w:p>
      <w:pPr>
        <w:spacing w:line="360" w:lineRule="auto"/>
        <w:ind w:firstLine="640" w:firstLineChars="200"/>
        <w:jc w:val="both"/>
        <w:outlineLvl w:val="2"/>
        <w:rPr>
          <w:rFonts w:ascii="仿宋_GB2312" w:hAnsi="仿宋_GB2312" w:eastAsia="仿宋_GB2312" w:cs="仿宋_GB2312"/>
          <w:color w:val="000000" w:themeColor="text1"/>
          <w:sz w:val="32"/>
          <w:szCs w:val="32"/>
          <w14:textFill>
            <w14:solidFill>
              <w14:schemeClr w14:val="tx1"/>
            </w14:solidFill>
          </w14:textFill>
        </w:rPr>
      </w:pPr>
      <w:bookmarkStart w:id="116" w:name="_Toc12016"/>
      <w:bookmarkStart w:id="117" w:name="_Toc16827"/>
      <w:bookmarkStart w:id="118" w:name="_Toc13875"/>
      <w:bookmarkStart w:id="119" w:name="_Toc22515"/>
      <w:bookmarkStart w:id="120" w:name="_Toc28145"/>
      <w:bookmarkStart w:id="121" w:name="_Toc6584"/>
      <w:bookmarkStart w:id="122" w:name="_Toc28619"/>
      <w:bookmarkStart w:id="123" w:name="_Toc23735"/>
      <w:bookmarkStart w:id="124" w:name="_Toc907"/>
      <w:r>
        <w:rPr>
          <w:rFonts w:hint="eastAsia" w:ascii="仿宋_GB2312" w:hAnsi="仿宋_GB2312" w:eastAsia="仿宋_GB2312" w:cs="仿宋_GB2312"/>
          <w:color w:val="000000" w:themeColor="text1"/>
          <w:sz w:val="32"/>
          <w:szCs w:val="32"/>
          <w14:textFill>
            <w14:solidFill>
              <w14:schemeClr w14:val="tx1"/>
            </w14:solidFill>
          </w14:textFill>
        </w:rPr>
        <w:t>降低企业社保负担，2022年延续实施阶段性降低失业保险、工伤保险费率政策。</w:t>
      </w:r>
      <w:bookmarkEnd w:id="116"/>
      <w:bookmarkEnd w:id="117"/>
      <w:bookmarkEnd w:id="118"/>
      <w:bookmarkEnd w:id="119"/>
      <w:bookmarkEnd w:id="120"/>
      <w:bookmarkEnd w:id="121"/>
      <w:bookmarkEnd w:id="122"/>
      <w:bookmarkEnd w:id="123"/>
      <w:bookmarkEnd w:id="124"/>
    </w:p>
    <w:p>
      <w:pPr>
        <w:spacing w:line="360" w:lineRule="auto"/>
        <w:ind w:firstLine="643" w:firstLineChars="200"/>
        <w:jc w:val="both"/>
        <w:outlineLvl w:val="2"/>
        <w:rPr>
          <w:rFonts w:hint="eastAsia" w:ascii="仿宋_GB2312" w:hAnsi="仿宋_GB2312" w:eastAsia="仿宋_GB2312" w:cs="仿宋_GB2312"/>
          <w:color w:val="000000" w:themeColor="text1"/>
          <w:sz w:val="32"/>
          <w:szCs w:val="32"/>
          <w:lang w:eastAsia="zh-CN"/>
          <w14:textFill>
            <w14:solidFill>
              <w14:schemeClr w14:val="tx1"/>
            </w14:solidFill>
          </w14:textFill>
        </w:rPr>
      </w:pPr>
      <w:bookmarkStart w:id="125" w:name="_Toc25167"/>
      <w:bookmarkStart w:id="126" w:name="_Toc29741"/>
      <w:r>
        <w:rPr>
          <w:rFonts w:hint="eastAsia" w:ascii="仿宋_GB2312" w:hAnsi="仿宋_GB2312" w:eastAsia="仿宋_GB2312" w:cs="仿宋_GB2312"/>
          <w:b/>
          <w:color w:val="000000" w:themeColor="text1"/>
          <w:sz w:val="32"/>
          <w:szCs w:val="32"/>
          <w:lang w:eastAsia="zh-CN"/>
          <w14:textFill>
            <w14:solidFill>
              <w14:schemeClr w14:val="tx1"/>
            </w14:solidFill>
          </w14:textFill>
        </w:rPr>
        <w:t>【政策依据】</w:t>
      </w:r>
      <w:bookmarkEnd w:id="125"/>
      <w:bookmarkEnd w:id="126"/>
    </w:p>
    <w:p>
      <w:pPr>
        <w:spacing w:line="360" w:lineRule="auto"/>
        <w:ind w:firstLine="640" w:firstLineChars="200"/>
        <w:jc w:val="both"/>
        <w:outlineLvl w:val="2"/>
        <w:rPr>
          <w:rFonts w:hint="eastAsia" w:ascii="仿宋_GB2312" w:hAnsi="仿宋_GB2312" w:eastAsia="仿宋_GB2312" w:cs="仿宋_GB2312"/>
          <w:color w:val="000000" w:themeColor="text1"/>
          <w:sz w:val="32"/>
          <w:szCs w:val="32"/>
          <w14:textFill>
            <w14:solidFill>
              <w14:schemeClr w14:val="tx1"/>
            </w14:solidFill>
          </w14:textFill>
        </w:rPr>
      </w:pPr>
      <w:bookmarkStart w:id="127" w:name="_Toc2612"/>
      <w:bookmarkStart w:id="128" w:name="_Toc29026"/>
      <w:bookmarkStart w:id="129" w:name="_Toc9826"/>
      <w:bookmarkStart w:id="130" w:name="_Toc3437"/>
      <w:bookmarkStart w:id="131" w:name="_Toc32083"/>
      <w:bookmarkStart w:id="132" w:name="_Toc2727"/>
      <w:bookmarkStart w:id="133" w:name="_Toc15082"/>
      <w:bookmarkStart w:id="134" w:name="_Toc31491"/>
      <w:bookmarkStart w:id="135" w:name="_Toc28180"/>
      <w:r>
        <w:rPr>
          <w:rFonts w:hint="eastAsia" w:ascii="仿宋_GB2312" w:hAnsi="仿宋_GB2312" w:eastAsia="仿宋_GB2312" w:cs="仿宋_GB2312"/>
          <w:color w:val="000000" w:themeColor="text1"/>
          <w:sz w:val="32"/>
          <w:szCs w:val="32"/>
          <w14:textFill>
            <w14:solidFill>
              <w14:schemeClr w14:val="tx1"/>
            </w14:solidFill>
          </w14:textFill>
        </w:rPr>
        <w:t>国家发展改革委等12部门联合印发《关于印发促进工业经济平稳增长的若干政策的通知》（发改产业〔2022〕273号）第一条第4点</w:t>
      </w:r>
      <w:bookmarkEnd w:id="127"/>
      <w:bookmarkEnd w:id="128"/>
      <w:bookmarkEnd w:id="129"/>
      <w:bookmarkEnd w:id="130"/>
      <w:bookmarkEnd w:id="131"/>
      <w:bookmarkEnd w:id="132"/>
      <w:bookmarkEnd w:id="133"/>
      <w:bookmarkEnd w:id="134"/>
      <w:bookmarkEnd w:id="135"/>
    </w:p>
    <w:p>
      <w:pPr>
        <w:spacing w:line="360" w:lineRule="auto"/>
        <w:ind w:firstLine="640" w:firstLineChars="200"/>
        <w:jc w:val="both"/>
        <w:outlineLvl w:val="2"/>
        <w:rPr>
          <w:rFonts w:hint="eastAsia" w:ascii="仿宋_GB2312" w:hAnsi="仿宋_GB2312" w:eastAsia="仿宋_GB2312" w:cs="仿宋_GB2312"/>
          <w:color w:val="000000" w:themeColor="text1"/>
          <w:sz w:val="32"/>
          <w:szCs w:val="32"/>
          <w14:textFill>
            <w14:solidFill>
              <w14:schemeClr w14:val="tx1"/>
            </w14:solidFill>
          </w14:textFill>
        </w:rPr>
      </w:pPr>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136" w:name="_Toc26410"/>
      <w:r>
        <w:rPr>
          <w:rFonts w:hint="eastAsia" w:ascii="仿宋_GB2312" w:hAnsi="仿宋_GB2312" w:eastAsia="仿宋_GB2312" w:cs="仿宋_GB2312"/>
          <w:b/>
          <w:bCs w:val="0"/>
          <w:color w:val="auto"/>
          <w:kern w:val="2"/>
          <w:sz w:val="32"/>
          <w:szCs w:val="32"/>
          <w:lang w:val="en-US" w:eastAsia="zh-CN" w:bidi="ar-SA"/>
        </w:rPr>
        <w:t>13.</w:t>
      </w:r>
      <w:bookmarkEnd w:id="111"/>
      <w:bookmarkEnd w:id="112"/>
      <w:bookmarkEnd w:id="113"/>
      <w:r>
        <w:rPr>
          <w:rFonts w:hint="eastAsia" w:ascii="仿宋_GB2312" w:hAnsi="仿宋_GB2312" w:eastAsia="仿宋_GB2312" w:cs="仿宋_GB2312"/>
          <w:b/>
          <w:bCs w:val="0"/>
          <w:color w:val="auto"/>
          <w:kern w:val="2"/>
          <w:sz w:val="32"/>
          <w:szCs w:val="32"/>
          <w:lang w:val="en-US" w:eastAsia="zh-CN" w:bidi="ar-SA"/>
        </w:rPr>
        <w:t>小微企业“六税两费” 减免政策</w:t>
      </w:r>
      <w:bookmarkEnd w:id="136"/>
      <w:r>
        <w:rPr>
          <w:rFonts w:hint="eastAsia" w:ascii="仿宋_GB2312" w:hAnsi="仿宋_GB2312" w:eastAsia="仿宋_GB2312" w:cs="仿宋_GB2312"/>
          <w:b/>
          <w:bCs w:val="0"/>
          <w:color w:val="auto"/>
          <w:kern w:val="2"/>
          <w:sz w:val="32"/>
          <w:szCs w:val="32"/>
          <w:lang w:val="en-US" w:eastAsia="zh-CN" w:bidi="ar-SA"/>
        </w:rPr>
        <w:t xml:space="preserve">  </w:t>
      </w:r>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137" w:name="_Toc29702"/>
      <w:bookmarkStart w:id="138" w:name="_Toc10491"/>
      <w:r>
        <w:rPr>
          <w:rFonts w:hint="eastAsia" w:ascii="仿宋_GB2312" w:hAnsi="仿宋_GB2312" w:eastAsia="仿宋_GB2312" w:cs="仿宋_GB2312"/>
          <w:b/>
          <w:bCs w:val="0"/>
          <w:color w:val="auto"/>
          <w:kern w:val="2"/>
          <w:sz w:val="32"/>
          <w:szCs w:val="32"/>
          <w:lang w:val="en-US" w:eastAsia="zh-CN" w:bidi="ar-SA"/>
        </w:rPr>
        <w:t>【政策内容】</w:t>
      </w:r>
      <w:bookmarkEnd w:id="137"/>
      <w:bookmarkEnd w:id="138"/>
    </w:p>
    <w:p>
      <w:pPr>
        <w:spacing w:line="360" w:lineRule="auto"/>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rPr>
        <w:t>22</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月1日至202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年12月31日</w:t>
      </w:r>
      <w:r>
        <w:rPr>
          <w:rFonts w:hint="eastAsia" w:ascii="仿宋_GB2312" w:hAnsi="仿宋_GB2312" w:eastAsia="仿宋_GB2312" w:cs="仿宋_GB2312"/>
          <w:sz w:val="32"/>
          <w:szCs w:val="32"/>
        </w:rPr>
        <w:t>，由省、自治区、直辖市人民政府根据本地区实际情况，以及宏观调控需要确定，对增值税小规模纳税人、小型微利企业和个体工商户可以在50%的税额幅度内减征资源税、城市维护建设税、房产税、城镇土地使用税、印花税（不含证券交易印花税）、耕地占用税和教育费附加、地方教育附加。</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增值税小规模纳税人已依法享受资源税、城市维护建设税、房产税、城镇土地使用税、印花税、耕地占用税、教育费附加、地方教育附加其他优惠政策的，可叠加享受此项优惠政策。 </w:t>
      </w:r>
    </w:p>
    <w:p>
      <w:pPr>
        <w:spacing w:line="360" w:lineRule="auto"/>
        <w:ind w:firstLine="643" w:firstLineChars="200"/>
        <w:jc w:val="both"/>
        <w:outlineLvl w:val="2"/>
        <w:rPr>
          <w:rFonts w:hint="eastAsia" w:ascii="仿宋_GB2312" w:hAnsi="仿宋_GB2312" w:eastAsia="仿宋_GB2312" w:cs="仿宋_GB2312"/>
          <w:sz w:val="32"/>
          <w:szCs w:val="32"/>
          <w:lang w:eastAsia="zh-CN"/>
        </w:rPr>
      </w:pPr>
      <w:bookmarkStart w:id="139" w:name="_Toc18630"/>
      <w:bookmarkStart w:id="140" w:name="_Toc30718"/>
      <w:r>
        <w:rPr>
          <w:rFonts w:hint="eastAsia" w:ascii="仿宋_GB2312" w:hAnsi="仿宋_GB2312" w:eastAsia="仿宋_GB2312" w:cs="仿宋_GB2312"/>
          <w:b/>
          <w:sz w:val="32"/>
          <w:szCs w:val="32"/>
          <w:lang w:eastAsia="zh-CN"/>
        </w:rPr>
        <w:t>【政策依据】</w:t>
      </w:r>
      <w:bookmarkEnd w:id="139"/>
      <w:bookmarkEnd w:id="140"/>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 税务总局关于进一步实施小微企业“六税两费”减免政策的公告》（财政部税务总局公告2022年第10号）</w:t>
      </w:r>
    </w:p>
    <w:p>
      <w:pPr>
        <w:spacing w:line="360" w:lineRule="auto"/>
        <w:ind w:firstLine="640" w:firstLineChars="200"/>
        <w:jc w:val="both"/>
        <w:rPr>
          <w:rFonts w:hint="eastAsia" w:ascii="仿宋_GB2312" w:hAnsi="仿宋_GB2312" w:eastAsia="仿宋_GB2312" w:cs="仿宋_GB2312"/>
          <w:sz w:val="32"/>
          <w:szCs w:val="32"/>
        </w:rPr>
      </w:pPr>
    </w:p>
    <w:p>
      <w:pPr>
        <w:spacing w:line="360" w:lineRule="auto"/>
        <w:ind w:firstLine="643" w:firstLineChars="200"/>
        <w:jc w:val="both"/>
        <w:rPr>
          <w:rFonts w:hint="eastAsia" w:ascii="仿宋_GB2312" w:hAnsi="仿宋_GB2312" w:eastAsia="仿宋_GB2312" w:cs="仿宋_GB2312"/>
          <w:b/>
          <w:bCs w:val="0"/>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14.</w:t>
      </w:r>
      <w:bookmarkStart w:id="141" w:name="_Toc6578"/>
      <w:bookmarkStart w:id="142" w:name="_Toc3762"/>
      <w:bookmarkStart w:id="143" w:name="_Toc2209"/>
      <w:r>
        <w:rPr>
          <w:rFonts w:hint="eastAsia" w:ascii="仿宋_GB2312" w:hAnsi="仿宋_GB2312" w:eastAsia="仿宋_GB2312" w:cs="仿宋_GB2312"/>
          <w:b/>
          <w:bCs w:val="0"/>
          <w:color w:val="auto"/>
          <w:kern w:val="2"/>
          <w:sz w:val="32"/>
          <w:szCs w:val="32"/>
          <w:lang w:val="en-US" w:eastAsia="zh-CN" w:bidi="ar-SA"/>
        </w:rPr>
        <w:t>符合条件的缴纳义务人免征有关政府性基金</w:t>
      </w:r>
      <w:bookmarkEnd w:id="141"/>
      <w:bookmarkEnd w:id="142"/>
      <w:bookmarkEnd w:id="143"/>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144" w:name="_Toc19117"/>
      <w:bookmarkStart w:id="145" w:name="_Toc14979"/>
      <w:r>
        <w:rPr>
          <w:rFonts w:hint="eastAsia" w:ascii="仿宋_GB2312" w:hAnsi="仿宋_GB2312" w:eastAsia="仿宋_GB2312" w:cs="仿宋_GB2312"/>
          <w:b/>
          <w:bCs w:val="0"/>
          <w:color w:val="auto"/>
          <w:kern w:val="2"/>
          <w:sz w:val="32"/>
          <w:szCs w:val="32"/>
          <w:lang w:val="en-US" w:eastAsia="zh-CN" w:bidi="ar-SA"/>
        </w:rPr>
        <w:t>【政策内容】</w:t>
      </w:r>
      <w:bookmarkEnd w:id="144"/>
      <w:bookmarkEnd w:id="145"/>
    </w:p>
    <w:p>
      <w:pPr>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对按月纳税的月销售额或营业额不超过10万元，以及按季度纳税的季度销售额或营业额不超过30万元的缴纳义务人免征教育费附加、地方教育附加。</w:t>
      </w:r>
    </w:p>
    <w:p>
      <w:pPr>
        <w:spacing w:line="360" w:lineRule="auto"/>
        <w:ind w:firstLine="643" w:firstLineChars="200"/>
        <w:jc w:val="both"/>
        <w:outlineLvl w:val="2"/>
        <w:rPr>
          <w:rFonts w:hint="eastAsia" w:ascii="仿宋_GB2312" w:hAnsi="仿宋_GB2312" w:eastAsia="仿宋_GB2312" w:cs="仿宋_GB2312"/>
          <w:sz w:val="32"/>
          <w:szCs w:val="32"/>
          <w:lang w:eastAsia="zh-CN"/>
        </w:rPr>
      </w:pPr>
      <w:bookmarkStart w:id="146" w:name="_Toc23728"/>
      <w:bookmarkStart w:id="147" w:name="_Toc23934"/>
      <w:r>
        <w:rPr>
          <w:rFonts w:hint="eastAsia" w:ascii="仿宋_GB2312" w:hAnsi="仿宋_GB2312" w:eastAsia="仿宋_GB2312" w:cs="仿宋_GB2312"/>
          <w:b/>
          <w:sz w:val="32"/>
          <w:szCs w:val="32"/>
          <w:lang w:eastAsia="zh-CN"/>
        </w:rPr>
        <w:t>【政策依据】</w:t>
      </w:r>
      <w:bookmarkEnd w:id="146"/>
      <w:bookmarkEnd w:id="147"/>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 国家税务总局关于扩大有关政府性基金免征范围的通知》（财税〔2016〕12 号）</w:t>
      </w:r>
    </w:p>
    <w:p>
      <w:pPr>
        <w:numPr>
          <w:ilvl w:val="0"/>
          <w:numId w:val="0"/>
        </w:numPr>
        <w:spacing w:line="360" w:lineRule="auto"/>
        <w:jc w:val="both"/>
        <w:outlineLvl w:val="1"/>
        <w:rPr>
          <w:rFonts w:hint="eastAsia" w:ascii="楷体" w:hAnsi="楷体" w:eastAsia="楷体" w:cs="楷体"/>
          <w:b/>
          <w:bCs w:val="0"/>
          <w:kern w:val="2"/>
          <w:sz w:val="32"/>
          <w:szCs w:val="32"/>
          <w:lang w:val="en-US" w:eastAsia="zh-CN" w:bidi="ar-SA"/>
        </w:rPr>
      </w:pPr>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148" w:name="_Toc19966"/>
      <w:bookmarkStart w:id="149" w:name="_Toc20296"/>
      <w:bookmarkStart w:id="150" w:name="_Toc3103"/>
      <w:bookmarkStart w:id="151" w:name="_Toc2397"/>
      <w:r>
        <w:rPr>
          <w:rFonts w:hint="eastAsia" w:ascii="仿宋_GB2312" w:hAnsi="仿宋_GB2312" w:eastAsia="仿宋_GB2312" w:cs="仿宋_GB2312"/>
          <w:b/>
          <w:bCs w:val="0"/>
          <w:color w:val="auto"/>
          <w:kern w:val="2"/>
          <w:sz w:val="32"/>
          <w:szCs w:val="32"/>
          <w:lang w:val="en-US" w:eastAsia="zh-CN" w:bidi="ar-SA"/>
        </w:rPr>
        <w:t>15.符合条件的企业暂免征收残疾人就业保障金</w:t>
      </w:r>
      <w:bookmarkEnd w:id="148"/>
      <w:bookmarkEnd w:id="149"/>
      <w:bookmarkEnd w:id="150"/>
      <w:bookmarkEnd w:id="151"/>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152" w:name="_Toc12536"/>
      <w:bookmarkStart w:id="153" w:name="_Toc2557"/>
      <w:r>
        <w:rPr>
          <w:rFonts w:hint="eastAsia" w:ascii="仿宋_GB2312" w:hAnsi="仿宋_GB2312" w:eastAsia="仿宋_GB2312" w:cs="仿宋_GB2312"/>
          <w:b/>
          <w:bCs w:val="0"/>
          <w:color w:val="auto"/>
          <w:kern w:val="2"/>
          <w:sz w:val="32"/>
          <w:szCs w:val="32"/>
          <w:lang w:val="en-US" w:eastAsia="zh-CN" w:bidi="ar-SA"/>
        </w:rPr>
        <w:t>【政策内容】</w:t>
      </w:r>
      <w:bookmarkEnd w:id="152"/>
      <w:bookmarkEnd w:id="153"/>
    </w:p>
    <w:p>
      <w:pPr>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自2020年1月1日至2022</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12</w:t>
      </w:r>
      <w:r>
        <w:rPr>
          <w:rFonts w:ascii="仿宋_GB2312" w:hAnsi="仿宋_GB2312" w:eastAsia="仿宋_GB2312" w:cs="仿宋_GB2312"/>
          <w:sz w:val="32"/>
          <w:szCs w:val="32"/>
        </w:rPr>
        <w:t>月</w:t>
      </w:r>
      <w:r>
        <w:rPr>
          <w:rFonts w:hint="eastAsia" w:ascii="仿宋_GB2312" w:hAnsi="仿宋_GB2312" w:eastAsia="仿宋_GB2312" w:cs="仿宋_GB2312"/>
          <w:sz w:val="32"/>
          <w:szCs w:val="32"/>
        </w:rPr>
        <w:t>31</w:t>
      </w:r>
      <w:r>
        <w:rPr>
          <w:rFonts w:ascii="仿宋_GB2312" w:hAnsi="仿宋_GB2312" w:eastAsia="仿宋_GB2312" w:cs="仿宋_GB2312"/>
          <w:sz w:val="32"/>
          <w:szCs w:val="32"/>
        </w:rPr>
        <w:t>日</w:t>
      </w:r>
      <w:r>
        <w:rPr>
          <w:rFonts w:hint="eastAsia" w:ascii="仿宋_GB2312" w:hAnsi="仿宋_GB2312" w:eastAsia="仿宋_GB2312" w:cs="仿宋_GB2312"/>
          <w:sz w:val="32"/>
          <w:szCs w:val="32"/>
        </w:rPr>
        <w:t>，在职职工人数在30人（含）以下的企业，暂免征收残疾人就业保障金。</w:t>
      </w:r>
    </w:p>
    <w:p>
      <w:pPr>
        <w:spacing w:line="360" w:lineRule="auto"/>
        <w:ind w:firstLine="643" w:firstLineChars="200"/>
        <w:jc w:val="both"/>
        <w:outlineLvl w:val="2"/>
        <w:rPr>
          <w:rFonts w:hint="eastAsia" w:ascii="仿宋_GB2312" w:hAnsi="仿宋_GB2312" w:eastAsia="仿宋_GB2312" w:cs="仿宋_GB2312"/>
          <w:sz w:val="32"/>
          <w:szCs w:val="32"/>
          <w:lang w:eastAsia="zh-CN"/>
        </w:rPr>
      </w:pPr>
      <w:bookmarkStart w:id="154" w:name="_Toc29525"/>
      <w:bookmarkStart w:id="155" w:name="_Toc31593"/>
      <w:r>
        <w:rPr>
          <w:rFonts w:hint="eastAsia" w:ascii="仿宋_GB2312" w:hAnsi="仿宋_GB2312" w:eastAsia="仿宋_GB2312" w:cs="仿宋_GB2312"/>
          <w:b/>
          <w:sz w:val="32"/>
          <w:szCs w:val="32"/>
          <w:lang w:eastAsia="zh-CN"/>
        </w:rPr>
        <w:t>【政策依据】</w:t>
      </w:r>
      <w:bookmarkEnd w:id="154"/>
      <w:bookmarkEnd w:id="155"/>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《财政部关于调整残疾人就业保障金征收政策的公告》（财政部公告2019年第98号）第四条</w:t>
      </w:r>
    </w:p>
    <w:p>
      <w:pPr>
        <w:spacing w:line="360" w:lineRule="auto"/>
        <w:ind w:firstLine="640" w:firstLineChars="200"/>
        <w:jc w:val="both"/>
        <w:rPr>
          <w:rFonts w:hint="eastAsia" w:ascii="仿宋_GB2312" w:hAnsi="仿宋_GB2312" w:eastAsia="仿宋_GB2312" w:cs="仿宋_GB2312"/>
          <w:sz w:val="32"/>
          <w:szCs w:val="32"/>
        </w:rPr>
      </w:pPr>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156" w:name="_Toc30221"/>
      <w:bookmarkStart w:id="157" w:name="_Toc27772"/>
      <w:bookmarkStart w:id="158" w:name="_Toc19923"/>
      <w:r>
        <w:rPr>
          <w:rFonts w:hint="eastAsia" w:ascii="仿宋_GB2312" w:hAnsi="仿宋_GB2312" w:eastAsia="仿宋_GB2312" w:cs="仿宋_GB2312"/>
          <w:b/>
          <w:bCs w:val="0"/>
          <w:color w:val="auto"/>
          <w:kern w:val="2"/>
          <w:sz w:val="32"/>
          <w:szCs w:val="32"/>
          <w:lang w:val="en-US" w:eastAsia="zh-CN" w:bidi="ar-SA"/>
        </w:rPr>
        <w:t>16.符合条件的用人单位分档减缴征收残疾人就业保障金</w:t>
      </w:r>
      <w:bookmarkEnd w:id="156"/>
      <w:bookmarkEnd w:id="157"/>
      <w:bookmarkEnd w:id="158"/>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159" w:name="_Toc28685"/>
      <w:bookmarkStart w:id="160" w:name="_Toc12852"/>
      <w:r>
        <w:rPr>
          <w:rFonts w:hint="eastAsia" w:ascii="仿宋_GB2312" w:hAnsi="仿宋_GB2312" w:eastAsia="仿宋_GB2312" w:cs="仿宋_GB2312"/>
          <w:b/>
          <w:bCs w:val="0"/>
          <w:color w:val="auto"/>
          <w:kern w:val="2"/>
          <w:sz w:val="32"/>
          <w:szCs w:val="32"/>
          <w:lang w:val="en-US" w:eastAsia="zh-CN" w:bidi="ar-SA"/>
        </w:rPr>
        <w:t>【政策内容】</w:t>
      </w:r>
      <w:bookmarkEnd w:id="159"/>
      <w:bookmarkEnd w:id="160"/>
    </w:p>
    <w:p>
      <w:pPr>
        <w:spacing w:line="360" w:lineRule="auto"/>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继续按不高于2017年征收标准征收残疾人就业保障金，落实分档减缴和暂免征收优惠政策，实施期限至2022年12月31日（即征收所属期至2021年度）。用人单位安排残疾人就业比例1%（含）以上但低于1.5%的，三年内按应缴费额50%征收；1%以下的，三年内按应缴费额90%征收。</w:t>
      </w:r>
    </w:p>
    <w:p>
      <w:pPr>
        <w:spacing w:line="360" w:lineRule="auto"/>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残保金征收标准上限仍按当地社会平均工资的2 倍执行，社会平均工资的口径为城镇私营单位和非私营单位就业人员加权平均工资。</w:t>
      </w:r>
    </w:p>
    <w:p>
      <w:pPr>
        <w:spacing w:line="360" w:lineRule="auto"/>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以统计部门提供的我市2017年全口径城镇单位就业人员年平均工资的75%作为征收残疾人就业保障金的标准上限，实行分档减缴和暂免征收优惠政策，实施期限至2022年12月31日（即征收所属期为2021年度）。</w:t>
      </w:r>
    </w:p>
    <w:p>
      <w:pPr>
        <w:spacing w:line="360" w:lineRule="auto"/>
        <w:ind w:firstLine="643" w:firstLineChars="200"/>
        <w:jc w:val="both"/>
        <w:outlineLvl w:val="2"/>
        <w:rPr>
          <w:rFonts w:hint="eastAsia" w:ascii="仿宋_GB2312" w:hAnsi="仿宋_GB2312" w:eastAsia="仿宋_GB2312" w:cs="仿宋_GB2312"/>
          <w:color w:val="000000" w:themeColor="text1"/>
          <w:sz w:val="32"/>
          <w:szCs w:val="32"/>
          <w:lang w:eastAsia="zh-CN"/>
          <w14:textFill>
            <w14:solidFill>
              <w14:schemeClr w14:val="tx1"/>
            </w14:solidFill>
          </w14:textFill>
        </w:rPr>
      </w:pPr>
      <w:bookmarkStart w:id="161" w:name="_Toc22986"/>
      <w:bookmarkStart w:id="162" w:name="_Toc17202"/>
      <w:r>
        <w:rPr>
          <w:rFonts w:hint="eastAsia" w:ascii="仿宋_GB2312" w:hAnsi="仿宋_GB2312" w:eastAsia="仿宋_GB2312" w:cs="仿宋_GB2312"/>
          <w:b/>
          <w:color w:val="000000" w:themeColor="text1"/>
          <w:sz w:val="32"/>
          <w:szCs w:val="32"/>
          <w:lang w:eastAsia="zh-CN"/>
          <w14:textFill>
            <w14:solidFill>
              <w14:schemeClr w14:val="tx1"/>
            </w14:solidFill>
          </w14:textFill>
        </w:rPr>
        <w:t>【政策依据】</w:t>
      </w:r>
      <w:bookmarkEnd w:id="161"/>
      <w:bookmarkEnd w:id="162"/>
    </w:p>
    <w:p>
      <w:pPr>
        <w:spacing w:line="360" w:lineRule="auto"/>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《广东省人民政府关于印发广东省进一步稳定和促进就业若干政策措施的通知》（粤府〔2020〕12号）第一点</w:t>
      </w:r>
    </w:p>
    <w:p>
      <w:pPr>
        <w:spacing w:line="360" w:lineRule="auto"/>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《云浮市人民政府关于印发云浮市进一步稳定和扩大就业若干政策措施的通知》（云府〔2021〕20号）</w:t>
      </w:r>
    </w:p>
    <w:p>
      <w:pPr>
        <w:spacing w:line="360" w:lineRule="auto"/>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《关于完善残疾人就业保障金制度更好促进残疾人就业的总体方案》（发改价格规〔2019〕2015号）</w:t>
      </w:r>
    </w:p>
    <w:p>
      <w:pPr>
        <w:spacing w:line="360" w:lineRule="auto"/>
        <w:jc w:val="both"/>
        <w:outlineLvl w:val="2"/>
        <w:rPr>
          <w:rFonts w:hint="default" w:ascii="仿宋_GB2312" w:hAnsi="仿宋_GB2312" w:eastAsia="仿宋_GB2312" w:cs="仿宋_GB2312"/>
          <w:kern w:val="0"/>
          <w:sz w:val="32"/>
          <w:szCs w:val="32"/>
          <w:lang w:val="en-US" w:eastAsia="zh-CN" w:bidi="ar-SA"/>
        </w:rPr>
      </w:pPr>
      <w:bookmarkStart w:id="163" w:name="_Toc12733"/>
      <w:bookmarkStart w:id="164" w:name="_Toc29970"/>
      <w:bookmarkStart w:id="165" w:name="_Toc20196"/>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166" w:name="_Toc18632"/>
      <w:r>
        <w:rPr>
          <w:rFonts w:hint="eastAsia" w:ascii="仿宋_GB2312" w:hAnsi="仿宋_GB2312" w:eastAsia="仿宋_GB2312" w:cs="仿宋_GB2312"/>
          <w:b/>
          <w:bCs w:val="0"/>
          <w:color w:val="auto"/>
          <w:kern w:val="2"/>
          <w:sz w:val="32"/>
          <w:szCs w:val="32"/>
          <w:lang w:val="en-US" w:eastAsia="zh-CN" w:bidi="ar-SA"/>
        </w:rPr>
        <w:t>17.企业安置残疾人员所支付的工资加计扣除</w:t>
      </w:r>
      <w:bookmarkEnd w:id="163"/>
      <w:bookmarkEnd w:id="164"/>
      <w:bookmarkEnd w:id="165"/>
      <w:bookmarkEnd w:id="166"/>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167" w:name="_Toc24851"/>
      <w:bookmarkStart w:id="168" w:name="_Toc30085"/>
      <w:r>
        <w:rPr>
          <w:rFonts w:hint="eastAsia" w:ascii="仿宋_GB2312" w:hAnsi="仿宋_GB2312" w:eastAsia="仿宋_GB2312" w:cs="仿宋_GB2312"/>
          <w:b/>
          <w:bCs w:val="0"/>
          <w:color w:val="auto"/>
          <w:kern w:val="2"/>
          <w:sz w:val="32"/>
          <w:szCs w:val="32"/>
          <w:lang w:val="en-US" w:eastAsia="zh-CN" w:bidi="ar-SA"/>
        </w:rPr>
        <w:t>【政策内容】</w:t>
      </w:r>
      <w:bookmarkEnd w:id="167"/>
      <w:bookmarkEnd w:id="168"/>
    </w:p>
    <w:p>
      <w:pPr>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企业安置残疾人员的，在按照支付给残疾职工工资据实扣除的基础上，可以在计算应纳税所得额时按照支付给残疾职工工资的100%加计扣除。</w:t>
      </w:r>
    </w:p>
    <w:p>
      <w:pPr>
        <w:spacing w:line="360" w:lineRule="auto"/>
        <w:ind w:firstLine="675" w:firstLineChars="200"/>
        <w:jc w:val="both"/>
        <w:outlineLvl w:val="2"/>
        <w:rPr>
          <w:rFonts w:hint="eastAsia" w:ascii="仿宋_GB2312" w:hAnsi="仿宋_GB2312" w:eastAsia="仿宋_GB2312" w:cs="仿宋_GB2312"/>
          <w:bCs/>
          <w:sz w:val="32"/>
          <w:szCs w:val="32"/>
          <w:lang w:eastAsia="zh-CN"/>
        </w:rPr>
      </w:pPr>
      <w:bookmarkStart w:id="169" w:name="_Toc4513"/>
      <w:bookmarkStart w:id="170" w:name="_Toc16703"/>
      <w:r>
        <w:rPr>
          <w:rStyle w:val="18"/>
          <w:rFonts w:hint="eastAsia" w:ascii="仿宋_GB2312" w:hAnsi="仿宋_GB2312" w:eastAsia="仿宋_GB2312" w:cs="仿宋_GB2312"/>
          <w:b/>
          <w:bCs/>
          <w:spacing w:val="8"/>
          <w:sz w:val="32"/>
          <w:szCs w:val="32"/>
          <w:shd w:val="clear" w:color="auto" w:fill="FFFFFF"/>
          <w:lang w:eastAsia="zh-CN"/>
        </w:rPr>
        <w:t>【政策依据】</w:t>
      </w:r>
      <w:bookmarkEnd w:id="169"/>
      <w:bookmarkEnd w:id="170"/>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 国家税务总局关于安置残疾人员就业有关企业所得税优惠政策问题的通知》（财税〔2009〕70号)</w:t>
      </w:r>
    </w:p>
    <w:p>
      <w:pPr>
        <w:spacing w:line="360" w:lineRule="auto"/>
        <w:ind w:firstLine="640" w:firstLineChars="200"/>
        <w:jc w:val="both"/>
        <w:rPr>
          <w:rFonts w:hint="eastAsia" w:ascii="仿宋_GB2312" w:hAnsi="仿宋_GB2312" w:eastAsia="仿宋_GB2312" w:cs="仿宋_GB2312"/>
          <w:sz w:val="32"/>
          <w:szCs w:val="32"/>
        </w:rPr>
      </w:pPr>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171" w:name="_Toc1604"/>
      <w:bookmarkStart w:id="172" w:name="_Toc23499"/>
      <w:bookmarkStart w:id="173" w:name="_Toc24025"/>
      <w:bookmarkStart w:id="174" w:name="_Toc2289"/>
      <w:r>
        <w:rPr>
          <w:rFonts w:hint="eastAsia" w:ascii="仿宋_GB2312" w:hAnsi="仿宋_GB2312" w:eastAsia="仿宋_GB2312" w:cs="仿宋_GB2312"/>
          <w:b/>
          <w:bCs w:val="0"/>
          <w:color w:val="auto"/>
          <w:kern w:val="2"/>
          <w:sz w:val="32"/>
          <w:szCs w:val="32"/>
          <w:lang w:val="en-US" w:eastAsia="zh-CN" w:bidi="ar-SA"/>
        </w:rPr>
        <w:t>18.企业安置残疾人就业增值税即征即退</w:t>
      </w:r>
      <w:bookmarkEnd w:id="171"/>
      <w:bookmarkEnd w:id="172"/>
      <w:bookmarkEnd w:id="173"/>
      <w:bookmarkEnd w:id="174"/>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175" w:name="_Toc30291"/>
      <w:bookmarkStart w:id="176" w:name="_Toc3885"/>
      <w:r>
        <w:rPr>
          <w:rFonts w:hint="eastAsia" w:ascii="仿宋_GB2312" w:hAnsi="仿宋_GB2312" w:eastAsia="仿宋_GB2312" w:cs="仿宋_GB2312"/>
          <w:b/>
          <w:bCs w:val="0"/>
          <w:color w:val="auto"/>
          <w:kern w:val="2"/>
          <w:sz w:val="32"/>
          <w:szCs w:val="32"/>
          <w:lang w:val="en-US" w:eastAsia="zh-CN" w:bidi="ar-SA"/>
        </w:rPr>
        <w:t>【政策内容】</w:t>
      </w:r>
      <w:bookmarkEnd w:id="175"/>
      <w:bookmarkEnd w:id="176"/>
    </w:p>
    <w:p>
      <w:pPr>
        <w:pStyle w:val="14"/>
        <w:widowControl/>
        <w:spacing w:beforeAutospacing="0" w:afterAutospacing="0" w:line="360" w:lineRule="auto"/>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shd w:val="clear" w:color="070000" w:fill="auto"/>
        </w:rPr>
        <w:t>对安置残疾人的单位和个体工商户，实行由税务机关按纳税人安置残疾人的人数，限额即征即退增值税的办法。</w:t>
      </w:r>
    </w:p>
    <w:p>
      <w:pPr>
        <w:pStyle w:val="14"/>
        <w:widowControl/>
        <w:spacing w:beforeAutospacing="0" w:afterAutospacing="0" w:line="360" w:lineRule="auto"/>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shd w:val="clear" w:color="070000" w:fill="auto"/>
        </w:rPr>
        <w:t>　　安置的每位残疾人每月可退还的增值税具体限额，由县级以上税务机关根据纳税人所在区县（含县级市、旗，下同）适用的经省（含自治区、直辖市、计划单列市，下同）人民政府批准的月最低工资标准的4倍确定。</w:t>
      </w:r>
    </w:p>
    <w:p>
      <w:pPr>
        <w:pStyle w:val="14"/>
        <w:widowControl/>
        <w:spacing w:beforeAutospacing="0" w:afterAutospacing="0" w:line="360" w:lineRule="auto"/>
        <w:ind w:firstLine="640" w:firstLineChars="200"/>
        <w:jc w:val="both"/>
        <w:rPr>
          <w:rFonts w:ascii="仿宋_GB2312" w:hAnsi="仿宋_GB2312" w:eastAsia="仿宋_GB2312" w:cs="仿宋_GB2312"/>
          <w:kern w:val="2"/>
          <w:sz w:val="32"/>
          <w:szCs w:val="32"/>
          <w:shd w:val="clear" w:color="060000" w:fill="auto"/>
        </w:rPr>
      </w:pPr>
      <w:r>
        <w:rPr>
          <w:rFonts w:hint="eastAsia" w:ascii="仿宋_GB2312" w:hAnsi="仿宋_GB2312" w:eastAsia="仿宋_GB2312" w:cs="仿宋_GB2312"/>
          <w:kern w:val="2"/>
          <w:sz w:val="32"/>
          <w:szCs w:val="32"/>
          <w:shd w:val="clear" w:color="060000" w:fill="auto"/>
        </w:rPr>
        <w:t>享受该项税收优惠政策应符合的条件：</w:t>
      </w:r>
      <w:r>
        <w:rPr>
          <w:rFonts w:hint="eastAsia" w:ascii="仿宋_GB2312" w:hAnsi="仿宋_GB2312" w:eastAsia="仿宋_GB2312" w:cs="仿宋_GB2312"/>
          <w:kern w:val="2"/>
          <w:sz w:val="32"/>
          <w:szCs w:val="32"/>
          <w:shd w:val="clear" w:color="060000" w:fill="auto"/>
          <w:lang w:eastAsia="zh-CN"/>
        </w:rPr>
        <w:t>（</w:t>
      </w:r>
      <w:r>
        <w:rPr>
          <w:rFonts w:hint="eastAsia" w:ascii="仿宋_GB2312" w:hAnsi="仿宋_GB2312" w:eastAsia="仿宋_GB2312" w:cs="仿宋_GB2312"/>
          <w:kern w:val="2"/>
          <w:sz w:val="32"/>
          <w:szCs w:val="32"/>
          <w:shd w:val="clear" w:color="060000" w:fill="auto"/>
          <w:lang w:val="en-US" w:eastAsia="zh-CN"/>
        </w:rPr>
        <w:t>1</w:t>
      </w:r>
      <w:r>
        <w:rPr>
          <w:rFonts w:hint="eastAsia" w:ascii="仿宋_GB2312" w:hAnsi="仿宋_GB2312" w:eastAsia="仿宋_GB2312" w:cs="仿宋_GB2312"/>
          <w:kern w:val="2"/>
          <w:sz w:val="32"/>
          <w:szCs w:val="32"/>
          <w:shd w:val="clear" w:color="060000" w:fill="auto"/>
          <w:lang w:eastAsia="zh-CN"/>
        </w:rPr>
        <w:t>）</w:t>
      </w:r>
      <w:r>
        <w:rPr>
          <w:rFonts w:hint="eastAsia" w:ascii="仿宋_GB2312" w:hAnsi="仿宋_GB2312" w:eastAsia="仿宋_GB2312" w:cs="仿宋_GB2312"/>
          <w:kern w:val="2"/>
          <w:sz w:val="32"/>
          <w:szCs w:val="32"/>
          <w:shd w:val="clear" w:color="060000" w:fill="auto"/>
        </w:rPr>
        <w:t>纳税人（除盲人按摩机构外）月安置的残疾人占在职职工人数的比例不低于25%（含25%），并且安置的残疾人人数不少于10人（含10人）；</w:t>
      </w:r>
      <w:r>
        <w:rPr>
          <w:rFonts w:hint="eastAsia" w:ascii="仿宋_GB2312" w:hAnsi="仿宋_GB2312" w:eastAsia="仿宋_GB2312" w:cs="仿宋_GB2312"/>
          <w:kern w:val="2"/>
          <w:sz w:val="32"/>
          <w:szCs w:val="32"/>
          <w:shd w:val="clear" w:color="060000" w:fill="auto"/>
          <w:lang w:eastAsia="zh-CN"/>
        </w:rPr>
        <w:t>（</w:t>
      </w:r>
      <w:r>
        <w:rPr>
          <w:rFonts w:hint="eastAsia" w:ascii="仿宋_GB2312" w:hAnsi="仿宋_GB2312" w:eastAsia="仿宋_GB2312" w:cs="仿宋_GB2312"/>
          <w:kern w:val="2"/>
          <w:sz w:val="32"/>
          <w:szCs w:val="32"/>
          <w:shd w:val="clear" w:color="060000" w:fill="auto"/>
          <w:lang w:val="en-US" w:eastAsia="zh-CN"/>
        </w:rPr>
        <w:t>2</w:t>
      </w:r>
      <w:r>
        <w:rPr>
          <w:rFonts w:hint="eastAsia" w:ascii="仿宋_GB2312" w:hAnsi="仿宋_GB2312" w:eastAsia="仿宋_GB2312" w:cs="仿宋_GB2312"/>
          <w:kern w:val="2"/>
          <w:sz w:val="32"/>
          <w:szCs w:val="32"/>
          <w:shd w:val="clear" w:color="060000" w:fill="auto"/>
          <w:lang w:eastAsia="zh-CN"/>
        </w:rPr>
        <w:t>）</w:t>
      </w:r>
      <w:r>
        <w:rPr>
          <w:rFonts w:hint="eastAsia" w:ascii="仿宋_GB2312" w:hAnsi="仿宋_GB2312" w:eastAsia="仿宋_GB2312" w:cs="仿宋_GB2312"/>
          <w:kern w:val="2"/>
          <w:sz w:val="32"/>
          <w:szCs w:val="32"/>
          <w:shd w:val="clear" w:color="060000" w:fill="auto"/>
        </w:rPr>
        <w:t>依法与安置的每位残疾人签订了一年以上（含一年）的劳动合同或服务协议。</w:t>
      </w:r>
      <w:r>
        <w:rPr>
          <w:rFonts w:hint="eastAsia" w:ascii="仿宋_GB2312" w:hAnsi="仿宋_GB2312" w:eastAsia="仿宋_GB2312" w:cs="仿宋_GB2312"/>
          <w:kern w:val="2"/>
          <w:sz w:val="32"/>
          <w:szCs w:val="32"/>
          <w:shd w:val="clear" w:color="060000" w:fill="auto"/>
          <w:lang w:eastAsia="zh-CN"/>
        </w:rPr>
        <w:t>（</w:t>
      </w:r>
      <w:r>
        <w:rPr>
          <w:rFonts w:hint="eastAsia" w:ascii="仿宋_GB2312" w:hAnsi="仿宋_GB2312" w:eastAsia="仿宋_GB2312" w:cs="仿宋_GB2312"/>
          <w:kern w:val="2"/>
          <w:sz w:val="32"/>
          <w:szCs w:val="32"/>
          <w:shd w:val="clear" w:color="060000" w:fill="auto"/>
          <w:lang w:val="en-US" w:eastAsia="zh-CN"/>
        </w:rPr>
        <w:t>3</w:t>
      </w:r>
      <w:r>
        <w:rPr>
          <w:rFonts w:hint="eastAsia" w:ascii="仿宋_GB2312" w:hAnsi="仿宋_GB2312" w:eastAsia="仿宋_GB2312" w:cs="仿宋_GB2312"/>
          <w:kern w:val="2"/>
          <w:sz w:val="32"/>
          <w:szCs w:val="32"/>
          <w:shd w:val="clear" w:color="060000" w:fill="auto"/>
          <w:lang w:eastAsia="zh-CN"/>
        </w:rPr>
        <w:t>）</w:t>
      </w:r>
      <w:r>
        <w:rPr>
          <w:rFonts w:hint="eastAsia" w:ascii="仿宋_GB2312" w:hAnsi="仿宋_GB2312" w:eastAsia="仿宋_GB2312" w:cs="仿宋_GB2312"/>
          <w:kern w:val="2"/>
          <w:sz w:val="32"/>
          <w:szCs w:val="32"/>
          <w:shd w:val="clear" w:color="060000" w:fill="auto"/>
        </w:rPr>
        <w:t>为安置的每位残疾人按月足额缴纳了基本养老保险、基本医疗保险、失业保险、工伤保险和生育保险等社会保险。</w:t>
      </w:r>
      <w:r>
        <w:rPr>
          <w:rFonts w:hint="eastAsia" w:ascii="仿宋_GB2312" w:hAnsi="仿宋_GB2312" w:eastAsia="仿宋_GB2312" w:cs="仿宋_GB2312"/>
          <w:kern w:val="2"/>
          <w:sz w:val="32"/>
          <w:szCs w:val="32"/>
          <w:shd w:val="clear" w:color="060000" w:fill="auto"/>
          <w:lang w:eastAsia="zh-CN"/>
        </w:rPr>
        <w:t>（</w:t>
      </w:r>
      <w:r>
        <w:rPr>
          <w:rFonts w:hint="eastAsia" w:ascii="仿宋_GB2312" w:hAnsi="仿宋_GB2312" w:eastAsia="仿宋_GB2312" w:cs="仿宋_GB2312"/>
          <w:kern w:val="2"/>
          <w:sz w:val="32"/>
          <w:szCs w:val="32"/>
          <w:shd w:val="clear" w:color="060000" w:fill="auto"/>
          <w:lang w:val="en-US" w:eastAsia="zh-CN"/>
        </w:rPr>
        <w:t>4</w:t>
      </w:r>
      <w:r>
        <w:rPr>
          <w:rFonts w:hint="eastAsia" w:ascii="仿宋_GB2312" w:hAnsi="仿宋_GB2312" w:eastAsia="仿宋_GB2312" w:cs="仿宋_GB2312"/>
          <w:kern w:val="2"/>
          <w:sz w:val="32"/>
          <w:szCs w:val="32"/>
          <w:shd w:val="clear" w:color="060000" w:fill="auto"/>
          <w:lang w:eastAsia="zh-CN"/>
        </w:rPr>
        <w:t>）</w:t>
      </w:r>
      <w:r>
        <w:rPr>
          <w:rFonts w:hint="eastAsia" w:ascii="仿宋_GB2312" w:hAnsi="仿宋_GB2312" w:eastAsia="仿宋_GB2312" w:cs="仿宋_GB2312"/>
          <w:kern w:val="2"/>
          <w:sz w:val="32"/>
          <w:szCs w:val="32"/>
          <w:shd w:val="clear" w:color="060000" w:fill="auto"/>
        </w:rPr>
        <w:t>通过银行等金融机构向安置的每位残疾人，按月支付了不低于纳税人所在区县适用的经省人民政府批准的月最低工资标准的工资。</w:t>
      </w:r>
    </w:p>
    <w:p>
      <w:pPr>
        <w:pStyle w:val="14"/>
        <w:widowControl/>
        <w:spacing w:beforeAutospacing="0" w:afterAutospacing="0" w:line="360" w:lineRule="auto"/>
        <w:ind w:firstLine="560"/>
        <w:jc w:val="both"/>
        <w:rPr>
          <w:rFonts w:ascii="仿宋_GB2312" w:hAnsi="仿宋_GB2312" w:eastAsia="仿宋_GB2312" w:cs="仿宋_GB2312"/>
          <w:kern w:val="2"/>
          <w:sz w:val="32"/>
          <w:szCs w:val="32"/>
          <w:shd w:val="clear" w:color="060000" w:fill="auto"/>
        </w:rPr>
      </w:pPr>
      <w:r>
        <w:rPr>
          <w:rFonts w:hint="eastAsia" w:ascii="仿宋_GB2312" w:hAnsi="仿宋_GB2312" w:eastAsia="仿宋_GB2312" w:cs="仿宋_GB2312"/>
          <w:kern w:val="2"/>
          <w:sz w:val="32"/>
          <w:szCs w:val="32"/>
          <w:shd w:val="clear" w:color="060000" w:fill="auto"/>
        </w:rPr>
        <w:t>纳税人中纳税信用等级为税务机关评定的C级或D级的，不得享受该项优惠政策。</w:t>
      </w:r>
    </w:p>
    <w:p>
      <w:pPr>
        <w:spacing w:line="360" w:lineRule="auto"/>
        <w:ind w:firstLine="675" w:firstLineChars="200"/>
        <w:jc w:val="both"/>
        <w:outlineLvl w:val="2"/>
        <w:rPr>
          <w:rFonts w:hint="eastAsia" w:ascii="仿宋_GB2312" w:hAnsi="仿宋_GB2312" w:eastAsia="仿宋_GB2312" w:cs="仿宋_GB2312"/>
          <w:bCs/>
          <w:sz w:val="32"/>
          <w:szCs w:val="32"/>
          <w:lang w:eastAsia="zh-CN"/>
        </w:rPr>
      </w:pPr>
      <w:bookmarkStart w:id="177" w:name="_Toc7317"/>
      <w:bookmarkStart w:id="178" w:name="_Toc2735"/>
      <w:r>
        <w:rPr>
          <w:rStyle w:val="18"/>
          <w:rFonts w:hint="eastAsia" w:ascii="仿宋_GB2312" w:hAnsi="仿宋_GB2312" w:eastAsia="仿宋_GB2312" w:cs="仿宋_GB2312"/>
          <w:b/>
          <w:bCs/>
          <w:spacing w:val="8"/>
          <w:sz w:val="32"/>
          <w:szCs w:val="32"/>
          <w:shd w:val="clear" w:color="auto" w:fill="FFFFFF"/>
          <w:lang w:eastAsia="zh-CN"/>
        </w:rPr>
        <w:t>【政策依据】</w:t>
      </w:r>
      <w:bookmarkEnd w:id="177"/>
      <w:bookmarkEnd w:id="178"/>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 国家税务总局关于促进残疾人就业增值税政策的通知》（财税〔2016〕52号）第一、二、四条</w:t>
      </w:r>
    </w:p>
    <w:p>
      <w:pPr>
        <w:spacing w:line="360" w:lineRule="auto"/>
        <w:ind w:firstLine="640" w:firstLineChars="200"/>
        <w:jc w:val="both"/>
        <w:rPr>
          <w:rFonts w:hint="eastAsia" w:ascii="仿宋_GB2312" w:hAnsi="仿宋_GB2312" w:eastAsia="仿宋_GB2312" w:cs="仿宋_GB2312"/>
          <w:sz w:val="32"/>
          <w:szCs w:val="32"/>
        </w:rPr>
      </w:pPr>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179" w:name="_Toc1007"/>
      <w:bookmarkStart w:id="180" w:name="_Toc16448"/>
      <w:bookmarkStart w:id="181" w:name="_Toc12601"/>
      <w:bookmarkStart w:id="182" w:name="_Toc15098"/>
      <w:r>
        <w:rPr>
          <w:rFonts w:hint="eastAsia" w:ascii="仿宋_GB2312" w:hAnsi="仿宋_GB2312" w:eastAsia="仿宋_GB2312" w:cs="仿宋_GB2312"/>
          <w:b/>
          <w:bCs w:val="0"/>
          <w:color w:val="auto"/>
          <w:kern w:val="2"/>
          <w:sz w:val="32"/>
          <w:szCs w:val="32"/>
          <w:lang w:val="en-US" w:eastAsia="zh-CN" w:bidi="ar-SA"/>
        </w:rPr>
        <w:t>19.企业安置残疾人就业单位用地减免城镇土地使用税</w:t>
      </w:r>
      <w:bookmarkEnd w:id="179"/>
      <w:bookmarkEnd w:id="180"/>
      <w:bookmarkEnd w:id="181"/>
      <w:bookmarkEnd w:id="182"/>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183" w:name="_Toc22110"/>
      <w:bookmarkStart w:id="184" w:name="_Toc6482"/>
      <w:r>
        <w:rPr>
          <w:rFonts w:hint="eastAsia" w:ascii="仿宋_GB2312" w:hAnsi="仿宋_GB2312" w:eastAsia="仿宋_GB2312" w:cs="仿宋_GB2312"/>
          <w:b/>
          <w:bCs w:val="0"/>
          <w:color w:val="auto"/>
          <w:kern w:val="2"/>
          <w:sz w:val="32"/>
          <w:szCs w:val="32"/>
          <w:lang w:val="en-US" w:eastAsia="zh-CN" w:bidi="ar-SA"/>
        </w:rPr>
        <w:t>【政策内容】</w:t>
      </w:r>
      <w:bookmarkEnd w:id="183"/>
      <w:bookmarkEnd w:id="184"/>
    </w:p>
    <w:p>
      <w:pPr>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对在一个纳税年度内月平均实际安置残疾人就业人数占单位在职职工总数的比例高于25%（含25%）且实际安置残疾人人数高于10人（含10人）的单位，可减征或免征该年度城镇土地使用税。</w:t>
      </w:r>
    </w:p>
    <w:p>
      <w:pPr>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对广东省在一个纳税年度内月平均实际安置残疾人就业人数占单位在职职工总数的比例高于25%（含25%）且实际安置残疾人人数高于10 人（含10 人）的单位，给予定额减征城镇土地使用税的优惠，减征标准为每安置一名残疾人该年度可定额减征5000 元，减征的最高限额为本单位当年应缴纳的城镇土地使用税税额。</w:t>
      </w:r>
    </w:p>
    <w:p>
      <w:pPr>
        <w:spacing w:line="360" w:lineRule="auto"/>
        <w:ind w:firstLine="675" w:firstLineChars="200"/>
        <w:jc w:val="both"/>
        <w:outlineLvl w:val="2"/>
        <w:rPr>
          <w:rFonts w:hint="eastAsia" w:ascii="仿宋_GB2312" w:hAnsi="仿宋_GB2312" w:eastAsia="仿宋_GB2312" w:cs="仿宋_GB2312"/>
          <w:bCs/>
          <w:sz w:val="32"/>
          <w:szCs w:val="32"/>
          <w:lang w:eastAsia="zh-CN"/>
        </w:rPr>
      </w:pPr>
      <w:bookmarkStart w:id="185" w:name="_Toc25812"/>
      <w:bookmarkStart w:id="186" w:name="_Toc27022"/>
      <w:r>
        <w:rPr>
          <w:rStyle w:val="18"/>
          <w:rFonts w:hint="eastAsia" w:ascii="仿宋_GB2312" w:hAnsi="仿宋_GB2312" w:eastAsia="仿宋_GB2312" w:cs="仿宋_GB2312"/>
          <w:b/>
          <w:bCs/>
          <w:spacing w:val="8"/>
          <w:sz w:val="32"/>
          <w:szCs w:val="32"/>
          <w:shd w:val="clear" w:color="auto" w:fill="FFFFFF"/>
          <w:lang w:eastAsia="zh-CN"/>
        </w:rPr>
        <w:t>【政策依据】</w:t>
      </w:r>
      <w:bookmarkEnd w:id="185"/>
      <w:bookmarkEnd w:id="186"/>
    </w:p>
    <w:p>
      <w:pPr>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《财政部 国家税务总局关于安置残疾人就业单位城镇土地使用税等政策的通知》（财税〔2010〕121号）第一条</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《广东省财政厅 广东省地方税务局转发财政部 国家税务总局关于安置残疾人就业单位城镇土地使用税等政策的通知》（粤财法〔2011〕16 号）</w:t>
      </w:r>
    </w:p>
    <w:p>
      <w:pPr>
        <w:spacing w:line="360" w:lineRule="auto"/>
        <w:ind w:firstLine="640" w:firstLineChars="200"/>
        <w:jc w:val="both"/>
        <w:rPr>
          <w:rFonts w:hint="eastAsia" w:ascii="仿宋_GB2312" w:hAnsi="仿宋_GB2312" w:eastAsia="仿宋_GB2312" w:cs="仿宋_GB2312"/>
          <w:sz w:val="32"/>
          <w:szCs w:val="32"/>
        </w:rPr>
      </w:pPr>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187" w:name="_Toc19521"/>
      <w:r>
        <w:rPr>
          <w:rFonts w:hint="eastAsia" w:ascii="仿宋_GB2312" w:hAnsi="仿宋_GB2312" w:eastAsia="仿宋_GB2312" w:cs="仿宋_GB2312"/>
          <w:b/>
          <w:bCs w:val="0"/>
          <w:color w:val="auto"/>
          <w:kern w:val="2"/>
          <w:sz w:val="32"/>
          <w:szCs w:val="32"/>
          <w:lang w:val="en-US" w:eastAsia="zh-CN" w:bidi="ar-SA"/>
        </w:rPr>
        <w:t>20.残疾、孤老人员和烈属的个人所得减征个人所得税</w:t>
      </w:r>
      <w:bookmarkEnd w:id="187"/>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188" w:name="_Toc2562"/>
      <w:bookmarkStart w:id="189" w:name="_Toc10856"/>
      <w:r>
        <w:rPr>
          <w:rFonts w:hint="eastAsia" w:ascii="仿宋_GB2312" w:hAnsi="仿宋_GB2312" w:eastAsia="仿宋_GB2312" w:cs="仿宋_GB2312"/>
          <w:b/>
          <w:bCs w:val="0"/>
          <w:color w:val="auto"/>
          <w:kern w:val="2"/>
          <w:sz w:val="32"/>
          <w:szCs w:val="32"/>
          <w:lang w:val="en-US" w:eastAsia="zh-CN" w:bidi="ar-SA"/>
        </w:rPr>
        <w:t>【政策内容】</w:t>
      </w:r>
      <w:bookmarkEnd w:id="188"/>
      <w:bookmarkEnd w:id="189"/>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（1）个人取得的工资薪金所得、劳务报酬所得、稿酬所得、特许权使用费所得等4项综合所得，按应纳税额减征90％的个人所得税。</w:t>
      </w:r>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（2）个人取得的经营所得区别以下情况分别予以减征：年应纳税所得额30万元（含30万元）以下的，按应纳税额减征100％的个人所得税；年应纳税所得额超过30万元的部分，按应纳税额减征90％的个人所得税。</w:t>
      </w:r>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（3）纳税人同时符合残疾、孤老人员和烈属两种及以上身份的，选择一种身份享受减征税收优惠，不得重复享受。</w:t>
      </w:r>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（4）税收法律法规对上述所得另有减免规定的，按相关规定计算应纳税额后，再按本规定计算减征个人所得税。</w:t>
      </w:r>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（5）个人减免税额在一个纳税年度内不超过9万元。</w:t>
      </w:r>
    </w:p>
    <w:p>
      <w:pPr>
        <w:spacing w:line="360" w:lineRule="auto"/>
        <w:ind w:firstLine="643"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color w:val="auto"/>
          <w:sz w:val="32"/>
          <w:szCs w:val="28"/>
          <w:lang w:val="en-US" w:eastAsia="zh-CN"/>
        </w:rPr>
        <w:t>【政策依据】</w:t>
      </w:r>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《中华人民共和国个人所得税法》</w:t>
      </w:r>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《国家税务总局广东省税务局关于广东省残疾人等个人所得税减征规定的公告》（国家税务总局广东省税务局公告2022年第1号）</w:t>
      </w:r>
    </w:p>
    <w:p>
      <w:pPr>
        <w:numPr>
          <w:ilvl w:val="0"/>
          <w:numId w:val="0"/>
        </w:numPr>
        <w:spacing w:line="360" w:lineRule="auto"/>
        <w:ind w:firstLine="643" w:firstLineChars="200"/>
        <w:jc w:val="both"/>
        <w:outlineLvl w:val="1"/>
        <w:rPr>
          <w:rFonts w:hint="default" w:ascii="仿宋_GB2312" w:hAnsi="仿宋_GB2312" w:eastAsia="仿宋_GB2312" w:cs="仿宋_GB2312"/>
          <w:b/>
          <w:bCs w:val="0"/>
          <w:color w:val="auto"/>
          <w:kern w:val="2"/>
          <w:sz w:val="32"/>
          <w:szCs w:val="32"/>
          <w:lang w:val="en-US" w:eastAsia="zh-CN" w:bidi="ar-SA"/>
        </w:rPr>
      </w:pPr>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190" w:name="_Toc2810"/>
      <w:bookmarkStart w:id="191" w:name="_Toc14002"/>
      <w:bookmarkStart w:id="192" w:name="_Toc26925"/>
      <w:bookmarkStart w:id="193" w:name="_Toc15330"/>
      <w:r>
        <w:rPr>
          <w:rFonts w:hint="eastAsia" w:ascii="仿宋_GB2312" w:hAnsi="仿宋_GB2312" w:eastAsia="仿宋_GB2312" w:cs="仿宋_GB2312"/>
          <w:b/>
          <w:bCs w:val="0"/>
          <w:color w:val="auto"/>
          <w:kern w:val="2"/>
          <w:sz w:val="32"/>
          <w:szCs w:val="32"/>
          <w:lang w:val="en-US" w:eastAsia="zh-CN" w:bidi="ar-SA"/>
        </w:rPr>
        <w:t>21.工伤职工取得的工伤保险待遇免征个人所得税</w:t>
      </w:r>
      <w:bookmarkEnd w:id="190"/>
      <w:bookmarkEnd w:id="191"/>
      <w:bookmarkEnd w:id="192"/>
      <w:bookmarkEnd w:id="193"/>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194" w:name="_Toc12308"/>
      <w:bookmarkStart w:id="195" w:name="_Toc1939"/>
      <w:r>
        <w:rPr>
          <w:rFonts w:hint="eastAsia" w:ascii="仿宋_GB2312" w:hAnsi="仿宋_GB2312" w:eastAsia="仿宋_GB2312" w:cs="仿宋_GB2312"/>
          <w:b/>
          <w:bCs w:val="0"/>
          <w:color w:val="auto"/>
          <w:kern w:val="2"/>
          <w:sz w:val="32"/>
          <w:szCs w:val="32"/>
          <w:lang w:val="en-US" w:eastAsia="zh-CN" w:bidi="ar-SA"/>
        </w:rPr>
        <w:t>【政策内容】</w:t>
      </w:r>
      <w:bookmarkEnd w:id="194"/>
      <w:bookmarkEnd w:id="195"/>
    </w:p>
    <w:p>
      <w:pPr>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对工伤职工及其近亲属按照《工伤保险条例》（国务院令第586号）规定取得的工伤保险待遇，免征个人所得税。</w:t>
      </w:r>
    </w:p>
    <w:p>
      <w:pPr>
        <w:spacing w:line="360" w:lineRule="auto"/>
        <w:ind w:firstLine="643" w:firstLineChars="200"/>
        <w:jc w:val="both"/>
        <w:outlineLvl w:val="2"/>
        <w:rPr>
          <w:rFonts w:hint="eastAsia" w:ascii="仿宋_GB2312" w:hAnsi="仿宋_GB2312" w:eastAsia="仿宋_GB2312" w:cs="仿宋_GB2312"/>
          <w:sz w:val="32"/>
          <w:szCs w:val="32"/>
          <w:lang w:eastAsia="zh-CN"/>
        </w:rPr>
      </w:pPr>
      <w:bookmarkStart w:id="196" w:name="_Toc15761"/>
      <w:bookmarkStart w:id="197" w:name="_Toc22610"/>
      <w:r>
        <w:rPr>
          <w:rFonts w:hint="eastAsia" w:ascii="仿宋_GB2312" w:hAnsi="仿宋_GB2312" w:eastAsia="仿宋_GB2312" w:cs="仿宋_GB2312"/>
          <w:b/>
          <w:sz w:val="32"/>
          <w:szCs w:val="32"/>
          <w:lang w:eastAsia="zh-CN"/>
        </w:rPr>
        <w:t>【政策依据】</w:t>
      </w:r>
      <w:bookmarkEnd w:id="196"/>
      <w:bookmarkEnd w:id="197"/>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 国家税务总局关于工伤职工取得的工伤保险待遇有关个人所得税政策的通知》（财税〔2012〕40号）</w:t>
      </w:r>
    </w:p>
    <w:p>
      <w:pPr>
        <w:spacing w:line="360" w:lineRule="auto"/>
        <w:jc w:val="both"/>
        <w:outlineLvl w:val="2"/>
        <w:rPr>
          <w:rFonts w:hint="eastAsia" w:ascii="仿宋_GB2312" w:hAnsi="仿宋_GB2312" w:eastAsia="仿宋_GB2312" w:cs="仿宋_GB2312"/>
          <w:color w:val="000000" w:themeColor="text1"/>
          <w:sz w:val="32"/>
          <w:szCs w:val="32"/>
          <w14:textFill>
            <w14:solidFill>
              <w14:schemeClr w14:val="tx1"/>
            </w14:solidFill>
          </w14:textFill>
        </w:rPr>
      </w:pPr>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198" w:name="_Toc28176"/>
      <w:r>
        <w:rPr>
          <w:rFonts w:hint="eastAsia" w:ascii="仿宋_GB2312" w:hAnsi="仿宋_GB2312" w:eastAsia="仿宋_GB2312" w:cs="仿宋_GB2312"/>
          <w:b/>
          <w:bCs w:val="0"/>
          <w:color w:val="auto"/>
          <w:kern w:val="2"/>
          <w:sz w:val="32"/>
          <w:szCs w:val="32"/>
          <w:lang w:val="en-US" w:eastAsia="zh-CN" w:bidi="ar-SA"/>
        </w:rPr>
        <w:t>22.自主就业退役士兵、重点群体就业创业税费优惠</w:t>
      </w:r>
      <w:bookmarkEnd w:id="198"/>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199" w:name="_Toc21309"/>
      <w:bookmarkStart w:id="200" w:name="_Toc27288"/>
      <w:r>
        <w:rPr>
          <w:rFonts w:hint="eastAsia" w:ascii="仿宋_GB2312" w:hAnsi="仿宋_GB2312" w:eastAsia="仿宋_GB2312" w:cs="仿宋_GB2312"/>
          <w:b/>
          <w:bCs w:val="0"/>
          <w:color w:val="auto"/>
          <w:kern w:val="2"/>
          <w:sz w:val="32"/>
          <w:szCs w:val="32"/>
          <w:lang w:val="en-US" w:eastAsia="zh-CN" w:bidi="ar-SA"/>
        </w:rPr>
        <w:t>【政策内容】</w:t>
      </w:r>
      <w:bookmarkEnd w:id="199"/>
      <w:bookmarkEnd w:id="200"/>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2019年1月1日至2023年12月31日，自主就业退役士兵从事个体经营的，自办理个体工商户登记当月起，在3年（36个月，下同)内按每户每年14400元为限额依次扣减其当年实际缴纳的增值税、城市维护建设税、教育费附加、地方教育附加和个人所得税。</w:t>
      </w:r>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2019年1月1日至2025年12月31日，建档立卡贫困人口，持《就业创业证》（注明“自主创业税收政策”或“毕业年度内自主创业税收政策”）或《就业失业登记证》（注明“自主创业税收政策”）的人员，从事个体经营的，自办理个体工商户登记当月起，在3年（36个月)内按每户每年14400元为限额依次扣减其当年实际缴纳的增值税、城市维护建设税、教育费附加、地方教育附加和个人所得税。</w:t>
      </w:r>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优惠。广东省定额标准为每人每年9000元。</w:t>
      </w:r>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企业招用建档立卡贫困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予以定额依次扣减增值税、城市维护建设税、教育费附加、地方教育附加和企业所得税优惠。广东省定额标准为每人每年7800元。</w:t>
      </w:r>
    </w:p>
    <w:p>
      <w:pPr>
        <w:spacing w:line="360" w:lineRule="auto"/>
        <w:ind w:firstLine="643" w:firstLineChars="200"/>
        <w:jc w:val="both"/>
        <w:rPr>
          <w:rFonts w:hint="eastAsia" w:ascii="仿宋_GB2312" w:hAnsi="仿宋_GB2312" w:eastAsia="仿宋_GB2312" w:cs="仿宋_GB2312"/>
          <w:b/>
          <w:sz w:val="32"/>
          <w:szCs w:val="28"/>
          <w:lang w:val="en-US" w:eastAsia="zh-CN"/>
        </w:rPr>
      </w:pPr>
      <w:r>
        <w:rPr>
          <w:rFonts w:hint="eastAsia" w:ascii="仿宋_GB2312" w:hAnsi="仿宋_GB2312" w:eastAsia="仿宋_GB2312" w:cs="仿宋_GB2312"/>
          <w:b/>
          <w:sz w:val="32"/>
          <w:szCs w:val="28"/>
          <w:lang w:val="en-US" w:eastAsia="zh-CN"/>
        </w:rPr>
        <w:t>【政策依据】</w:t>
      </w:r>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《关于进一步执行我省自主就业退役士兵和重点群体创业就业有关税收政策扣减限额标准的通知》（粤财法〔2019〕10 号）</w:t>
      </w:r>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《国家税务总局 人力资源社会保障部 国务院扶贫办 教育部关于实施支持和促进重点群体创业就业有关税收政策具体操作问题的公告》（国家税务总局公告2019年第10号）</w:t>
      </w:r>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《财政部 税务总局 退役军人部关于进一步扶持自主就业退役士兵创业就业有关税收政策的通知》（ 财税〔2019〕21号）</w:t>
      </w:r>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《财政部 税务总局 人力资源社会保障部 国务院扶贫办关于进一步支持和促进重点群体创业就业有关税收政策的通知》 财税〔2019〕22号</w:t>
      </w:r>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《财政部 税务总局 人力资源社会保障部 国家乡村振兴局关于延长部分扶贫税收优惠政策执行期限的公告》（2021第18号）</w:t>
      </w:r>
    </w:p>
    <w:p>
      <w:pPr>
        <w:spacing w:line="360" w:lineRule="auto"/>
        <w:ind w:firstLine="64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32"/>
          <w:szCs w:val="32"/>
          <w:lang w:val="en-US" w:eastAsia="zh-CN"/>
        </w:rPr>
        <w:t>《财政部 税务总局关于延长部分税收优惠政策执行期限的公告》（财政部 税务总局公告2022年第4号 ）</w:t>
      </w:r>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201" w:name="_Toc31398"/>
      <w:r>
        <w:rPr>
          <w:rFonts w:hint="eastAsia" w:ascii="仿宋_GB2312" w:hAnsi="仿宋_GB2312" w:eastAsia="仿宋_GB2312" w:cs="仿宋_GB2312"/>
          <w:b/>
          <w:bCs w:val="0"/>
          <w:color w:val="auto"/>
          <w:kern w:val="2"/>
          <w:sz w:val="32"/>
          <w:szCs w:val="32"/>
          <w:lang w:val="en-US" w:eastAsia="zh-CN" w:bidi="ar-SA"/>
        </w:rPr>
        <w:t>23.企业厂区以外的公共绿化用地免征城镇土地使用税</w:t>
      </w:r>
      <w:bookmarkEnd w:id="201"/>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202" w:name="_Toc19556"/>
      <w:bookmarkStart w:id="203" w:name="_Toc15543"/>
      <w:r>
        <w:rPr>
          <w:rFonts w:hint="eastAsia" w:ascii="仿宋_GB2312" w:hAnsi="仿宋_GB2312" w:eastAsia="仿宋_GB2312" w:cs="仿宋_GB2312"/>
          <w:b/>
          <w:bCs w:val="0"/>
          <w:color w:val="auto"/>
          <w:kern w:val="2"/>
          <w:sz w:val="32"/>
          <w:szCs w:val="32"/>
          <w:lang w:val="en-US" w:eastAsia="zh-CN" w:bidi="ar-SA"/>
        </w:rPr>
        <w:t>【政策内容】</w:t>
      </w:r>
      <w:bookmarkEnd w:id="202"/>
      <w:bookmarkEnd w:id="203"/>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对企业厂区（包括生产、办公及生活区）以外的公共绿化用地和向社会开放的公园用地，暂免征收土地使用税。</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lang w:val="en-US" w:eastAsia="zh-CN"/>
        </w:rPr>
      </w:pPr>
      <w:r>
        <w:rPr>
          <w:rFonts w:hint="eastAsia" w:ascii="仿宋_GB2312" w:hAnsi="仿宋_GB2312" w:eastAsia="仿宋_GB2312" w:cs="仿宋_GB2312"/>
          <w:b/>
          <w:color w:val="auto"/>
          <w:sz w:val="32"/>
          <w:szCs w:val="28"/>
          <w:lang w:val="en-US" w:eastAsia="zh-CN"/>
        </w:rPr>
        <w:t>【政策依据】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《国家税务局关于印发〈关于土地使用税若干具体问题的补充规定〉的通知》（（1989）国税地字第 140 号）第十三条</w:t>
      </w:r>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204" w:name="_Toc15202"/>
      <w:bookmarkStart w:id="205" w:name="_Toc4792"/>
      <w:bookmarkStart w:id="206" w:name="_Toc17567"/>
      <w:bookmarkStart w:id="207" w:name="_Toc22085"/>
      <w:r>
        <w:rPr>
          <w:rFonts w:hint="eastAsia" w:ascii="仿宋_GB2312" w:hAnsi="仿宋_GB2312" w:eastAsia="仿宋_GB2312" w:cs="仿宋_GB2312"/>
          <w:b/>
          <w:bCs w:val="0"/>
          <w:color w:val="000000" w:themeColor="text1"/>
          <w:kern w:val="2"/>
          <w:sz w:val="32"/>
          <w:szCs w:val="32"/>
          <w:lang w:val="en-US" w:eastAsia="zh-CN" w:bidi="ar-SA"/>
          <w14:textFill>
            <w14:solidFill>
              <w14:schemeClr w14:val="tx1"/>
            </w14:solidFill>
          </w14:textFill>
        </w:rPr>
        <w:t>24.符合条件的企业暂免征</w:t>
      </w:r>
      <w:r>
        <w:rPr>
          <w:rFonts w:hint="eastAsia" w:ascii="仿宋_GB2312" w:hAnsi="仿宋_GB2312" w:eastAsia="仿宋_GB2312" w:cs="仿宋_GB2312"/>
          <w:b/>
          <w:bCs w:val="0"/>
          <w:color w:val="auto"/>
          <w:kern w:val="2"/>
          <w:sz w:val="32"/>
          <w:szCs w:val="32"/>
          <w:lang w:val="en-US" w:eastAsia="zh-CN" w:bidi="ar-SA"/>
        </w:rPr>
        <w:t>收工会经费</w:t>
      </w:r>
      <w:bookmarkEnd w:id="204"/>
      <w:bookmarkEnd w:id="205"/>
      <w:bookmarkEnd w:id="206"/>
      <w:bookmarkEnd w:id="207"/>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208" w:name="_Toc10751"/>
      <w:bookmarkStart w:id="209" w:name="_Toc1803"/>
      <w:r>
        <w:rPr>
          <w:rFonts w:hint="eastAsia" w:ascii="仿宋_GB2312" w:hAnsi="仿宋_GB2312" w:eastAsia="仿宋_GB2312" w:cs="仿宋_GB2312"/>
          <w:b/>
          <w:bCs w:val="0"/>
          <w:color w:val="auto"/>
          <w:kern w:val="2"/>
          <w:sz w:val="32"/>
          <w:szCs w:val="32"/>
          <w:lang w:val="en-US" w:eastAsia="zh-CN" w:bidi="ar-SA"/>
        </w:rPr>
        <w:t>【政策内容】</w:t>
      </w:r>
      <w:bookmarkEnd w:id="208"/>
      <w:bookmarkEnd w:id="209"/>
    </w:p>
    <w:p>
      <w:pPr>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暂不向不足二十五人尚未建立工会组织的企业收缴工会经费。</w:t>
      </w:r>
    </w:p>
    <w:p>
      <w:pPr>
        <w:spacing w:line="360" w:lineRule="auto"/>
        <w:ind w:firstLine="643" w:firstLineChars="200"/>
        <w:jc w:val="both"/>
        <w:outlineLvl w:val="2"/>
        <w:rPr>
          <w:rFonts w:hint="eastAsia" w:ascii="仿宋_GB2312" w:hAnsi="仿宋_GB2312" w:eastAsia="仿宋_GB2312" w:cs="仿宋_GB2312"/>
          <w:sz w:val="32"/>
          <w:szCs w:val="32"/>
          <w:lang w:eastAsia="zh-CN"/>
        </w:rPr>
      </w:pPr>
      <w:bookmarkStart w:id="210" w:name="_Toc13076"/>
      <w:bookmarkStart w:id="211" w:name="_Toc26198"/>
      <w:r>
        <w:rPr>
          <w:rFonts w:hint="eastAsia" w:ascii="仿宋_GB2312" w:hAnsi="仿宋_GB2312" w:eastAsia="仿宋_GB2312" w:cs="仿宋_GB2312"/>
          <w:b/>
          <w:sz w:val="32"/>
          <w:szCs w:val="32"/>
          <w:lang w:eastAsia="zh-CN"/>
        </w:rPr>
        <w:t>【政策依据】</w:t>
      </w:r>
      <w:bookmarkEnd w:id="210"/>
      <w:bookmarkEnd w:id="211"/>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《关于不足二十五人企业工会经费收缴问题的函》（粤工总函〔2013〕129号）</w:t>
      </w:r>
    </w:p>
    <w:p>
      <w:pPr>
        <w:numPr>
          <w:ilvl w:val="0"/>
          <w:numId w:val="0"/>
        </w:numPr>
        <w:spacing w:line="360" w:lineRule="auto"/>
        <w:jc w:val="both"/>
        <w:outlineLvl w:val="1"/>
        <w:rPr>
          <w:rFonts w:hint="default" w:ascii="仿宋_GB2312" w:hAnsi="仿宋_GB2312" w:eastAsia="仿宋_GB2312" w:cs="仿宋_GB2312"/>
          <w:sz w:val="32"/>
          <w:szCs w:val="32"/>
          <w:lang w:val="en-US" w:eastAsia="zh-CN"/>
        </w:rPr>
      </w:pPr>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212" w:name="_Toc30164"/>
      <w:r>
        <w:rPr>
          <w:rFonts w:hint="eastAsia" w:ascii="仿宋_GB2312" w:hAnsi="仿宋_GB2312" w:eastAsia="仿宋_GB2312" w:cs="仿宋_GB2312"/>
          <w:b/>
          <w:bCs w:val="0"/>
          <w:color w:val="000000" w:themeColor="text1"/>
          <w:kern w:val="2"/>
          <w:sz w:val="32"/>
          <w:szCs w:val="32"/>
          <w:lang w:val="en-US" w:eastAsia="zh-CN" w:bidi="ar-SA"/>
          <w14:textFill>
            <w14:solidFill>
              <w14:schemeClr w14:val="tx1"/>
            </w14:solidFill>
          </w14:textFill>
        </w:rPr>
        <w:t>25.</w:t>
      </w:r>
      <w:r>
        <w:rPr>
          <w:rFonts w:hint="eastAsia" w:ascii="仿宋_GB2312" w:hAnsi="仿宋_GB2312" w:eastAsia="仿宋_GB2312" w:cs="仿宋_GB2312"/>
          <w:b/>
          <w:bCs w:val="0"/>
          <w:color w:val="auto"/>
          <w:kern w:val="2"/>
          <w:sz w:val="32"/>
          <w:szCs w:val="32"/>
          <w:lang w:val="en-US" w:eastAsia="zh-CN" w:bidi="ar-SA"/>
        </w:rPr>
        <w:t>个人以非货币性资产投资，分期缴纳个人所得税</w:t>
      </w:r>
      <w:bookmarkEnd w:id="212"/>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213" w:name="_Toc782"/>
      <w:bookmarkStart w:id="214" w:name="_Toc30891"/>
      <w:r>
        <w:rPr>
          <w:rFonts w:hint="eastAsia" w:ascii="仿宋_GB2312" w:hAnsi="仿宋_GB2312" w:eastAsia="仿宋_GB2312" w:cs="仿宋_GB2312"/>
          <w:b/>
          <w:bCs w:val="0"/>
          <w:color w:val="auto"/>
          <w:kern w:val="2"/>
          <w:sz w:val="32"/>
          <w:szCs w:val="32"/>
          <w:lang w:val="en-US" w:eastAsia="zh-CN" w:bidi="ar-SA"/>
        </w:rPr>
        <w:t>【政策内容】</w:t>
      </w:r>
      <w:bookmarkEnd w:id="213"/>
      <w:bookmarkEnd w:id="214"/>
    </w:p>
    <w:p>
      <w:pPr>
        <w:spacing w:line="360" w:lineRule="auto"/>
        <w:ind w:firstLine="640" w:firstLineChars="200"/>
        <w:jc w:val="both"/>
        <w:rPr>
          <w:rFonts w:hint="eastAsia" w:ascii="仿宋_GB2312" w:eastAsia="仿宋_GB2312"/>
          <w:sz w:val="32"/>
          <w:szCs w:val="32"/>
        </w:rPr>
      </w:pPr>
      <w:r>
        <w:rPr>
          <w:rFonts w:hint="eastAsia" w:ascii="仿宋_GB2312" w:eastAsia="仿宋_GB2312"/>
          <w:sz w:val="32"/>
          <w:szCs w:val="32"/>
        </w:rPr>
        <w:t>个人以非货币性资产投资，属于个人转让非货币性资产和投资同时发生。对个人转让非货币性资产的所得，应按照“财产转让所得”项目，依法计算缴纳个人所得税。</w:t>
      </w:r>
    </w:p>
    <w:p>
      <w:pPr>
        <w:spacing w:line="360" w:lineRule="auto"/>
        <w:ind w:firstLine="640" w:firstLineChars="200"/>
        <w:jc w:val="both"/>
        <w:rPr>
          <w:rFonts w:hint="eastAsia" w:ascii="仿宋_GB2312" w:eastAsia="仿宋_GB2312"/>
          <w:sz w:val="32"/>
          <w:szCs w:val="32"/>
        </w:rPr>
      </w:pPr>
      <w:r>
        <w:rPr>
          <w:rFonts w:hint="eastAsia" w:ascii="仿宋_GB2312" w:eastAsia="仿宋_GB2312"/>
          <w:sz w:val="32"/>
          <w:szCs w:val="32"/>
        </w:rPr>
        <w:t>纳税人一次性缴税有困难的，可合理确定分期缴纳计划并报主管税务机关备案后，自发生上述应税行为之日起不超过5个公历年度内（含）分期缴纳个人所得税。</w:t>
      </w:r>
    </w:p>
    <w:p>
      <w:pPr>
        <w:spacing w:line="360" w:lineRule="auto"/>
        <w:ind w:firstLine="640" w:firstLineChars="200"/>
        <w:jc w:val="both"/>
        <w:rPr>
          <w:rFonts w:hint="eastAsia" w:ascii="仿宋_GB2312" w:eastAsia="仿宋_GB2312"/>
          <w:sz w:val="32"/>
          <w:szCs w:val="32"/>
        </w:rPr>
      </w:pPr>
      <w:r>
        <w:rPr>
          <w:rFonts w:hint="eastAsia" w:ascii="仿宋_GB2312" w:eastAsia="仿宋_GB2312"/>
          <w:sz w:val="32"/>
          <w:szCs w:val="32"/>
        </w:rPr>
        <w:t>非货币性资产，是指现金、银行存款等货币性资产以外的资产，包括股权、不动产、技术发明成果以及其他形式的非货币性资产。非货币性资产投资，包括以非货币性资产出资设立新的企业，以及以非货币性资产出资参与企业增资扩股、定向增发股票、股权置换、重组改制等投资行为。</w:t>
      </w:r>
    </w:p>
    <w:p>
      <w:pPr>
        <w:spacing w:line="360" w:lineRule="auto"/>
        <w:ind w:firstLine="643" w:firstLineChars="200"/>
        <w:jc w:val="both"/>
        <w:rPr>
          <w:rFonts w:hint="eastAsia" w:ascii="仿宋_GB2312" w:hAnsi="仿宋_GB2312" w:eastAsia="仿宋_GB2312" w:cs="仿宋_GB2312"/>
          <w:b/>
          <w:color w:val="auto"/>
          <w:sz w:val="32"/>
          <w:szCs w:val="28"/>
          <w:lang w:val="en-US" w:eastAsia="zh-CN"/>
        </w:rPr>
      </w:pPr>
      <w:r>
        <w:rPr>
          <w:rFonts w:hint="eastAsia" w:ascii="仿宋_GB2312" w:hAnsi="仿宋_GB2312" w:eastAsia="仿宋_GB2312" w:cs="仿宋_GB2312"/>
          <w:b/>
          <w:color w:val="auto"/>
          <w:sz w:val="32"/>
          <w:szCs w:val="28"/>
          <w:lang w:val="en-US" w:eastAsia="zh-CN"/>
        </w:rPr>
        <w:t>【政策依据】</w:t>
      </w:r>
    </w:p>
    <w:p>
      <w:pPr>
        <w:spacing w:line="360" w:lineRule="auto"/>
        <w:ind w:firstLine="640" w:firstLineChars="200"/>
        <w:jc w:val="both"/>
        <w:rPr>
          <w:rFonts w:hint="eastAsia" w:ascii="仿宋_GB2312" w:eastAsia="仿宋_GB2312"/>
          <w:sz w:val="32"/>
          <w:szCs w:val="32"/>
        </w:rPr>
      </w:pPr>
      <w:r>
        <w:rPr>
          <w:rFonts w:hint="eastAsia" w:ascii="仿宋_GB2312" w:eastAsia="仿宋_GB2312"/>
          <w:sz w:val="32"/>
          <w:szCs w:val="32"/>
        </w:rPr>
        <w:t>《财政部 国家税务总局关于个人非货币性资产投资有关个人所得税政策的通知》（财税〔2015〕41号）</w:t>
      </w:r>
    </w:p>
    <w:p>
      <w:pPr>
        <w:numPr>
          <w:ilvl w:val="0"/>
          <w:numId w:val="0"/>
        </w:numPr>
        <w:spacing w:line="360" w:lineRule="auto"/>
        <w:jc w:val="both"/>
        <w:outlineLvl w:val="1"/>
        <w:rPr>
          <w:rFonts w:hint="default" w:ascii="仿宋_GB2312" w:hAnsi="仿宋_GB2312" w:eastAsia="仿宋_GB2312" w:cs="仿宋_GB2312"/>
          <w:sz w:val="32"/>
          <w:szCs w:val="32"/>
          <w:lang w:val="en-US" w:eastAsia="zh-CN"/>
        </w:rPr>
      </w:pPr>
    </w:p>
    <w:p>
      <w:pPr>
        <w:numPr>
          <w:ilvl w:val="0"/>
          <w:numId w:val="0"/>
        </w:numPr>
        <w:spacing w:line="360" w:lineRule="auto"/>
        <w:ind w:firstLine="643" w:firstLineChars="200"/>
        <w:jc w:val="both"/>
        <w:outlineLvl w:val="1"/>
        <w:rPr>
          <w:rFonts w:hint="default" w:ascii="仿宋_GB2312" w:hAnsi="仿宋_GB2312" w:eastAsia="仿宋_GB2312" w:cs="仿宋_GB2312"/>
          <w:b/>
          <w:bCs w:val="0"/>
          <w:color w:val="auto"/>
          <w:kern w:val="2"/>
          <w:sz w:val="32"/>
          <w:szCs w:val="32"/>
          <w:lang w:val="en-US" w:eastAsia="zh-CN" w:bidi="ar-SA"/>
        </w:rPr>
      </w:pPr>
      <w:bookmarkStart w:id="215" w:name="_Toc14745"/>
      <w:bookmarkStart w:id="216" w:name="_Toc7138"/>
      <w:bookmarkStart w:id="217" w:name="_Toc28641"/>
      <w:r>
        <w:rPr>
          <w:rFonts w:hint="eastAsia" w:ascii="仿宋_GB2312" w:hAnsi="仿宋_GB2312" w:eastAsia="仿宋_GB2312" w:cs="仿宋_GB2312"/>
          <w:b/>
          <w:bCs w:val="0"/>
          <w:color w:val="auto"/>
          <w:kern w:val="2"/>
          <w:sz w:val="32"/>
          <w:szCs w:val="32"/>
          <w:lang w:val="en-US" w:eastAsia="zh-CN" w:bidi="ar-SA"/>
        </w:rPr>
        <w:t>26.</w:t>
      </w:r>
      <w:r>
        <w:rPr>
          <w:rFonts w:hint="default" w:ascii="仿宋_GB2312" w:hAnsi="仿宋_GB2312" w:eastAsia="仿宋_GB2312" w:cs="仿宋_GB2312"/>
          <w:b/>
          <w:bCs w:val="0"/>
          <w:color w:val="auto"/>
          <w:kern w:val="2"/>
          <w:sz w:val="32"/>
          <w:szCs w:val="32"/>
          <w:lang w:val="en-US" w:eastAsia="zh-CN" w:bidi="ar-SA"/>
        </w:rPr>
        <w:t>获得非上市公司股票期权、股权期权、限制性股票和股权奖励递延缴纳个人所得税</w:t>
      </w:r>
      <w:bookmarkEnd w:id="215"/>
      <w:bookmarkEnd w:id="216"/>
      <w:bookmarkEnd w:id="217"/>
    </w:p>
    <w:p>
      <w:pPr>
        <w:numPr>
          <w:ilvl w:val="0"/>
          <w:numId w:val="0"/>
        </w:numPr>
        <w:spacing w:line="360" w:lineRule="auto"/>
        <w:ind w:firstLine="643" w:firstLineChars="200"/>
        <w:jc w:val="both"/>
        <w:outlineLvl w:val="1"/>
        <w:rPr>
          <w:rFonts w:hint="default" w:ascii="仿宋_GB2312" w:hAnsi="仿宋_GB2312" w:eastAsia="仿宋_GB2312" w:cs="仿宋_GB2312"/>
          <w:b/>
          <w:bCs w:val="0"/>
          <w:color w:val="auto"/>
          <w:kern w:val="2"/>
          <w:sz w:val="32"/>
          <w:szCs w:val="32"/>
          <w:lang w:val="en-US" w:eastAsia="zh-CN" w:bidi="ar-SA"/>
        </w:rPr>
      </w:pPr>
      <w:bookmarkStart w:id="218" w:name="_Toc4089"/>
      <w:bookmarkStart w:id="219" w:name="_Toc25552"/>
      <w:r>
        <w:rPr>
          <w:rFonts w:hint="eastAsia" w:ascii="仿宋_GB2312" w:hAnsi="仿宋_GB2312" w:eastAsia="仿宋_GB2312" w:cs="仿宋_GB2312"/>
          <w:b/>
          <w:bCs w:val="0"/>
          <w:color w:val="auto"/>
          <w:kern w:val="2"/>
          <w:sz w:val="32"/>
          <w:szCs w:val="32"/>
          <w:lang w:val="en-US" w:eastAsia="zh-CN" w:bidi="ar-SA"/>
        </w:rPr>
        <w:t>【政策内容】</w:t>
      </w:r>
      <w:bookmarkEnd w:id="218"/>
      <w:bookmarkEnd w:id="219"/>
    </w:p>
    <w:p>
      <w:pPr>
        <w:numPr>
          <w:ilvl w:val="0"/>
          <w:numId w:val="0"/>
        </w:numPr>
        <w:spacing w:line="360" w:lineRule="auto"/>
        <w:ind w:firstLine="640" w:firstLineChars="200"/>
        <w:jc w:val="both"/>
        <w:outlineLvl w:val="1"/>
        <w:rPr>
          <w:rFonts w:hint="default" w:ascii="仿宋_GB2312" w:hAnsi="仿宋_GB2312" w:eastAsia="仿宋_GB2312" w:cs="仿宋_GB2312"/>
          <w:sz w:val="32"/>
          <w:szCs w:val="32"/>
          <w:lang w:val="en-US" w:eastAsia="zh-CN"/>
        </w:rPr>
      </w:pPr>
      <w:bookmarkStart w:id="220" w:name="_Toc20402"/>
      <w:bookmarkStart w:id="221" w:name="_Toc9607"/>
      <w:bookmarkStart w:id="222" w:name="_Toc1566"/>
      <w:bookmarkStart w:id="223" w:name="_Toc11895"/>
      <w:bookmarkStart w:id="224" w:name="_Toc12366"/>
      <w:bookmarkStart w:id="225" w:name="_Toc1657"/>
      <w:bookmarkStart w:id="226" w:name="_Toc31362"/>
      <w:bookmarkStart w:id="227" w:name="_Toc3903"/>
      <w:r>
        <w:rPr>
          <w:rFonts w:hint="default" w:ascii="仿宋_GB2312" w:hAnsi="仿宋_GB2312" w:eastAsia="仿宋_GB2312" w:cs="仿宋_GB2312"/>
          <w:sz w:val="32"/>
          <w:szCs w:val="32"/>
          <w:lang w:val="en-US" w:eastAsia="zh-CN"/>
        </w:rPr>
        <w:t>非上市公司授予本公司员工的股票期权、股权期权、限制性股票和股权奖励，符合规定条件的，经向主管税务机关备案，可实行递延纳税政策，即员工在取得股权激励时可暂不纳税，递延至转让该股权时纳税；股权转让时，按照股权转让收入减除股权取得成本以及合理税费后的差额，适用“财产转让所得”项目，按照20%的税率计算缴纳个人所得税。</w:t>
      </w:r>
      <w:bookmarkEnd w:id="220"/>
      <w:bookmarkEnd w:id="221"/>
      <w:bookmarkEnd w:id="222"/>
      <w:bookmarkEnd w:id="223"/>
      <w:bookmarkEnd w:id="224"/>
      <w:bookmarkEnd w:id="225"/>
      <w:bookmarkEnd w:id="226"/>
      <w:bookmarkEnd w:id="227"/>
    </w:p>
    <w:p>
      <w:pPr>
        <w:numPr>
          <w:ilvl w:val="0"/>
          <w:numId w:val="0"/>
        </w:numPr>
        <w:spacing w:line="360" w:lineRule="auto"/>
        <w:ind w:firstLine="640" w:firstLineChars="200"/>
        <w:jc w:val="both"/>
        <w:outlineLvl w:val="1"/>
        <w:rPr>
          <w:rFonts w:hint="default" w:ascii="仿宋_GB2312" w:hAnsi="仿宋_GB2312" w:eastAsia="仿宋_GB2312" w:cs="仿宋_GB2312"/>
          <w:sz w:val="32"/>
          <w:szCs w:val="32"/>
          <w:lang w:val="en-US" w:eastAsia="zh-CN"/>
        </w:rPr>
      </w:pPr>
      <w:bookmarkStart w:id="228" w:name="_Toc23799"/>
      <w:bookmarkStart w:id="229" w:name="_Toc25004"/>
      <w:bookmarkStart w:id="230" w:name="_Toc11389"/>
      <w:bookmarkStart w:id="231" w:name="_Toc324"/>
      <w:bookmarkStart w:id="232" w:name="_Toc23900"/>
      <w:bookmarkStart w:id="233" w:name="_Toc17356"/>
      <w:bookmarkStart w:id="234" w:name="_Toc31708"/>
      <w:bookmarkStart w:id="235" w:name="_Toc23866"/>
      <w:r>
        <w:rPr>
          <w:rFonts w:hint="default" w:ascii="仿宋_GB2312" w:hAnsi="仿宋_GB2312" w:eastAsia="仿宋_GB2312" w:cs="仿宋_GB2312"/>
          <w:sz w:val="32"/>
          <w:szCs w:val="32"/>
          <w:lang w:val="en-US" w:eastAsia="zh-CN"/>
        </w:rPr>
        <w:t>股权转让时，股票（权）期权取得成本按行权价确定，限制性股票取得成本按实际出资额确定，股权奖励取得成本为零。</w:t>
      </w:r>
      <w:bookmarkEnd w:id="228"/>
      <w:bookmarkEnd w:id="229"/>
      <w:bookmarkEnd w:id="230"/>
      <w:bookmarkEnd w:id="231"/>
      <w:bookmarkEnd w:id="232"/>
      <w:bookmarkEnd w:id="233"/>
      <w:bookmarkEnd w:id="234"/>
      <w:bookmarkEnd w:id="235"/>
    </w:p>
    <w:p>
      <w:pPr>
        <w:numPr>
          <w:ilvl w:val="0"/>
          <w:numId w:val="0"/>
        </w:numPr>
        <w:spacing w:line="360" w:lineRule="auto"/>
        <w:ind w:firstLine="643" w:firstLineChars="200"/>
        <w:jc w:val="both"/>
        <w:outlineLvl w:val="1"/>
        <w:rPr>
          <w:rFonts w:hint="default" w:ascii="仿宋_GB2312" w:hAnsi="仿宋_GB2312" w:eastAsia="仿宋_GB2312" w:cs="仿宋_GB2312"/>
          <w:b/>
          <w:bCs/>
          <w:sz w:val="32"/>
          <w:szCs w:val="32"/>
          <w:lang w:val="en-US" w:eastAsia="zh-CN"/>
        </w:rPr>
      </w:pPr>
      <w:bookmarkStart w:id="236" w:name="_Toc2699"/>
      <w:bookmarkStart w:id="237" w:name="_Toc31506"/>
      <w:r>
        <w:rPr>
          <w:rFonts w:hint="eastAsia" w:ascii="仿宋_GB2312" w:hAnsi="仿宋_GB2312" w:eastAsia="仿宋_GB2312" w:cs="仿宋_GB2312"/>
          <w:b/>
          <w:bCs/>
          <w:sz w:val="32"/>
          <w:szCs w:val="32"/>
          <w:lang w:val="en-US" w:eastAsia="zh-CN"/>
        </w:rPr>
        <w:t>【政策依据】</w:t>
      </w:r>
      <w:bookmarkEnd w:id="236"/>
      <w:bookmarkEnd w:id="237"/>
    </w:p>
    <w:p>
      <w:pPr>
        <w:numPr>
          <w:ilvl w:val="0"/>
          <w:numId w:val="0"/>
        </w:numPr>
        <w:spacing w:line="360" w:lineRule="auto"/>
        <w:ind w:firstLine="640" w:firstLineChars="200"/>
        <w:jc w:val="both"/>
        <w:outlineLvl w:val="1"/>
        <w:rPr>
          <w:rFonts w:hint="default" w:ascii="仿宋_GB2312" w:hAnsi="仿宋_GB2312" w:eastAsia="仿宋_GB2312" w:cs="仿宋_GB2312"/>
          <w:sz w:val="32"/>
          <w:szCs w:val="32"/>
          <w:lang w:val="en-US" w:eastAsia="zh-CN"/>
        </w:rPr>
      </w:pPr>
      <w:bookmarkStart w:id="238" w:name="_Toc4502"/>
      <w:bookmarkStart w:id="239" w:name="_Toc4173"/>
      <w:bookmarkStart w:id="240" w:name="_Toc8443"/>
      <w:bookmarkStart w:id="241" w:name="_Toc23693"/>
      <w:bookmarkStart w:id="242" w:name="_Toc16236"/>
      <w:bookmarkStart w:id="243" w:name="_Toc17332"/>
      <w:bookmarkStart w:id="244" w:name="_Toc13863"/>
      <w:bookmarkStart w:id="245" w:name="_Toc7756"/>
      <w:r>
        <w:rPr>
          <w:rFonts w:hint="default" w:ascii="仿宋_GB2312" w:hAnsi="仿宋_GB2312" w:eastAsia="仿宋_GB2312" w:cs="仿宋_GB2312"/>
          <w:sz w:val="32"/>
          <w:szCs w:val="32"/>
          <w:lang w:val="en-US" w:eastAsia="zh-CN"/>
        </w:rPr>
        <w:t>《财政部 国家税务总局关于完善股权激励和技术入股有关所得税政策的通知》（财税〔2016〕101号）</w:t>
      </w:r>
      <w:bookmarkEnd w:id="238"/>
      <w:bookmarkEnd w:id="239"/>
      <w:bookmarkEnd w:id="240"/>
      <w:bookmarkEnd w:id="241"/>
      <w:bookmarkEnd w:id="242"/>
      <w:bookmarkEnd w:id="243"/>
      <w:bookmarkEnd w:id="244"/>
      <w:bookmarkEnd w:id="245"/>
    </w:p>
    <w:p>
      <w:pPr>
        <w:numPr>
          <w:ilvl w:val="0"/>
          <w:numId w:val="0"/>
        </w:numPr>
        <w:spacing w:line="360" w:lineRule="auto"/>
        <w:ind w:firstLine="640" w:firstLineChars="200"/>
        <w:jc w:val="both"/>
        <w:outlineLvl w:val="1"/>
        <w:rPr>
          <w:rFonts w:hint="default" w:ascii="仿宋_GB2312" w:hAnsi="仿宋_GB2312" w:eastAsia="仿宋_GB2312" w:cs="仿宋_GB2312"/>
          <w:sz w:val="32"/>
          <w:szCs w:val="32"/>
          <w:lang w:val="en-US" w:eastAsia="zh-CN"/>
        </w:rPr>
      </w:pPr>
      <w:bookmarkStart w:id="246" w:name="_Toc23890"/>
      <w:bookmarkStart w:id="247" w:name="_Toc2948"/>
      <w:bookmarkStart w:id="248" w:name="_Toc32577"/>
      <w:bookmarkStart w:id="249" w:name="_Toc16928"/>
      <w:bookmarkStart w:id="250" w:name="_Toc28424"/>
      <w:bookmarkStart w:id="251" w:name="_Toc13971"/>
      <w:bookmarkStart w:id="252" w:name="_Toc4608"/>
      <w:bookmarkStart w:id="253" w:name="_Toc17751"/>
      <w:r>
        <w:rPr>
          <w:rFonts w:hint="default" w:ascii="仿宋_GB2312" w:hAnsi="仿宋_GB2312" w:eastAsia="仿宋_GB2312" w:cs="仿宋_GB2312"/>
          <w:sz w:val="32"/>
          <w:szCs w:val="32"/>
          <w:lang w:val="en-US" w:eastAsia="zh-CN"/>
        </w:rPr>
        <w:t>《国家税务总局关于股权激励和技术入股所得税征管问题的公告》（国家税务总局公告2016年第62号）</w:t>
      </w:r>
      <w:bookmarkEnd w:id="246"/>
      <w:bookmarkEnd w:id="247"/>
      <w:bookmarkEnd w:id="248"/>
      <w:bookmarkEnd w:id="249"/>
      <w:bookmarkEnd w:id="250"/>
      <w:bookmarkEnd w:id="251"/>
      <w:bookmarkEnd w:id="252"/>
      <w:bookmarkEnd w:id="253"/>
    </w:p>
    <w:p>
      <w:pPr>
        <w:numPr>
          <w:ilvl w:val="0"/>
          <w:numId w:val="0"/>
        </w:numPr>
        <w:spacing w:line="360" w:lineRule="auto"/>
        <w:ind w:firstLine="640" w:firstLineChars="200"/>
        <w:jc w:val="both"/>
        <w:outlineLvl w:val="1"/>
        <w:rPr>
          <w:rFonts w:hint="default" w:ascii="仿宋_GB2312" w:hAnsi="仿宋_GB2312" w:eastAsia="仿宋_GB2312" w:cs="仿宋_GB2312"/>
          <w:sz w:val="32"/>
          <w:szCs w:val="32"/>
          <w:lang w:val="en-US" w:eastAsia="zh-CN"/>
        </w:rPr>
      </w:pPr>
    </w:p>
    <w:p>
      <w:pPr>
        <w:numPr>
          <w:ilvl w:val="0"/>
          <w:numId w:val="0"/>
        </w:numPr>
        <w:spacing w:line="360" w:lineRule="auto"/>
        <w:ind w:firstLine="643" w:firstLineChars="200"/>
        <w:jc w:val="both"/>
        <w:outlineLvl w:val="1"/>
        <w:rPr>
          <w:rFonts w:hint="default" w:ascii="仿宋_GB2312" w:hAnsi="仿宋_GB2312" w:eastAsia="仿宋_GB2312" w:cs="仿宋_GB2312"/>
          <w:b/>
          <w:bCs w:val="0"/>
          <w:color w:val="auto"/>
          <w:kern w:val="2"/>
          <w:sz w:val="32"/>
          <w:szCs w:val="32"/>
          <w:lang w:val="en-US" w:eastAsia="zh-CN" w:bidi="ar-SA"/>
        </w:rPr>
      </w:pPr>
      <w:bookmarkStart w:id="254" w:name="_Toc26358"/>
      <w:r>
        <w:rPr>
          <w:rFonts w:hint="eastAsia" w:ascii="仿宋_GB2312" w:hAnsi="仿宋_GB2312" w:eastAsia="仿宋_GB2312" w:cs="仿宋_GB2312"/>
          <w:b/>
          <w:bCs w:val="0"/>
          <w:color w:val="auto"/>
          <w:kern w:val="2"/>
          <w:sz w:val="32"/>
          <w:szCs w:val="32"/>
          <w:lang w:val="en-US" w:eastAsia="zh-CN" w:bidi="ar-SA"/>
        </w:rPr>
        <w:t>27.</w:t>
      </w:r>
      <w:r>
        <w:rPr>
          <w:rFonts w:hint="default" w:ascii="仿宋_GB2312" w:hAnsi="仿宋_GB2312" w:eastAsia="仿宋_GB2312" w:cs="仿宋_GB2312"/>
          <w:b/>
          <w:bCs w:val="0"/>
          <w:color w:val="auto"/>
          <w:kern w:val="2"/>
          <w:sz w:val="32"/>
          <w:szCs w:val="32"/>
          <w:lang w:val="en-US" w:eastAsia="zh-CN" w:bidi="ar-SA"/>
        </w:rPr>
        <w:t>3岁以下婴幼儿照护个人所得税专项附加扣除政策</w:t>
      </w:r>
      <w:bookmarkEnd w:id="254"/>
      <w:r>
        <w:rPr>
          <w:rFonts w:hint="default" w:ascii="仿宋_GB2312" w:hAnsi="仿宋_GB2312" w:eastAsia="仿宋_GB2312" w:cs="仿宋_GB2312"/>
          <w:b/>
          <w:bCs w:val="0"/>
          <w:color w:val="auto"/>
          <w:kern w:val="2"/>
          <w:sz w:val="32"/>
          <w:szCs w:val="32"/>
          <w:lang w:val="en-US" w:eastAsia="zh-CN" w:bidi="ar-SA"/>
        </w:rPr>
        <w:t xml:space="preserve"> </w:t>
      </w:r>
    </w:p>
    <w:p>
      <w:pPr>
        <w:numPr>
          <w:ilvl w:val="0"/>
          <w:numId w:val="0"/>
        </w:numPr>
        <w:spacing w:line="360" w:lineRule="auto"/>
        <w:ind w:firstLine="643" w:firstLineChars="200"/>
        <w:jc w:val="both"/>
        <w:outlineLvl w:val="1"/>
        <w:rPr>
          <w:rFonts w:hint="default" w:ascii="仿宋_GB2312" w:hAnsi="仿宋_GB2312" w:eastAsia="仿宋_GB2312" w:cs="仿宋_GB2312"/>
          <w:b/>
          <w:bCs w:val="0"/>
          <w:color w:val="auto"/>
          <w:kern w:val="2"/>
          <w:sz w:val="32"/>
          <w:szCs w:val="32"/>
          <w:lang w:val="en-US" w:eastAsia="zh-CN" w:bidi="ar-SA"/>
        </w:rPr>
      </w:pPr>
      <w:bookmarkStart w:id="255" w:name="_Toc3779"/>
      <w:bookmarkStart w:id="256" w:name="_Toc5424"/>
      <w:r>
        <w:rPr>
          <w:rFonts w:hint="eastAsia" w:ascii="仿宋_GB2312" w:hAnsi="仿宋_GB2312" w:eastAsia="仿宋_GB2312" w:cs="仿宋_GB2312"/>
          <w:b/>
          <w:bCs w:val="0"/>
          <w:color w:val="auto"/>
          <w:kern w:val="2"/>
          <w:sz w:val="32"/>
          <w:szCs w:val="32"/>
          <w:lang w:val="en-US" w:eastAsia="zh-CN" w:bidi="ar-SA"/>
        </w:rPr>
        <w:t>【政策内容】</w:t>
      </w:r>
      <w:bookmarkEnd w:id="255"/>
      <w:bookmarkEnd w:id="256"/>
    </w:p>
    <w:p>
      <w:pPr>
        <w:numPr>
          <w:ilvl w:val="0"/>
          <w:numId w:val="0"/>
        </w:numPr>
        <w:spacing w:line="360" w:lineRule="auto"/>
        <w:ind w:firstLine="640" w:firstLineChars="200"/>
        <w:jc w:val="both"/>
        <w:outlineLvl w:val="1"/>
        <w:rPr>
          <w:rFonts w:hint="eastAsia" w:ascii="仿宋_GB2312" w:hAnsi="仿宋_GB2312" w:eastAsia="仿宋_GB2312" w:cs="仿宋_GB2312"/>
          <w:b w:val="0"/>
          <w:bCs w:val="0"/>
          <w:sz w:val="32"/>
          <w:szCs w:val="32"/>
          <w:lang w:val="en-US" w:eastAsia="zh-CN"/>
        </w:rPr>
      </w:pPr>
      <w:bookmarkStart w:id="257" w:name="_Toc12517"/>
      <w:bookmarkStart w:id="258" w:name="_Toc13314"/>
      <w:r>
        <w:rPr>
          <w:rFonts w:hint="default" w:ascii="仿宋_GB2312" w:hAnsi="仿宋_GB2312" w:eastAsia="仿宋_GB2312" w:cs="仿宋_GB2312"/>
          <w:b w:val="0"/>
          <w:bCs w:val="0"/>
          <w:sz w:val="32"/>
          <w:szCs w:val="32"/>
          <w:lang w:val="en-US" w:eastAsia="zh-CN"/>
        </w:rPr>
        <w:t>自2022年1月1日起实施3岁以下婴幼儿照护个人所得税专项附加扣除政策：</w:t>
      </w:r>
      <w:r>
        <w:rPr>
          <w:rFonts w:hint="default" w:ascii="仿宋_GB2312" w:hAnsi="仿宋_GB2312" w:eastAsia="仿宋_GB2312" w:cs="仿宋_GB2312"/>
          <w:b w:val="0"/>
          <w:bCs w:val="0"/>
          <w:sz w:val="32"/>
          <w:szCs w:val="32"/>
          <w:lang w:val="en-US" w:eastAsia="zh-CN"/>
        </w:rPr>
        <w:br w:type="textWrapping"/>
      </w:r>
      <w:r>
        <w:rPr>
          <w:rFonts w:hint="eastAsia" w:ascii="仿宋_GB2312" w:hAnsi="仿宋_GB2312" w:eastAsia="仿宋_GB2312" w:cs="仿宋_GB2312"/>
          <w:b w:val="0"/>
          <w:bCs w:val="0"/>
          <w:sz w:val="32"/>
          <w:szCs w:val="32"/>
          <w:lang w:val="en-US" w:eastAsia="zh-CN"/>
        </w:rPr>
        <w:t xml:space="preserve">    （1）</w:t>
      </w:r>
      <w:r>
        <w:rPr>
          <w:rFonts w:hint="default" w:ascii="仿宋_GB2312" w:hAnsi="仿宋_GB2312" w:eastAsia="仿宋_GB2312" w:cs="仿宋_GB2312"/>
          <w:b w:val="0"/>
          <w:bCs w:val="0"/>
          <w:sz w:val="32"/>
          <w:szCs w:val="32"/>
          <w:lang w:val="en-US" w:eastAsia="zh-CN"/>
        </w:rPr>
        <w:t>纳税人照护3岁以下婴幼儿子女的相关支出， 按照每个婴幼儿每月1000元的标准定额扣除。</w:t>
      </w:r>
      <w:r>
        <w:rPr>
          <w:rFonts w:hint="default" w:ascii="仿宋_GB2312" w:hAnsi="仿宋_GB2312" w:eastAsia="仿宋_GB2312" w:cs="仿宋_GB2312"/>
          <w:b w:val="0"/>
          <w:bCs w:val="0"/>
          <w:sz w:val="32"/>
          <w:szCs w:val="32"/>
          <w:lang w:val="en-US" w:eastAsia="zh-CN"/>
        </w:rPr>
        <w:br w:type="textWrapping"/>
      </w:r>
      <w:r>
        <w:rPr>
          <w:rFonts w:hint="eastAsia" w:ascii="仿宋_GB2312" w:hAnsi="仿宋_GB2312" w:eastAsia="仿宋_GB2312" w:cs="仿宋_GB2312"/>
          <w:b w:val="0"/>
          <w:bCs w:val="0"/>
          <w:sz w:val="32"/>
          <w:szCs w:val="32"/>
          <w:lang w:val="en-US" w:eastAsia="zh-CN"/>
        </w:rPr>
        <w:t xml:space="preserve">    （2）</w:t>
      </w:r>
      <w:r>
        <w:rPr>
          <w:rFonts w:hint="default" w:ascii="仿宋_GB2312" w:hAnsi="仿宋_GB2312" w:eastAsia="仿宋_GB2312" w:cs="仿宋_GB2312"/>
          <w:b w:val="0"/>
          <w:bCs w:val="0"/>
          <w:sz w:val="32"/>
          <w:szCs w:val="32"/>
          <w:lang w:val="en-US" w:eastAsia="zh-CN"/>
        </w:rPr>
        <w:t>父母可以选择由其中一方按扣除标准的100%扣除， 也可以选择由双方分别按扣除标准的50%扣除， 具体扣除方式在一个纳税年度内不能变更</w:t>
      </w:r>
      <w:r>
        <w:rPr>
          <w:rFonts w:hint="eastAsia" w:ascii="仿宋_GB2312" w:hAnsi="仿宋_GB2312" w:eastAsia="仿宋_GB2312" w:cs="仿宋_GB2312"/>
          <w:b w:val="0"/>
          <w:bCs w:val="0"/>
          <w:sz w:val="32"/>
          <w:szCs w:val="32"/>
          <w:lang w:val="en-US" w:eastAsia="zh-CN"/>
        </w:rPr>
        <w:t>。</w:t>
      </w:r>
      <w:bookmarkEnd w:id="257"/>
      <w:bookmarkEnd w:id="258"/>
    </w:p>
    <w:p>
      <w:pPr>
        <w:numPr>
          <w:ilvl w:val="0"/>
          <w:numId w:val="0"/>
        </w:numPr>
        <w:spacing w:line="360" w:lineRule="auto"/>
        <w:ind w:left="638" w:leftChars="304" w:firstLine="0" w:firstLineChars="0"/>
        <w:jc w:val="both"/>
        <w:outlineLvl w:val="1"/>
        <w:rPr>
          <w:rFonts w:hint="default" w:ascii="仿宋_GB2312" w:hAnsi="仿宋_GB2312" w:eastAsia="仿宋_GB2312" w:cs="仿宋_GB2312"/>
          <w:b/>
          <w:bCs/>
          <w:sz w:val="32"/>
          <w:szCs w:val="32"/>
          <w:lang w:val="en-US" w:eastAsia="zh-CN"/>
        </w:rPr>
      </w:pPr>
      <w:bookmarkStart w:id="259" w:name="_Toc26106"/>
      <w:bookmarkStart w:id="260" w:name="_Toc31297"/>
      <w:r>
        <w:rPr>
          <w:rFonts w:hint="eastAsia" w:ascii="仿宋_GB2312" w:hAnsi="仿宋_GB2312" w:eastAsia="仿宋_GB2312" w:cs="仿宋_GB2312"/>
          <w:b/>
          <w:bCs/>
          <w:sz w:val="32"/>
          <w:szCs w:val="32"/>
          <w:lang w:val="en-US" w:eastAsia="zh-CN"/>
        </w:rPr>
        <w:t>【政策依据】</w:t>
      </w:r>
      <w:bookmarkEnd w:id="259"/>
      <w:bookmarkEnd w:id="260"/>
    </w:p>
    <w:p>
      <w:pPr>
        <w:numPr>
          <w:ilvl w:val="0"/>
          <w:numId w:val="0"/>
        </w:numPr>
        <w:spacing w:line="360" w:lineRule="auto"/>
        <w:ind w:firstLine="640" w:firstLineChars="200"/>
        <w:jc w:val="both"/>
        <w:outlineLvl w:val="1"/>
        <w:rPr>
          <w:rFonts w:hint="default" w:ascii="仿宋_GB2312" w:hAnsi="仿宋_GB2312" w:eastAsia="仿宋_GB2312" w:cs="仿宋_GB2312"/>
          <w:b w:val="0"/>
          <w:bCs w:val="0"/>
          <w:sz w:val="32"/>
          <w:szCs w:val="32"/>
          <w:lang w:val="en-US" w:eastAsia="zh-CN"/>
        </w:rPr>
      </w:pPr>
      <w:bookmarkStart w:id="261" w:name="_Toc22972"/>
      <w:bookmarkStart w:id="262" w:name="_Toc8657"/>
      <w:r>
        <w:rPr>
          <w:rFonts w:hint="default" w:ascii="仿宋_GB2312" w:hAnsi="仿宋_GB2312" w:eastAsia="仿宋_GB2312" w:cs="仿宋_GB2312"/>
          <w:b w:val="0"/>
          <w:bCs w:val="0"/>
          <w:sz w:val="32"/>
          <w:szCs w:val="32"/>
          <w:lang w:val="en-US" w:eastAsia="zh-CN"/>
        </w:rPr>
        <w:t>《国务院关于设立3岁以下婴幼儿照护个人所得税专项附加扣除的通知》 （国发〔2022〕 8号）</w:t>
      </w:r>
      <w:bookmarkEnd w:id="261"/>
      <w:bookmarkEnd w:id="262"/>
    </w:p>
    <w:p>
      <w:pPr>
        <w:numPr>
          <w:ilvl w:val="0"/>
          <w:numId w:val="0"/>
        </w:numPr>
        <w:spacing w:line="360" w:lineRule="auto"/>
        <w:ind w:firstLine="640" w:firstLineChars="200"/>
        <w:jc w:val="both"/>
        <w:outlineLvl w:val="1"/>
        <w:rPr>
          <w:rFonts w:hint="default" w:ascii="仿宋_GB2312" w:hAnsi="仿宋_GB2312" w:eastAsia="仿宋_GB2312" w:cs="仿宋_GB2312"/>
          <w:b w:val="0"/>
          <w:bCs w:val="0"/>
          <w:sz w:val="32"/>
          <w:szCs w:val="32"/>
          <w:lang w:val="en-US" w:eastAsia="zh-CN"/>
        </w:rPr>
      </w:pPr>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263" w:name="_Toc21734"/>
      <w:r>
        <w:rPr>
          <w:rFonts w:hint="eastAsia" w:ascii="仿宋_GB2312" w:hAnsi="仿宋_GB2312" w:eastAsia="仿宋_GB2312" w:cs="仿宋_GB2312"/>
          <w:b/>
          <w:bCs w:val="0"/>
          <w:color w:val="auto"/>
          <w:kern w:val="2"/>
          <w:sz w:val="32"/>
          <w:szCs w:val="32"/>
          <w:lang w:val="en-US" w:eastAsia="zh-CN" w:bidi="ar-SA"/>
        </w:rPr>
        <w:t>28.企业发放疫情防护用品免征个人所得税</w:t>
      </w:r>
      <w:bookmarkEnd w:id="263"/>
    </w:p>
    <w:p>
      <w:pPr>
        <w:numPr>
          <w:ilvl w:val="0"/>
          <w:numId w:val="0"/>
        </w:numPr>
        <w:spacing w:line="360" w:lineRule="auto"/>
        <w:ind w:firstLine="643" w:firstLineChars="200"/>
        <w:jc w:val="both"/>
        <w:outlineLvl w:val="1"/>
        <w:rPr>
          <w:rFonts w:hint="default" w:ascii="仿宋_GB2312" w:hAnsi="仿宋_GB2312" w:eastAsia="仿宋_GB2312" w:cs="仿宋_GB2312"/>
          <w:b/>
          <w:bCs w:val="0"/>
          <w:color w:val="auto"/>
          <w:kern w:val="2"/>
          <w:sz w:val="32"/>
          <w:szCs w:val="32"/>
          <w:lang w:val="en-US" w:eastAsia="zh-CN" w:bidi="ar-SA"/>
        </w:rPr>
      </w:pPr>
      <w:bookmarkStart w:id="264" w:name="_Toc28622"/>
      <w:bookmarkStart w:id="265" w:name="_Toc2669"/>
      <w:r>
        <w:rPr>
          <w:rFonts w:hint="eastAsia" w:ascii="仿宋_GB2312" w:hAnsi="仿宋_GB2312" w:eastAsia="仿宋_GB2312" w:cs="仿宋_GB2312"/>
          <w:b/>
          <w:bCs w:val="0"/>
          <w:color w:val="auto"/>
          <w:kern w:val="2"/>
          <w:sz w:val="32"/>
          <w:szCs w:val="32"/>
          <w:lang w:val="en-US" w:eastAsia="zh-CN" w:bidi="ar-SA"/>
        </w:rPr>
        <w:t>【政策内容】</w:t>
      </w:r>
      <w:bookmarkEnd w:id="264"/>
      <w:bookmarkEnd w:id="265"/>
    </w:p>
    <w:p>
      <w:pPr>
        <w:numPr>
          <w:ilvl w:val="0"/>
          <w:numId w:val="0"/>
        </w:numPr>
        <w:spacing w:line="360" w:lineRule="auto"/>
        <w:ind w:firstLine="640" w:firstLineChars="200"/>
        <w:jc w:val="both"/>
        <w:outlineLvl w:val="1"/>
        <w:rPr>
          <w:rFonts w:hint="eastAsia" w:ascii="仿宋_GB2312" w:hAnsi="仿宋_GB2312" w:eastAsia="仿宋_GB2312" w:cs="仿宋_GB2312"/>
          <w:b w:val="0"/>
          <w:bCs w:val="0"/>
          <w:sz w:val="32"/>
          <w:szCs w:val="32"/>
          <w:lang w:val="en-US" w:eastAsia="zh-CN"/>
        </w:rPr>
      </w:pPr>
      <w:bookmarkStart w:id="266" w:name="_Toc6303"/>
      <w:bookmarkStart w:id="267" w:name="_Toc18700"/>
      <w:bookmarkStart w:id="268" w:name="_Toc21037"/>
      <w:bookmarkStart w:id="269" w:name="_Toc15365"/>
      <w:bookmarkStart w:id="270" w:name="_Toc12407"/>
      <w:bookmarkStart w:id="271" w:name="_Toc1627"/>
      <w:bookmarkStart w:id="272" w:name="_Toc20623"/>
      <w:r>
        <w:rPr>
          <w:rFonts w:hint="eastAsia" w:ascii="仿宋_GB2312" w:hAnsi="仿宋_GB2312" w:eastAsia="仿宋_GB2312" w:cs="仿宋_GB2312"/>
          <w:b w:val="0"/>
          <w:bCs w:val="0"/>
          <w:sz w:val="32"/>
          <w:szCs w:val="32"/>
          <w:lang w:val="en-US" w:eastAsia="zh-CN"/>
        </w:rPr>
        <w:t>自2020年1月1日至2023年12月31日，单位发给个人用于预防新型冠状病毒感染的肺炎的药品、医疗用品和防护用品等实物（不包括现金），不计入工资、薪金收入，免征个人所得税。</w:t>
      </w:r>
      <w:bookmarkEnd w:id="266"/>
      <w:bookmarkEnd w:id="267"/>
      <w:bookmarkEnd w:id="268"/>
      <w:bookmarkEnd w:id="269"/>
      <w:bookmarkEnd w:id="270"/>
      <w:bookmarkEnd w:id="271"/>
      <w:bookmarkEnd w:id="272"/>
      <w:r>
        <w:rPr>
          <w:rFonts w:hint="eastAsia" w:ascii="仿宋_GB2312" w:hAnsi="仿宋_GB2312" w:eastAsia="仿宋_GB2312" w:cs="仿宋_GB2312"/>
          <w:b w:val="0"/>
          <w:bCs w:val="0"/>
          <w:sz w:val="32"/>
          <w:szCs w:val="32"/>
          <w:lang w:val="en-US" w:eastAsia="zh-CN"/>
        </w:rPr>
        <w:t xml:space="preserve"> </w:t>
      </w:r>
    </w:p>
    <w:p>
      <w:pPr>
        <w:numPr>
          <w:ilvl w:val="0"/>
          <w:numId w:val="0"/>
        </w:numPr>
        <w:spacing w:line="360" w:lineRule="auto"/>
        <w:ind w:left="638" w:leftChars="304" w:firstLine="0" w:firstLineChars="0"/>
        <w:jc w:val="both"/>
        <w:outlineLvl w:val="1"/>
        <w:rPr>
          <w:rFonts w:hint="default" w:ascii="仿宋_GB2312" w:hAnsi="仿宋_GB2312" w:eastAsia="仿宋_GB2312" w:cs="仿宋_GB2312"/>
          <w:b/>
          <w:bCs/>
          <w:sz w:val="32"/>
          <w:szCs w:val="32"/>
          <w:lang w:val="en-US" w:eastAsia="zh-CN"/>
        </w:rPr>
      </w:pPr>
      <w:bookmarkStart w:id="273" w:name="_Toc10114"/>
      <w:bookmarkStart w:id="274" w:name="_Toc29736"/>
      <w:r>
        <w:rPr>
          <w:rFonts w:hint="eastAsia" w:ascii="仿宋_GB2312" w:hAnsi="仿宋_GB2312" w:eastAsia="仿宋_GB2312" w:cs="仿宋_GB2312"/>
          <w:b/>
          <w:bCs/>
          <w:sz w:val="32"/>
          <w:szCs w:val="32"/>
          <w:lang w:val="en-US" w:eastAsia="zh-CN"/>
        </w:rPr>
        <w:t>【政策依据】</w:t>
      </w:r>
      <w:bookmarkEnd w:id="273"/>
      <w:bookmarkEnd w:id="274"/>
    </w:p>
    <w:p>
      <w:pPr>
        <w:numPr>
          <w:ilvl w:val="0"/>
          <w:numId w:val="0"/>
        </w:numPr>
        <w:spacing w:line="360" w:lineRule="auto"/>
        <w:ind w:firstLine="640" w:firstLineChars="200"/>
        <w:jc w:val="both"/>
        <w:outlineLvl w:val="1"/>
        <w:rPr>
          <w:rFonts w:hint="default" w:ascii="仿宋_GB2312" w:hAnsi="仿宋_GB2312" w:eastAsia="仿宋_GB2312" w:cs="仿宋_GB2312"/>
          <w:b w:val="0"/>
          <w:bCs w:val="0"/>
          <w:sz w:val="32"/>
          <w:szCs w:val="32"/>
          <w:lang w:val="en-US" w:eastAsia="zh-CN"/>
        </w:rPr>
      </w:pPr>
      <w:bookmarkStart w:id="275" w:name="_Toc32419"/>
      <w:bookmarkStart w:id="276" w:name="_Toc13679"/>
      <w:bookmarkStart w:id="277" w:name="_Toc2807"/>
      <w:bookmarkStart w:id="278" w:name="_Toc15113"/>
      <w:bookmarkStart w:id="279" w:name="_Toc4894"/>
      <w:bookmarkStart w:id="280" w:name="_Toc3157"/>
      <w:bookmarkStart w:id="281" w:name="_Toc30798"/>
      <w:r>
        <w:rPr>
          <w:rFonts w:hint="default" w:ascii="仿宋_GB2312" w:hAnsi="仿宋_GB2312" w:eastAsia="仿宋_GB2312" w:cs="仿宋_GB2312"/>
          <w:b w:val="0"/>
          <w:bCs w:val="0"/>
          <w:sz w:val="32"/>
          <w:szCs w:val="32"/>
          <w:lang w:val="en-US" w:eastAsia="zh-CN"/>
        </w:rPr>
        <w:t>《财政部 税务总局关于延长部分税收优惠政策执行期限的公告》（2022年第4号）</w:t>
      </w:r>
      <w:r>
        <w:rPr>
          <w:rFonts w:hint="default" w:ascii="仿宋_GB2312" w:hAnsi="仿宋_GB2312" w:eastAsia="仿宋_GB2312" w:cs="仿宋_GB2312"/>
          <w:b w:val="0"/>
          <w:bCs w:val="0"/>
          <w:sz w:val="32"/>
          <w:szCs w:val="32"/>
          <w:lang w:val="en-US" w:eastAsia="zh-CN"/>
        </w:rPr>
        <w:br w:type="textWrapping"/>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《财政部 税务总局关于支持新型冠状病毒感染的肺炎疫情防控有关个人所得税政策的公告》 （2020年第10号）</w:t>
      </w:r>
      <w:bookmarkEnd w:id="275"/>
      <w:bookmarkEnd w:id="276"/>
      <w:bookmarkEnd w:id="277"/>
      <w:bookmarkEnd w:id="278"/>
      <w:bookmarkEnd w:id="279"/>
      <w:bookmarkEnd w:id="280"/>
      <w:bookmarkEnd w:id="281"/>
    </w:p>
    <w:p>
      <w:pPr>
        <w:numPr>
          <w:ilvl w:val="0"/>
          <w:numId w:val="0"/>
        </w:numPr>
        <w:spacing w:line="360" w:lineRule="auto"/>
        <w:ind w:firstLine="643" w:firstLineChars="200"/>
        <w:jc w:val="both"/>
        <w:outlineLvl w:val="1"/>
        <w:rPr>
          <w:rFonts w:hint="default" w:ascii="仿宋_GB2312" w:hAnsi="仿宋_GB2312" w:eastAsia="仿宋_GB2312" w:cs="仿宋_GB2312"/>
          <w:b/>
          <w:bCs w:val="0"/>
          <w:color w:val="auto"/>
          <w:kern w:val="2"/>
          <w:sz w:val="32"/>
          <w:szCs w:val="32"/>
          <w:lang w:val="en-US" w:eastAsia="zh-CN" w:bidi="ar-SA"/>
        </w:rPr>
      </w:pPr>
    </w:p>
    <w:p>
      <w:pPr>
        <w:numPr>
          <w:ilvl w:val="0"/>
          <w:numId w:val="0"/>
        </w:numPr>
        <w:spacing w:line="360" w:lineRule="auto"/>
        <w:ind w:firstLine="643" w:firstLineChars="200"/>
        <w:jc w:val="both"/>
        <w:outlineLvl w:val="1"/>
        <w:rPr>
          <w:rFonts w:hint="default" w:ascii="仿宋_GB2312" w:hAnsi="仿宋_GB2312" w:eastAsia="仿宋_GB2312" w:cs="仿宋_GB2312"/>
          <w:b/>
          <w:bCs w:val="0"/>
          <w:color w:val="auto"/>
          <w:kern w:val="2"/>
          <w:sz w:val="32"/>
          <w:szCs w:val="32"/>
          <w:lang w:val="en-US" w:eastAsia="zh-CN" w:bidi="ar-SA"/>
        </w:rPr>
      </w:pPr>
      <w:bookmarkStart w:id="282" w:name="_Toc27703"/>
      <w:r>
        <w:rPr>
          <w:rFonts w:hint="eastAsia" w:ascii="仿宋_GB2312" w:hAnsi="仿宋_GB2312" w:eastAsia="仿宋_GB2312" w:cs="仿宋_GB2312"/>
          <w:b/>
          <w:bCs w:val="0"/>
          <w:color w:val="auto"/>
          <w:kern w:val="2"/>
          <w:sz w:val="32"/>
          <w:szCs w:val="32"/>
          <w:lang w:val="en-US" w:eastAsia="zh-CN" w:bidi="ar-SA"/>
        </w:rPr>
        <w:t>29.</w:t>
      </w:r>
      <w:r>
        <w:rPr>
          <w:rFonts w:hint="default" w:ascii="仿宋_GB2312" w:hAnsi="仿宋_GB2312" w:eastAsia="仿宋_GB2312" w:cs="仿宋_GB2312"/>
          <w:b/>
          <w:bCs w:val="0"/>
          <w:color w:val="auto"/>
          <w:kern w:val="2"/>
          <w:sz w:val="32"/>
          <w:szCs w:val="32"/>
          <w:lang w:val="en-US" w:eastAsia="zh-CN" w:bidi="ar-SA"/>
        </w:rPr>
        <w:t>全年一次性奖金个人所得税优惠政策</w:t>
      </w:r>
      <w:bookmarkEnd w:id="282"/>
      <w:r>
        <w:rPr>
          <w:rFonts w:hint="default" w:ascii="仿宋_GB2312" w:hAnsi="仿宋_GB2312" w:eastAsia="仿宋_GB2312" w:cs="仿宋_GB2312"/>
          <w:b/>
          <w:bCs w:val="0"/>
          <w:color w:val="auto"/>
          <w:kern w:val="2"/>
          <w:sz w:val="32"/>
          <w:szCs w:val="32"/>
          <w:lang w:val="en-US" w:eastAsia="zh-CN" w:bidi="ar-SA"/>
        </w:rPr>
        <w:t xml:space="preserve"> </w:t>
      </w:r>
    </w:p>
    <w:p>
      <w:pPr>
        <w:numPr>
          <w:ilvl w:val="0"/>
          <w:numId w:val="0"/>
        </w:numPr>
        <w:spacing w:line="360" w:lineRule="auto"/>
        <w:ind w:firstLine="643" w:firstLineChars="200"/>
        <w:jc w:val="both"/>
        <w:outlineLvl w:val="1"/>
        <w:rPr>
          <w:rFonts w:hint="default" w:ascii="仿宋_GB2312" w:hAnsi="仿宋_GB2312" w:eastAsia="仿宋_GB2312" w:cs="仿宋_GB2312"/>
          <w:b/>
          <w:bCs w:val="0"/>
          <w:color w:val="auto"/>
          <w:kern w:val="2"/>
          <w:sz w:val="32"/>
          <w:szCs w:val="32"/>
          <w:lang w:val="en-US" w:eastAsia="zh-CN" w:bidi="ar-SA"/>
        </w:rPr>
      </w:pPr>
      <w:bookmarkStart w:id="283" w:name="_Toc1506"/>
      <w:bookmarkStart w:id="284" w:name="_Toc26587"/>
      <w:r>
        <w:rPr>
          <w:rFonts w:hint="eastAsia" w:ascii="仿宋_GB2312" w:hAnsi="仿宋_GB2312" w:eastAsia="仿宋_GB2312" w:cs="仿宋_GB2312"/>
          <w:b/>
          <w:bCs w:val="0"/>
          <w:color w:val="auto"/>
          <w:kern w:val="2"/>
          <w:sz w:val="32"/>
          <w:szCs w:val="32"/>
          <w:lang w:val="en-US" w:eastAsia="zh-CN" w:bidi="ar-SA"/>
        </w:rPr>
        <w:t>【政策内容】</w:t>
      </w:r>
      <w:bookmarkEnd w:id="283"/>
      <w:bookmarkEnd w:id="284"/>
    </w:p>
    <w:p>
      <w:pPr>
        <w:numPr>
          <w:ilvl w:val="0"/>
          <w:numId w:val="0"/>
        </w:numPr>
        <w:spacing w:line="360" w:lineRule="auto"/>
        <w:ind w:firstLine="640" w:firstLineChars="200"/>
        <w:jc w:val="both"/>
        <w:outlineLvl w:val="1"/>
        <w:rPr>
          <w:rFonts w:hint="default" w:ascii="仿宋_GB2312" w:hAnsi="仿宋_GB2312" w:eastAsia="仿宋_GB2312" w:cs="仿宋_GB2312"/>
          <w:b w:val="0"/>
          <w:bCs w:val="0"/>
          <w:sz w:val="32"/>
          <w:szCs w:val="32"/>
          <w:lang w:val="en-US" w:eastAsia="zh-CN"/>
        </w:rPr>
      </w:pPr>
      <w:bookmarkStart w:id="285" w:name="_Toc12013"/>
      <w:bookmarkStart w:id="286" w:name="_Toc17176"/>
      <w:bookmarkStart w:id="287" w:name="_Toc6373"/>
      <w:bookmarkStart w:id="288" w:name="_Toc27314"/>
      <w:bookmarkStart w:id="289" w:name="_Toc3954"/>
      <w:bookmarkStart w:id="290" w:name="_Toc27153"/>
      <w:bookmarkStart w:id="291" w:name="_Toc9605"/>
      <w:r>
        <w:rPr>
          <w:rFonts w:hint="default" w:ascii="仿宋_GB2312" w:hAnsi="仿宋_GB2312" w:eastAsia="仿宋_GB2312" w:cs="仿宋_GB2312"/>
          <w:b w:val="0"/>
          <w:bCs w:val="0"/>
          <w:sz w:val="32"/>
          <w:szCs w:val="32"/>
          <w:lang w:val="en-US" w:eastAsia="zh-CN"/>
        </w:rPr>
        <w:t>居民个人取得全年一次性奖金，在2023年12月31日前，不并入当年综合所得，以全年一次性奖金收入除以1</w:t>
      </w:r>
      <w:r>
        <w:rPr>
          <w:rFonts w:hint="eastAsia" w:ascii="仿宋_GB2312" w:hAnsi="仿宋_GB2312" w:eastAsia="仿宋_GB2312" w:cs="仿宋_GB2312"/>
          <w:b w:val="0"/>
          <w:bCs w:val="0"/>
          <w:sz w:val="32"/>
          <w:szCs w:val="32"/>
          <w:lang w:val="en-US" w:eastAsia="zh-CN"/>
        </w:rPr>
        <w:t>2</w:t>
      </w:r>
      <w:r>
        <w:rPr>
          <w:rFonts w:hint="default" w:ascii="仿宋_GB2312" w:hAnsi="仿宋_GB2312" w:eastAsia="仿宋_GB2312" w:cs="仿宋_GB2312"/>
          <w:b w:val="0"/>
          <w:bCs w:val="0"/>
          <w:sz w:val="32"/>
          <w:szCs w:val="32"/>
          <w:lang w:val="en-US" w:eastAsia="zh-CN"/>
        </w:rPr>
        <w:t>个月得到的数额，按照按月换算后的综合所得税率表，确定适用税率和速算扣除数，单独计算纳税。计算公式为：应纳税额＝全年一次性奖金收入×适用税率－速算扣除数</w:t>
      </w:r>
      <w:bookmarkEnd w:id="285"/>
      <w:bookmarkEnd w:id="286"/>
      <w:bookmarkEnd w:id="287"/>
      <w:bookmarkEnd w:id="288"/>
      <w:bookmarkEnd w:id="289"/>
      <w:bookmarkEnd w:id="290"/>
      <w:bookmarkEnd w:id="291"/>
    </w:p>
    <w:p>
      <w:pPr>
        <w:numPr>
          <w:ilvl w:val="0"/>
          <w:numId w:val="0"/>
        </w:numPr>
        <w:spacing w:line="360" w:lineRule="auto"/>
        <w:ind w:firstLine="640" w:firstLineChars="200"/>
        <w:jc w:val="both"/>
        <w:outlineLvl w:val="1"/>
        <w:rPr>
          <w:rFonts w:hint="default" w:ascii="仿宋_GB2312" w:hAnsi="仿宋_GB2312" w:eastAsia="仿宋_GB2312" w:cs="仿宋_GB2312"/>
          <w:b w:val="0"/>
          <w:bCs w:val="0"/>
          <w:sz w:val="32"/>
          <w:szCs w:val="32"/>
          <w:lang w:val="en-US" w:eastAsia="zh-CN"/>
        </w:rPr>
      </w:pPr>
      <w:bookmarkStart w:id="292" w:name="_Toc14886"/>
      <w:bookmarkStart w:id="293" w:name="_Toc8206"/>
      <w:bookmarkStart w:id="294" w:name="_Toc13457"/>
      <w:bookmarkStart w:id="295" w:name="_Toc25980"/>
      <w:bookmarkStart w:id="296" w:name="_Toc5197"/>
      <w:bookmarkStart w:id="297" w:name="_Toc21118"/>
      <w:bookmarkStart w:id="298" w:name="_Toc30390"/>
      <w:r>
        <w:rPr>
          <w:rFonts w:hint="default" w:ascii="仿宋_GB2312" w:hAnsi="仿宋_GB2312" w:eastAsia="仿宋_GB2312" w:cs="仿宋_GB2312"/>
          <w:b w:val="0"/>
          <w:bCs w:val="0"/>
          <w:sz w:val="32"/>
          <w:szCs w:val="32"/>
          <w:lang w:val="en-US" w:eastAsia="zh-CN"/>
        </w:rPr>
        <w:t>居民个人取得全年一次性奖金，也可以选择并入当年综合所得计算纳税。</w:t>
      </w:r>
      <w:bookmarkEnd w:id="292"/>
      <w:bookmarkEnd w:id="293"/>
      <w:bookmarkEnd w:id="294"/>
      <w:bookmarkEnd w:id="295"/>
      <w:bookmarkEnd w:id="296"/>
      <w:bookmarkEnd w:id="297"/>
      <w:bookmarkEnd w:id="298"/>
      <w:r>
        <w:rPr>
          <w:rFonts w:hint="default" w:ascii="仿宋_GB2312" w:hAnsi="仿宋_GB2312" w:eastAsia="仿宋_GB2312" w:cs="仿宋_GB2312"/>
          <w:b w:val="0"/>
          <w:bCs w:val="0"/>
          <w:sz w:val="32"/>
          <w:szCs w:val="32"/>
          <w:lang w:val="en-US" w:eastAsia="zh-CN"/>
        </w:rPr>
        <w:t xml:space="preserve"> </w:t>
      </w:r>
    </w:p>
    <w:p>
      <w:pPr>
        <w:numPr>
          <w:ilvl w:val="0"/>
          <w:numId w:val="0"/>
        </w:numPr>
        <w:spacing w:line="360" w:lineRule="auto"/>
        <w:ind w:firstLine="640" w:firstLineChars="200"/>
        <w:jc w:val="both"/>
        <w:outlineLvl w:val="1"/>
        <w:rPr>
          <w:rFonts w:hint="default" w:ascii="仿宋_GB2312" w:hAnsi="仿宋_GB2312" w:eastAsia="仿宋_GB2312" w:cs="仿宋_GB2312"/>
          <w:b w:val="0"/>
          <w:bCs w:val="0"/>
          <w:sz w:val="32"/>
          <w:szCs w:val="32"/>
          <w:lang w:val="en-US" w:eastAsia="zh-CN"/>
        </w:rPr>
      </w:pPr>
      <w:bookmarkStart w:id="299" w:name="_Toc32111"/>
      <w:bookmarkStart w:id="300" w:name="_Toc15505"/>
      <w:bookmarkStart w:id="301" w:name="_Toc2964"/>
      <w:bookmarkStart w:id="302" w:name="_Toc8425"/>
      <w:bookmarkStart w:id="303" w:name="_Toc3392"/>
      <w:bookmarkStart w:id="304" w:name="_Toc28987"/>
      <w:bookmarkStart w:id="305" w:name="_Toc20681"/>
      <w:r>
        <w:rPr>
          <w:rFonts w:hint="default" w:ascii="仿宋_GB2312" w:hAnsi="仿宋_GB2312" w:eastAsia="仿宋_GB2312" w:cs="仿宋_GB2312"/>
          <w:b w:val="0"/>
          <w:bCs w:val="0"/>
          <w:sz w:val="32"/>
          <w:szCs w:val="32"/>
          <w:lang w:val="en-US" w:eastAsia="zh-CN"/>
        </w:rPr>
        <w:t>居民个人取得全年一次性奖金，应当符合《国家税务总局关于调整个人取得全年一次性奖金等计算征收个人所得税方法问题的通知》（国税发〔2005〕9号）规定。</w:t>
      </w:r>
      <w:bookmarkEnd w:id="299"/>
      <w:bookmarkEnd w:id="300"/>
      <w:bookmarkEnd w:id="301"/>
      <w:bookmarkEnd w:id="302"/>
      <w:bookmarkEnd w:id="303"/>
      <w:bookmarkEnd w:id="304"/>
      <w:bookmarkEnd w:id="305"/>
    </w:p>
    <w:p>
      <w:pPr>
        <w:numPr>
          <w:ilvl w:val="0"/>
          <w:numId w:val="0"/>
        </w:numPr>
        <w:spacing w:line="360" w:lineRule="auto"/>
        <w:ind w:left="638" w:leftChars="304" w:firstLine="0" w:firstLineChars="0"/>
        <w:jc w:val="both"/>
        <w:outlineLvl w:val="1"/>
        <w:rPr>
          <w:rFonts w:hint="default" w:ascii="仿宋_GB2312" w:hAnsi="仿宋_GB2312" w:eastAsia="仿宋_GB2312" w:cs="仿宋_GB2312"/>
          <w:b/>
          <w:bCs/>
          <w:sz w:val="32"/>
          <w:szCs w:val="32"/>
          <w:lang w:val="en-US" w:eastAsia="zh-CN"/>
        </w:rPr>
      </w:pPr>
      <w:bookmarkStart w:id="306" w:name="_Toc2084"/>
      <w:bookmarkStart w:id="307" w:name="_Toc21768"/>
      <w:r>
        <w:rPr>
          <w:rFonts w:hint="eastAsia" w:ascii="仿宋_GB2312" w:hAnsi="仿宋_GB2312" w:eastAsia="仿宋_GB2312" w:cs="仿宋_GB2312"/>
          <w:b/>
          <w:bCs/>
          <w:sz w:val="32"/>
          <w:szCs w:val="32"/>
          <w:lang w:val="en-US" w:eastAsia="zh-CN"/>
        </w:rPr>
        <w:t>【政策依据】</w:t>
      </w:r>
      <w:bookmarkEnd w:id="306"/>
      <w:bookmarkEnd w:id="307"/>
    </w:p>
    <w:p>
      <w:pPr>
        <w:numPr>
          <w:ilvl w:val="0"/>
          <w:numId w:val="0"/>
        </w:numPr>
        <w:spacing w:line="360" w:lineRule="auto"/>
        <w:ind w:firstLine="640" w:firstLineChars="200"/>
        <w:jc w:val="both"/>
        <w:outlineLvl w:val="1"/>
        <w:rPr>
          <w:rFonts w:hint="default" w:ascii="仿宋_GB2312" w:hAnsi="仿宋_GB2312" w:eastAsia="仿宋_GB2312" w:cs="仿宋_GB2312"/>
          <w:b w:val="0"/>
          <w:bCs w:val="0"/>
          <w:sz w:val="32"/>
          <w:szCs w:val="32"/>
          <w:lang w:val="en-US" w:eastAsia="zh-CN"/>
        </w:rPr>
      </w:pPr>
      <w:bookmarkStart w:id="308" w:name="_Toc20197"/>
      <w:bookmarkStart w:id="309" w:name="_Toc28594"/>
      <w:bookmarkStart w:id="310" w:name="_Toc5606"/>
      <w:bookmarkStart w:id="311" w:name="_Toc1656"/>
      <w:bookmarkStart w:id="312" w:name="_Toc21892"/>
      <w:bookmarkStart w:id="313" w:name="_Toc14454"/>
      <w:bookmarkStart w:id="314" w:name="_Toc24213"/>
      <w:r>
        <w:rPr>
          <w:rFonts w:hint="default" w:ascii="仿宋_GB2312" w:hAnsi="仿宋_GB2312" w:eastAsia="仿宋_GB2312" w:cs="仿宋_GB2312"/>
          <w:b w:val="0"/>
          <w:bCs w:val="0"/>
          <w:sz w:val="32"/>
          <w:szCs w:val="32"/>
          <w:lang w:val="en-US" w:eastAsia="zh-CN"/>
        </w:rPr>
        <w:t>《财政部 税务总局关于延续实施全年一次性奖金等个人所得税优惠政策的公告》（2021年第42号）</w:t>
      </w:r>
      <w:r>
        <w:rPr>
          <w:rFonts w:hint="default" w:ascii="仿宋_GB2312" w:hAnsi="仿宋_GB2312" w:eastAsia="仿宋_GB2312" w:cs="仿宋_GB2312"/>
          <w:b w:val="0"/>
          <w:bCs w:val="0"/>
          <w:sz w:val="32"/>
          <w:szCs w:val="32"/>
          <w:lang w:val="en-US" w:eastAsia="zh-CN"/>
        </w:rPr>
        <w:br w:type="textWrapping"/>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《财政部 税务总局关于个人所得税法修改后有关优惠政策衔接问题的通知》（财税〔2018〕164号）</w:t>
      </w:r>
      <w:bookmarkEnd w:id="308"/>
      <w:bookmarkEnd w:id="309"/>
      <w:bookmarkEnd w:id="310"/>
      <w:bookmarkEnd w:id="311"/>
      <w:bookmarkEnd w:id="312"/>
      <w:bookmarkEnd w:id="313"/>
      <w:bookmarkEnd w:id="314"/>
      <w:r>
        <w:rPr>
          <w:rFonts w:hint="default" w:ascii="仿宋_GB2312" w:hAnsi="仿宋_GB2312" w:eastAsia="仿宋_GB2312" w:cs="仿宋_GB2312"/>
          <w:b w:val="0"/>
          <w:bCs w:val="0"/>
          <w:sz w:val="32"/>
          <w:szCs w:val="32"/>
          <w:lang w:val="en-US" w:eastAsia="zh-CN"/>
        </w:rPr>
        <w:t xml:space="preserve"> </w:t>
      </w:r>
    </w:p>
    <w:p>
      <w:pPr>
        <w:numPr>
          <w:ilvl w:val="0"/>
          <w:numId w:val="0"/>
        </w:numPr>
        <w:spacing w:line="360" w:lineRule="auto"/>
        <w:jc w:val="both"/>
        <w:outlineLvl w:val="1"/>
        <w:rPr>
          <w:rFonts w:hint="default" w:ascii="仿宋_GB2312" w:hAnsi="仿宋_GB2312" w:eastAsia="仿宋_GB2312" w:cs="仿宋_GB2312"/>
          <w:b w:val="0"/>
          <w:bCs w:val="0"/>
          <w:sz w:val="32"/>
          <w:szCs w:val="32"/>
          <w:lang w:val="en-US" w:eastAsia="zh-CN"/>
        </w:rPr>
      </w:pPr>
    </w:p>
    <w:p>
      <w:pPr>
        <w:numPr>
          <w:ilvl w:val="0"/>
          <w:numId w:val="0"/>
        </w:numPr>
        <w:spacing w:line="360" w:lineRule="auto"/>
        <w:ind w:firstLine="643" w:firstLineChars="200"/>
        <w:jc w:val="both"/>
        <w:outlineLvl w:val="1"/>
        <w:rPr>
          <w:rFonts w:hint="default" w:ascii="仿宋_GB2312" w:hAnsi="仿宋_GB2312" w:eastAsia="仿宋_GB2312" w:cs="仿宋_GB2312"/>
          <w:b/>
          <w:bCs w:val="0"/>
          <w:color w:val="auto"/>
          <w:kern w:val="2"/>
          <w:sz w:val="32"/>
          <w:szCs w:val="32"/>
          <w:lang w:val="en-US" w:eastAsia="zh-CN" w:bidi="ar-SA"/>
        </w:rPr>
      </w:pPr>
      <w:bookmarkStart w:id="315" w:name="_Toc22019"/>
      <w:r>
        <w:rPr>
          <w:rFonts w:hint="eastAsia" w:ascii="仿宋_GB2312" w:hAnsi="仿宋_GB2312" w:eastAsia="仿宋_GB2312" w:cs="仿宋_GB2312"/>
          <w:b/>
          <w:bCs w:val="0"/>
          <w:color w:val="auto"/>
          <w:kern w:val="2"/>
          <w:sz w:val="32"/>
          <w:szCs w:val="32"/>
          <w:lang w:val="en-US" w:eastAsia="zh-CN" w:bidi="ar-SA"/>
        </w:rPr>
        <w:t>30.</w:t>
      </w:r>
      <w:bookmarkStart w:id="316" w:name="_Toc8899"/>
      <w:bookmarkStart w:id="317" w:name="_Toc17704"/>
      <w:r>
        <w:rPr>
          <w:rFonts w:hint="default" w:ascii="仿宋_GB2312" w:hAnsi="仿宋_GB2312" w:eastAsia="仿宋_GB2312" w:cs="仿宋_GB2312"/>
          <w:b/>
          <w:bCs w:val="0"/>
          <w:color w:val="auto"/>
          <w:kern w:val="2"/>
          <w:sz w:val="32"/>
          <w:szCs w:val="32"/>
          <w:lang w:val="en-US" w:eastAsia="zh-CN" w:bidi="ar-SA"/>
        </w:rPr>
        <w:t>外籍个人津补贴个人所得税优惠政策</w:t>
      </w:r>
      <w:bookmarkEnd w:id="315"/>
      <w:bookmarkEnd w:id="316"/>
      <w:bookmarkEnd w:id="317"/>
      <w:r>
        <w:rPr>
          <w:rFonts w:hint="default" w:ascii="仿宋_GB2312" w:hAnsi="仿宋_GB2312" w:eastAsia="仿宋_GB2312" w:cs="仿宋_GB2312"/>
          <w:b/>
          <w:bCs w:val="0"/>
          <w:color w:val="auto"/>
          <w:kern w:val="2"/>
          <w:sz w:val="32"/>
          <w:szCs w:val="32"/>
          <w:lang w:val="en-US" w:eastAsia="zh-CN" w:bidi="ar-SA"/>
        </w:rPr>
        <w:t xml:space="preserve"> </w:t>
      </w:r>
    </w:p>
    <w:p>
      <w:pPr>
        <w:numPr>
          <w:ilvl w:val="0"/>
          <w:numId w:val="0"/>
        </w:numPr>
        <w:spacing w:line="360" w:lineRule="auto"/>
        <w:ind w:firstLine="643" w:firstLineChars="200"/>
        <w:jc w:val="both"/>
        <w:outlineLvl w:val="1"/>
        <w:rPr>
          <w:rFonts w:hint="default" w:ascii="仿宋_GB2312" w:hAnsi="仿宋_GB2312" w:eastAsia="仿宋_GB2312" w:cs="仿宋_GB2312"/>
          <w:b/>
          <w:bCs w:val="0"/>
          <w:color w:val="auto"/>
          <w:kern w:val="2"/>
          <w:sz w:val="32"/>
          <w:szCs w:val="32"/>
          <w:lang w:val="en-US" w:eastAsia="zh-CN" w:bidi="ar-SA"/>
        </w:rPr>
      </w:pPr>
      <w:bookmarkStart w:id="318" w:name="_Toc20651"/>
      <w:bookmarkStart w:id="319" w:name="_Toc13906"/>
      <w:r>
        <w:rPr>
          <w:rFonts w:hint="eastAsia" w:ascii="仿宋_GB2312" w:hAnsi="仿宋_GB2312" w:eastAsia="仿宋_GB2312" w:cs="仿宋_GB2312"/>
          <w:b/>
          <w:bCs w:val="0"/>
          <w:color w:val="auto"/>
          <w:kern w:val="2"/>
          <w:sz w:val="32"/>
          <w:szCs w:val="32"/>
          <w:lang w:val="en-US" w:eastAsia="zh-CN" w:bidi="ar-SA"/>
        </w:rPr>
        <w:t>【政策内容】</w:t>
      </w:r>
      <w:bookmarkEnd w:id="318"/>
      <w:bookmarkEnd w:id="319"/>
    </w:p>
    <w:p>
      <w:pPr>
        <w:numPr>
          <w:ilvl w:val="0"/>
          <w:numId w:val="0"/>
        </w:numPr>
        <w:spacing w:line="360" w:lineRule="auto"/>
        <w:ind w:firstLine="640" w:firstLineChars="200"/>
        <w:jc w:val="both"/>
        <w:outlineLvl w:val="1"/>
        <w:rPr>
          <w:rFonts w:hint="default" w:ascii="仿宋_GB2312" w:hAnsi="仿宋_GB2312" w:eastAsia="仿宋_GB2312" w:cs="仿宋_GB2312"/>
          <w:b w:val="0"/>
          <w:bCs w:val="0"/>
          <w:sz w:val="32"/>
          <w:szCs w:val="32"/>
          <w:lang w:val="en-US" w:eastAsia="zh-CN"/>
        </w:rPr>
      </w:pPr>
      <w:bookmarkStart w:id="320" w:name="_Toc27929"/>
      <w:bookmarkStart w:id="321" w:name="_Toc20896"/>
      <w:bookmarkStart w:id="322" w:name="_Toc29494"/>
      <w:bookmarkStart w:id="323" w:name="_Toc17637"/>
      <w:bookmarkStart w:id="324" w:name="_Toc8624"/>
      <w:bookmarkStart w:id="325" w:name="_Toc3049"/>
      <w:bookmarkStart w:id="326" w:name="_Toc16177"/>
      <w:r>
        <w:rPr>
          <w:rFonts w:hint="default" w:ascii="仿宋_GB2312" w:hAnsi="仿宋_GB2312" w:eastAsia="仿宋_GB2312" w:cs="仿宋_GB2312"/>
          <w:b w:val="0"/>
          <w:bCs w:val="0"/>
          <w:sz w:val="32"/>
          <w:szCs w:val="32"/>
          <w:lang w:val="en-US" w:eastAsia="zh-CN"/>
        </w:rPr>
        <w:t>自2019年1月1日至2023年12月31日，外籍个人符合居民个人条件的，可以选择享受个人所得税专项附加扣除，也可以选择按照《财政部 国家税务总局关于个人所得税若干政策问题的通知》（财税〔1994〕20号）、《国家税务总局关于外籍个人取得有关补贴征免个人所得税执行问题的通知》（国税发〔1997〕54号）和《财政部 国家税务总局关于外籍个人取得港澳地区住房等补贴征免个人所得税的通知》（财税〔2004〕29号）规定，享受住房补贴、语言训练费、子女教育费等津补贴免税优惠政策。</w:t>
      </w:r>
      <w:bookmarkEnd w:id="320"/>
      <w:bookmarkEnd w:id="321"/>
      <w:bookmarkEnd w:id="322"/>
      <w:bookmarkEnd w:id="323"/>
      <w:bookmarkEnd w:id="324"/>
      <w:bookmarkEnd w:id="325"/>
      <w:bookmarkEnd w:id="326"/>
      <w:r>
        <w:rPr>
          <w:rFonts w:hint="default" w:ascii="仿宋_GB2312" w:hAnsi="仿宋_GB2312" w:eastAsia="仿宋_GB2312" w:cs="仿宋_GB2312"/>
          <w:b w:val="0"/>
          <w:bCs w:val="0"/>
          <w:sz w:val="32"/>
          <w:szCs w:val="32"/>
          <w:lang w:val="en-US" w:eastAsia="zh-CN"/>
        </w:rPr>
        <w:t xml:space="preserve"> </w:t>
      </w:r>
    </w:p>
    <w:p>
      <w:pPr>
        <w:numPr>
          <w:ilvl w:val="0"/>
          <w:numId w:val="0"/>
        </w:numPr>
        <w:spacing w:line="360" w:lineRule="auto"/>
        <w:ind w:firstLine="640" w:firstLineChars="200"/>
        <w:jc w:val="both"/>
        <w:outlineLvl w:val="1"/>
        <w:rPr>
          <w:rFonts w:hint="default" w:ascii="仿宋_GB2312" w:hAnsi="仿宋_GB2312" w:eastAsia="仿宋_GB2312" w:cs="仿宋_GB2312"/>
          <w:b w:val="0"/>
          <w:bCs w:val="0"/>
          <w:sz w:val="32"/>
          <w:szCs w:val="32"/>
          <w:lang w:val="en-US" w:eastAsia="zh-CN"/>
        </w:rPr>
      </w:pPr>
      <w:bookmarkStart w:id="327" w:name="_Toc19650"/>
      <w:bookmarkStart w:id="328" w:name="_Toc9870"/>
      <w:bookmarkStart w:id="329" w:name="_Toc13333"/>
      <w:bookmarkStart w:id="330" w:name="_Toc26668"/>
      <w:bookmarkStart w:id="331" w:name="_Toc5900"/>
      <w:bookmarkStart w:id="332" w:name="_Toc10543"/>
      <w:bookmarkStart w:id="333" w:name="_Toc1789"/>
      <w:r>
        <w:rPr>
          <w:rFonts w:hint="default" w:ascii="仿宋_GB2312" w:hAnsi="仿宋_GB2312" w:eastAsia="仿宋_GB2312" w:cs="仿宋_GB2312"/>
          <w:b w:val="0"/>
          <w:bCs w:val="0"/>
          <w:sz w:val="32"/>
          <w:szCs w:val="32"/>
          <w:lang w:val="en-US" w:eastAsia="zh-CN"/>
        </w:rPr>
        <w:t>外籍个人符合居民个人条件，可以选择享受个人所得税专项附加扣除，也可以选择享受住房补贴、语言训练费、子女教育费等津补贴免税优惠政策，但不得同时享受。外籍个人一经选择，在一个纳税年度内不得变更。</w:t>
      </w:r>
      <w:bookmarkEnd w:id="327"/>
      <w:bookmarkEnd w:id="328"/>
      <w:bookmarkEnd w:id="329"/>
      <w:bookmarkEnd w:id="330"/>
      <w:bookmarkEnd w:id="331"/>
      <w:bookmarkEnd w:id="332"/>
      <w:bookmarkEnd w:id="333"/>
      <w:r>
        <w:rPr>
          <w:rFonts w:hint="default" w:ascii="仿宋_GB2312" w:hAnsi="仿宋_GB2312" w:eastAsia="仿宋_GB2312" w:cs="仿宋_GB2312"/>
          <w:b w:val="0"/>
          <w:bCs w:val="0"/>
          <w:sz w:val="32"/>
          <w:szCs w:val="32"/>
          <w:lang w:val="en-US" w:eastAsia="zh-CN"/>
        </w:rPr>
        <w:t xml:space="preserve"> </w:t>
      </w:r>
    </w:p>
    <w:p>
      <w:pPr>
        <w:numPr>
          <w:ilvl w:val="0"/>
          <w:numId w:val="0"/>
        </w:numPr>
        <w:spacing w:line="360" w:lineRule="auto"/>
        <w:ind w:left="638" w:leftChars="304" w:firstLine="0" w:firstLineChars="0"/>
        <w:jc w:val="both"/>
        <w:outlineLvl w:val="1"/>
        <w:rPr>
          <w:rFonts w:hint="default" w:ascii="仿宋_GB2312" w:hAnsi="仿宋_GB2312" w:eastAsia="仿宋_GB2312" w:cs="仿宋_GB2312"/>
          <w:b/>
          <w:bCs/>
          <w:sz w:val="32"/>
          <w:szCs w:val="32"/>
          <w:lang w:val="en-US" w:eastAsia="zh-CN"/>
        </w:rPr>
      </w:pPr>
      <w:bookmarkStart w:id="334" w:name="_Toc12302"/>
      <w:bookmarkStart w:id="335" w:name="_Toc17039"/>
      <w:r>
        <w:rPr>
          <w:rFonts w:hint="eastAsia" w:ascii="仿宋_GB2312" w:hAnsi="仿宋_GB2312" w:eastAsia="仿宋_GB2312" w:cs="仿宋_GB2312"/>
          <w:b/>
          <w:bCs/>
          <w:sz w:val="32"/>
          <w:szCs w:val="32"/>
          <w:lang w:val="en-US" w:eastAsia="zh-CN"/>
        </w:rPr>
        <w:t>【政策依据】</w:t>
      </w:r>
      <w:bookmarkEnd w:id="334"/>
      <w:bookmarkEnd w:id="335"/>
    </w:p>
    <w:p>
      <w:pPr>
        <w:numPr>
          <w:ilvl w:val="0"/>
          <w:numId w:val="0"/>
        </w:numPr>
        <w:spacing w:line="360" w:lineRule="auto"/>
        <w:ind w:firstLine="640" w:firstLineChars="200"/>
        <w:jc w:val="both"/>
        <w:outlineLvl w:val="1"/>
        <w:rPr>
          <w:rFonts w:hint="default" w:ascii="仿宋_GB2312" w:hAnsi="仿宋_GB2312" w:eastAsia="仿宋_GB2312" w:cs="仿宋_GB2312"/>
          <w:b w:val="0"/>
          <w:bCs w:val="0"/>
          <w:sz w:val="32"/>
          <w:szCs w:val="32"/>
          <w:lang w:val="en-US" w:eastAsia="zh-CN"/>
        </w:rPr>
      </w:pPr>
      <w:bookmarkStart w:id="336" w:name="_Toc12110"/>
      <w:bookmarkStart w:id="337" w:name="_Toc28768"/>
      <w:bookmarkStart w:id="338" w:name="_Toc13574"/>
      <w:bookmarkStart w:id="339" w:name="_Toc4604"/>
      <w:bookmarkStart w:id="340" w:name="_Toc25132"/>
      <w:bookmarkStart w:id="341" w:name="_Toc23627"/>
      <w:bookmarkStart w:id="342" w:name="_Toc26727"/>
      <w:r>
        <w:rPr>
          <w:rFonts w:hint="default" w:ascii="仿宋_GB2312" w:hAnsi="仿宋_GB2312" w:eastAsia="仿宋_GB2312" w:cs="仿宋_GB2312"/>
          <w:b w:val="0"/>
          <w:bCs w:val="0"/>
          <w:sz w:val="32"/>
          <w:szCs w:val="32"/>
          <w:lang w:val="en-US" w:eastAsia="zh-CN"/>
        </w:rPr>
        <w:t>《财政部 税务总局关于延续实施外籍个人津补贴等有关个人所得税优惠政策的公告》（2021年第43号）</w:t>
      </w:r>
      <w:r>
        <w:rPr>
          <w:rFonts w:hint="default" w:ascii="仿宋_GB2312" w:hAnsi="仿宋_GB2312" w:eastAsia="仿宋_GB2312" w:cs="仿宋_GB2312"/>
          <w:b w:val="0"/>
          <w:bCs w:val="0"/>
          <w:sz w:val="32"/>
          <w:szCs w:val="32"/>
          <w:lang w:val="en-US" w:eastAsia="zh-CN"/>
        </w:rPr>
        <w:br w:type="textWrapping"/>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《财政部 税务总局关于个人所得税法修改后有关优惠政策衔接问题的通知》（财税〔2018〕164号）</w:t>
      </w:r>
      <w:bookmarkEnd w:id="336"/>
      <w:bookmarkEnd w:id="337"/>
      <w:bookmarkEnd w:id="338"/>
      <w:bookmarkEnd w:id="339"/>
      <w:bookmarkEnd w:id="340"/>
      <w:bookmarkEnd w:id="341"/>
      <w:bookmarkEnd w:id="342"/>
    </w:p>
    <w:p>
      <w:pPr>
        <w:spacing w:line="360" w:lineRule="auto"/>
        <w:jc w:val="both"/>
        <w:outlineLvl w:val="9"/>
        <w:rPr>
          <w:rFonts w:hint="eastAsia" w:ascii="仿宋_GB2312" w:hAnsi="仿宋_GB2312" w:eastAsia="仿宋_GB2312" w:cs="仿宋_GB2312"/>
          <w:b w:val="0"/>
          <w:bCs w:val="0"/>
          <w:sz w:val="32"/>
          <w:szCs w:val="32"/>
          <w:lang w:val="en-US" w:eastAsia="zh-CN"/>
        </w:rPr>
      </w:pPr>
    </w:p>
    <w:p>
      <w:pPr>
        <w:pStyle w:val="2"/>
        <w:bidi w:val="0"/>
        <w:ind w:firstLine="643" w:firstLineChars="200"/>
        <w:jc w:val="both"/>
        <w:rPr>
          <w:rFonts w:hint="eastAsia" w:ascii="黑体" w:hAnsi="黑体" w:eastAsia="黑体" w:cs="黑体"/>
          <w:b/>
          <w:bCs w:val="0"/>
          <w:sz w:val="32"/>
          <w:szCs w:val="32"/>
          <w:lang w:val="en-US" w:eastAsia="zh-CN"/>
        </w:rPr>
      </w:pPr>
      <w:bookmarkStart w:id="343" w:name="_Toc21278"/>
      <w:bookmarkStart w:id="344" w:name="_Toc30947"/>
      <w:r>
        <w:rPr>
          <w:rFonts w:hint="eastAsia" w:ascii="黑体" w:hAnsi="黑体" w:eastAsia="黑体" w:cs="黑体"/>
          <w:b/>
          <w:bCs w:val="0"/>
          <w:sz w:val="32"/>
          <w:szCs w:val="32"/>
          <w:lang w:val="en-US" w:eastAsia="zh-CN"/>
        </w:rPr>
        <w:t>二、支持金属智造</w:t>
      </w:r>
      <w:bookmarkEnd w:id="343"/>
      <w:r>
        <w:rPr>
          <w:rFonts w:hint="eastAsia" w:ascii="黑体" w:hAnsi="黑体" w:eastAsia="黑体" w:cs="黑体"/>
          <w:b/>
          <w:bCs w:val="0"/>
          <w:sz w:val="32"/>
          <w:szCs w:val="32"/>
          <w:lang w:val="en-US" w:eastAsia="zh-CN"/>
        </w:rPr>
        <w:t>行业科技创新和成果转化税费优惠政策</w:t>
      </w:r>
      <w:bookmarkEnd w:id="344"/>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345" w:name="_Toc7623"/>
      <w:bookmarkStart w:id="346" w:name="_Toc31745"/>
      <w:bookmarkStart w:id="347" w:name="_Toc11792"/>
      <w:bookmarkStart w:id="348" w:name="_Toc30816"/>
      <w:bookmarkStart w:id="349" w:name="_Toc50127470"/>
      <w:bookmarkStart w:id="350" w:name="_Toc15480"/>
      <w:bookmarkStart w:id="351" w:name="_Toc21090"/>
      <w:bookmarkStart w:id="352" w:name="_Toc4800"/>
      <w:bookmarkStart w:id="353" w:name="_Toc14020"/>
      <w:bookmarkStart w:id="354" w:name="_Toc3433"/>
      <w:bookmarkStart w:id="355" w:name="_Toc16648"/>
      <w:bookmarkStart w:id="356" w:name="_Toc4829"/>
      <w:bookmarkStart w:id="357" w:name="_Toc3839"/>
      <w:bookmarkStart w:id="358" w:name="_Toc24946"/>
      <w:bookmarkStart w:id="359" w:name="_Toc4307"/>
      <w:bookmarkStart w:id="360" w:name="_Toc32370"/>
      <w:bookmarkStart w:id="361" w:name="_Toc9971"/>
      <w:bookmarkStart w:id="362" w:name="_Toc22543"/>
      <w:bookmarkStart w:id="363" w:name="_Toc28823"/>
      <w:bookmarkStart w:id="364" w:name="_Toc10949"/>
      <w:bookmarkStart w:id="365" w:name="_Toc16256"/>
      <w:bookmarkStart w:id="366" w:name="_Toc11764"/>
      <w:bookmarkStart w:id="367" w:name="_Toc12140"/>
      <w:bookmarkStart w:id="368" w:name="_Toc55470353"/>
      <w:bookmarkStart w:id="369" w:name="_Toc16702"/>
      <w:bookmarkStart w:id="370" w:name="_Toc21470"/>
      <w:bookmarkStart w:id="371" w:name="_Toc24150"/>
      <w:bookmarkStart w:id="372" w:name="_Toc50127461"/>
      <w:bookmarkStart w:id="373" w:name="_Toc13545"/>
      <w:r>
        <w:rPr>
          <w:rFonts w:hint="eastAsia" w:ascii="仿宋_GB2312" w:hAnsi="仿宋_GB2312" w:eastAsia="仿宋_GB2312" w:cs="仿宋_GB2312"/>
          <w:b/>
          <w:bCs w:val="0"/>
          <w:color w:val="auto"/>
          <w:kern w:val="2"/>
          <w:sz w:val="32"/>
          <w:szCs w:val="32"/>
          <w:lang w:val="en-US" w:eastAsia="zh-CN" w:bidi="ar-SA"/>
        </w:rPr>
        <w:t>31.高新技术企业税率优惠</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374" w:name="_Toc10766"/>
      <w:bookmarkStart w:id="375" w:name="_Toc21109"/>
      <w:bookmarkStart w:id="376" w:name="_Toc11969"/>
      <w:bookmarkStart w:id="377" w:name="_Toc4998"/>
      <w:bookmarkStart w:id="378" w:name="_Toc915"/>
      <w:bookmarkStart w:id="379" w:name="_Toc31641"/>
      <w:bookmarkStart w:id="380" w:name="_Toc3143"/>
      <w:bookmarkStart w:id="381" w:name="_Toc9328"/>
      <w:bookmarkStart w:id="382" w:name="_Toc19906"/>
      <w:bookmarkStart w:id="383" w:name="_Toc13587"/>
      <w:bookmarkStart w:id="384" w:name="_Toc6669"/>
      <w:bookmarkStart w:id="385" w:name="_Toc26749"/>
      <w:bookmarkStart w:id="386" w:name="_Toc28328"/>
      <w:bookmarkStart w:id="387" w:name="_Toc17483"/>
      <w:bookmarkStart w:id="388" w:name="_Toc25798"/>
      <w:bookmarkStart w:id="389" w:name="_Toc32407"/>
      <w:bookmarkStart w:id="390" w:name="_Toc29754"/>
      <w:bookmarkStart w:id="391" w:name="_Toc30717"/>
      <w:bookmarkStart w:id="392" w:name="_Toc18995"/>
      <w:bookmarkStart w:id="393" w:name="_Toc13930"/>
      <w:bookmarkStart w:id="394" w:name="_Toc32165"/>
      <w:bookmarkStart w:id="395" w:name="_Toc5911"/>
      <w:bookmarkStart w:id="396" w:name="_Toc26677"/>
      <w:bookmarkStart w:id="397" w:name="_Toc29960"/>
      <w:bookmarkStart w:id="398" w:name="_Toc9404"/>
      <w:bookmarkStart w:id="399" w:name="_Toc15235"/>
      <w:bookmarkStart w:id="400" w:name="_Toc31093"/>
      <w:bookmarkStart w:id="401" w:name="_Toc13384"/>
      <w:bookmarkStart w:id="402" w:name="_Toc7243"/>
      <w:bookmarkStart w:id="403" w:name="_Toc28327"/>
      <w:bookmarkStart w:id="404" w:name="_Toc50127471"/>
      <w:bookmarkStart w:id="405" w:name="_Toc55470354"/>
      <w:bookmarkStart w:id="406" w:name="_Toc16970"/>
      <w:r>
        <w:rPr>
          <w:rFonts w:hint="eastAsia" w:ascii="仿宋_GB2312" w:hAnsi="仿宋_GB2312" w:eastAsia="仿宋_GB2312" w:cs="仿宋_GB2312"/>
          <w:b/>
          <w:bCs w:val="0"/>
          <w:color w:val="auto"/>
          <w:kern w:val="2"/>
          <w:sz w:val="32"/>
          <w:szCs w:val="32"/>
          <w:lang w:val="en-US" w:eastAsia="zh-CN" w:bidi="ar-SA"/>
        </w:rPr>
        <w:t>【政策内容】</w:t>
      </w:r>
      <w:bookmarkEnd w:id="374"/>
      <w:bookmarkEnd w:id="375"/>
    </w:p>
    <w:p>
      <w:pPr>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国家需要重点扶持的高新技术企业，减按15%的税率征收企业所得税。</w:t>
      </w:r>
    </w:p>
    <w:p>
      <w:pPr>
        <w:spacing w:line="360" w:lineRule="auto"/>
        <w:ind w:firstLine="643" w:firstLineChars="200"/>
        <w:jc w:val="both"/>
        <w:outlineLvl w:val="2"/>
        <w:rPr>
          <w:rFonts w:hint="eastAsia" w:ascii="仿宋_GB2312" w:hAnsi="仿宋_GB2312" w:eastAsia="仿宋_GB2312" w:cs="仿宋_GB2312"/>
          <w:sz w:val="32"/>
          <w:szCs w:val="32"/>
          <w:lang w:eastAsia="zh-CN"/>
        </w:rPr>
      </w:pPr>
      <w:bookmarkStart w:id="407" w:name="_Toc3366"/>
      <w:bookmarkStart w:id="408" w:name="_Toc19178"/>
      <w:r>
        <w:rPr>
          <w:rFonts w:hint="eastAsia" w:ascii="仿宋_GB2312" w:hAnsi="仿宋_GB2312" w:eastAsia="仿宋_GB2312" w:cs="仿宋_GB2312"/>
          <w:b/>
          <w:sz w:val="32"/>
          <w:szCs w:val="32"/>
          <w:lang w:eastAsia="zh-CN"/>
        </w:rPr>
        <w:t>【政策依据】</w:t>
      </w:r>
      <w:bookmarkEnd w:id="407"/>
      <w:bookmarkEnd w:id="408"/>
    </w:p>
    <w:p>
      <w:pPr>
        <w:numPr>
          <w:ilvl w:val="0"/>
          <w:numId w:val="0"/>
        </w:numPr>
        <w:spacing w:line="360" w:lineRule="auto"/>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《中华人民共和国企业所得税法》第二十八条第二款</w:t>
      </w:r>
    </w:p>
    <w:p>
      <w:pPr>
        <w:numPr>
          <w:ilvl w:val="0"/>
          <w:numId w:val="0"/>
        </w:num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《中华人民共和国企业所得税法实施条例》第九十三条</w:t>
      </w:r>
    </w:p>
    <w:p>
      <w:pPr>
        <w:numPr>
          <w:ilvl w:val="0"/>
          <w:numId w:val="0"/>
        </w:numPr>
        <w:spacing w:line="360" w:lineRule="auto"/>
        <w:ind w:firstLine="640" w:firstLineChars="200"/>
        <w:jc w:val="both"/>
        <w:rPr>
          <w:rFonts w:hint="eastAsia" w:ascii="仿宋_GB2312" w:hAnsi="仿宋_GB2312" w:eastAsia="仿宋_GB2312" w:cs="仿宋_GB2312"/>
          <w:sz w:val="32"/>
          <w:szCs w:val="32"/>
          <w:lang w:eastAsia="zh-CN"/>
        </w:rPr>
      </w:pPr>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409" w:name="_Toc19100"/>
      <w:r>
        <w:rPr>
          <w:rFonts w:hint="eastAsia" w:ascii="仿宋_GB2312" w:hAnsi="仿宋_GB2312" w:eastAsia="仿宋_GB2312" w:cs="仿宋_GB2312"/>
          <w:b/>
          <w:bCs w:val="0"/>
          <w:color w:val="auto"/>
          <w:kern w:val="2"/>
          <w:sz w:val="32"/>
          <w:szCs w:val="32"/>
          <w:lang w:val="en-US" w:eastAsia="zh-CN" w:bidi="ar-SA"/>
        </w:rPr>
        <w:t>32.技术先进型服务企业享受低税率企业所得税优惠</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409"/>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410" w:name="_Toc11922"/>
      <w:bookmarkStart w:id="411" w:name="_Toc29069"/>
      <w:bookmarkStart w:id="412" w:name="_Toc6899"/>
      <w:r>
        <w:rPr>
          <w:rFonts w:hint="eastAsia" w:ascii="仿宋_GB2312" w:hAnsi="仿宋_GB2312" w:eastAsia="仿宋_GB2312" w:cs="仿宋_GB2312"/>
          <w:b/>
          <w:bCs w:val="0"/>
          <w:color w:val="auto"/>
          <w:kern w:val="2"/>
          <w:sz w:val="32"/>
          <w:szCs w:val="32"/>
          <w:lang w:val="en-US" w:eastAsia="zh-CN" w:bidi="ar-SA"/>
        </w:rPr>
        <w:t>【政策内容】</w:t>
      </w:r>
      <w:bookmarkEnd w:id="410"/>
      <w:bookmarkEnd w:id="411"/>
    </w:p>
    <w:p>
      <w:pPr>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自2017年1月1日起，对经认定的技术先进型服务企业，减按15%的税率征收企业所得税。</w:t>
      </w:r>
    </w:p>
    <w:p>
      <w:pPr>
        <w:spacing w:line="360" w:lineRule="auto"/>
        <w:ind w:firstLine="643" w:firstLineChars="200"/>
        <w:jc w:val="both"/>
        <w:outlineLvl w:val="2"/>
        <w:rPr>
          <w:rFonts w:hint="eastAsia" w:ascii="仿宋_GB2312" w:hAnsi="仿宋_GB2312" w:eastAsia="仿宋_GB2312" w:cs="仿宋_GB2312"/>
          <w:b w:val="0"/>
          <w:bCs w:val="0"/>
          <w:sz w:val="32"/>
          <w:szCs w:val="32"/>
          <w:lang w:eastAsia="zh-CN"/>
        </w:rPr>
      </w:pPr>
      <w:bookmarkStart w:id="413" w:name="_Toc30693"/>
      <w:bookmarkStart w:id="414" w:name="_Toc9964"/>
      <w:r>
        <w:rPr>
          <w:rFonts w:hint="eastAsia" w:ascii="仿宋_GB2312" w:hAnsi="仿宋_GB2312" w:eastAsia="仿宋_GB2312" w:cs="仿宋_GB2312"/>
          <w:b/>
          <w:bCs w:val="0"/>
          <w:sz w:val="32"/>
          <w:szCs w:val="32"/>
          <w:lang w:eastAsia="zh-CN"/>
        </w:rPr>
        <w:t>【政策依据】</w:t>
      </w:r>
      <w:bookmarkEnd w:id="413"/>
      <w:bookmarkEnd w:id="414"/>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 税务总局 商务部 科技部 国家发展改革委关于将技术先进型服务企业所得税政策推广至全国实施的通知》（财税〔2017〕79号）</w:t>
      </w:r>
    </w:p>
    <w:p>
      <w:pPr>
        <w:spacing w:line="360" w:lineRule="auto"/>
        <w:ind w:firstLine="640" w:firstLineChars="200"/>
        <w:jc w:val="both"/>
        <w:rPr>
          <w:rFonts w:hint="eastAsia" w:ascii="仿宋_GB2312" w:hAnsi="仿宋_GB2312" w:eastAsia="仿宋_GB2312" w:cs="仿宋_GB2312"/>
          <w:sz w:val="32"/>
          <w:szCs w:val="32"/>
        </w:rPr>
      </w:pPr>
    </w:p>
    <w:bookmarkEnd w:id="372"/>
    <w:bookmarkEnd w:id="373"/>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12"/>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415" w:name="_Toc3235"/>
      <w:bookmarkStart w:id="416" w:name="_Toc28582"/>
      <w:r>
        <w:rPr>
          <w:rFonts w:hint="eastAsia" w:ascii="仿宋_GB2312" w:hAnsi="仿宋_GB2312" w:eastAsia="仿宋_GB2312" w:cs="仿宋_GB2312"/>
          <w:b/>
          <w:bCs w:val="0"/>
          <w:color w:val="auto"/>
          <w:kern w:val="2"/>
          <w:sz w:val="32"/>
          <w:szCs w:val="32"/>
          <w:lang w:val="en-US" w:eastAsia="zh-CN" w:bidi="ar-SA"/>
        </w:rPr>
        <w:t>33.提高研究开发费用税前加计扣除比例</w:t>
      </w:r>
      <w:bookmarkEnd w:id="415"/>
      <w:bookmarkEnd w:id="416"/>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417" w:name="_Toc11321"/>
      <w:bookmarkStart w:id="418" w:name="_Toc25765"/>
      <w:r>
        <w:rPr>
          <w:rFonts w:hint="eastAsia" w:ascii="仿宋_GB2312" w:hAnsi="仿宋_GB2312" w:eastAsia="仿宋_GB2312" w:cs="仿宋_GB2312"/>
          <w:b/>
          <w:bCs w:val="0"/>
          <w:color w:val="auto"/>
          <w:kern w:val="2"/>
          <w:sz w:val="32"/>
          <w:szCs w:val="32"/>
          <w:lang w:val="en-US" w:eastAsia="zh-CN" w:bidi="ar-SA"/>
        </w:rPr>
        <w:t>【政策内容】</w:t>
      </w:r>
      <w:bookmarkEnd w:id="417"/>
      <w:bookmarkEnd w:id="418"/>
    </w:p>
    <w:p>
      <w:pPr>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企业开展研发活动中实际发生的研发费用，未形成无形资产计入当期损益的，在按规定据实扣除的基础上，在2018年1月1日至2023年12月31日期间，再按照实际发生额的75%在税前加计扣除；形成无形资产的，在上述期间按照无形资产成本的175%在税前摊销。</w:t>
      </w:r>
    </w:p>
    <w:p>
      <w:pPr>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制造业企业开展研发活动中实际发生的研发费用，未形成无形资产计入当期损益的，在按规定据实扣除的基础上，自2021年1月1日起，再按照实际发生额的100%在税前加计扣除；形成无形资产的，按照无形资产成本的200%在税前摊销。</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造业企业是指以制造业业务为主营业务，享受优惠当年主营业务收入占收入总额的比例达到50%以上的企业。制造业的范围按照《国民经济行业分类》（GB/T4574-2017）确定，如国家有关部门更新《国民经济行业分类》，从其规定。收入总额按照企业所得税法第六条规定执行。</w:t>
      </w:r>
    </w:p>
    <w:p>
      <w:pPr>
        <w:spacing w:beforeLines="0" w:afterLines="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auto"/>
          <w:kern w:val="2"/>
          <w:sz w:val="32"/>
          <w:szCs w:val="32"/>
          <w:lang w:val="en-US" w:eastAsia="zh-CN" w:bidi="ar-SA"/>
        </w:rPr>
        <w:t>科技型中小企业开展研发活动中实际发生的研发费用，未形成无形资产计入当期损益的，在按规定据实扣除的基础上，自2022年1月1日起，再按照实际发生额的100%在税前加计扣除；形成无形资产的，自2022年1月1日起，按照无形资产成本的200%在税前摊销。</w:t>
      </w:r>
    </w:p>
    <w:p>
      <w:pPr>
        <w:spacing w:line="360" w:lineRule="auto"/>
        <w:ind w:firstLine="643" w:firstLineChars="200"/>
        <w:jc w:val="both"/>
        <w:outlineLvl w:val="2"/>
        <w:rPr>
          <w:rFonts w:hint="eastAsia" w:ascii="仿宋_GB2312" w:hAnsi="仿宋_GB2312" w:eastAsia="仿宋_GB2312" w:cs="仿宋_GB2312"/>
          <w:sz w:val="32"/>
          <w:szCs w:val="32"/>
          <w:lang w:eastAsia="zh-CN"/>
        </w:rPr>
      </w:pPr>
      <w:bookmarkStart w:id="419" w:name="_Toc28805"/>
      <w:bookmarkStart w:id="420" w:name="_Toc15123"/>
      <w:r>
        <w:rPr>
          <w:rFonts w:hint="eastAsia" w:ascii="仿宋_GB2312" w:hAnsi="仿宋_GB2312" w:eastAsia="仿宋_GB2312" w:cs="仿宋_GB2312"/>
          <w:b/>
          <w:sz w:val="32"/>
          <w:szCs w:val="32"/>
          <w:lang w:eastAsia="zh-CN"/>
        </w:rPr>
        <w:t>【政策依据】</w:t>
      </w:r>
      <w:bookmarkEnd w:id="419"/>
      <w:bookmarkEnd w:id="420"/>
    </w:p>
    <w:p>
      <w:pPr>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《财政部 国家税务总局关于提高研究开发费用税前加计扣除比例的通知》（财税〔2018〕99号）</w:t>
      </w:r>
    </w:p>
    <w:p>
      <w:pPr>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《财政部 税务总局关于延长部分税收优惠政策执行期限的公告》（财政部 税务总局公告2021年第6号)</w:t>
      </w:r>
    </w:p>
    <w:p>
      <w:pPr>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《财政部 税务总局关于进一步完善研发费用税前加计扣除政策的公告》（财政部 税务总局公告2021年第13号)</w:t>
      </w:r>
    </w:p>
    <w:p>
      <w:pPr>
        <w:spacing w:line="360" w:lineRule="auto"/>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《国家税务总局关于进一步落实研发费用加计扣除政策有关问题的公告》（国家税务总局公告2021年第28号)</w:t>
      </w:r>
    </w:p>
    <w:p>
      <w:pPr>
        <w:spacing w:beforeLines="-2147483648" w:afterLines="-2147483648" w:line="240" w:lineRule="auto"/>
        <w:ind w:firstLine="640"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《财政部 税务总局 科技部关于进一步提高科技型中小企业研发费用税前加计扣除比例的公告》（财政部 税务总局 科技部公告2022年第16号）</w:t>
      </w:r>
    </w:p>
    <w:p>
      <w:pPr>
        <w:spacing w:beforeLines="-2147483648" w:afterLines="-2147483648" w:line="240" w:lineRule="auto"/>
        <w:ind w:firstLine="640" w:firstLineChars="200"/>
        <w:jc w:val="both"/>
        <w:rPr>
          <w:rFonts w:hint="eastAsia" w:ascii="仿宋_GB2312" w:hAnsi="仿宋_GB2312" w:eastAsia="仿宋_GB2312" w:cs="仿宋_GB2312"/>
          <w:b w:val="0"/>
          <w:bCs w:val="0"/>
          <w:color w:val="auto"/>
          <w:kern w:val="2"/>
          <w:sz w:val="32"/>
          <w:szCs w:val="32"/>
          <w:lang w:val="en-US" w:eastAsia="zh-CN" w:bidi="ar-SA"/>
        </w:rPr>
      </w:pPr>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421" w:name="_Toc18429"/>
      <w:bookmarkStart w:id="422" w:name="_Toc17658"/>
      <w:bookmarkStart w:id="423" w:name="_Toc28342"/>
      <w:r>
        <w:rPr>
          <w:rFonts w:hint="eastAsia" w:ascii="仿宋_GB2312" w:hAnsi="仿宋_GB2312" w:eastAsia="仿宋_GB2312" w:cs="仿宋_GB2312"/>
          <w:b/>
          <w:bCs w:val="0"/>
          <w:color w:val="auto"/>
          <w:kern w:val="2"/>
          <w:sz w:val="32"/>
          <w:szCs w:val="32"/>
          <w:lang w:val="en-US" w:eastAsia="zh-CN" w:bidi="ar-SA"/>
        </w:rPr>
        <w:t>34.委托境外研究开发费用税前加计扣除</w:t>
      </w:r>
      <w:bookmarkEnd w:id="421"/>
      <w:bookmarkEnd w:id="422"/>
      <w:bookmarkEnd w:id="423"/>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424" w:name="_Toc12668"/>
      <w:bookmarkStart w:id="425" w:name="_Toc27002"/>
      <w:r>
        <w:rPr>
          <w:rFonts w:hint="eastAsia" w:ascii="仿宋_GB2312" w:hAnsi="仿宋_GB2312" w:eastAsia="仿宋_GB2312" w:cs="仿宋_GB2312"/>
          <w:b/>
          <w:bCs w:val="0"/>
          <w:color w:val="auto"/>
          <w:kern w:val="2"/>
          <w:sz w:val="32"/>
          <w:szCs w:val="32"/>
          <w:lang w:val="en-US" w:eastAsia="zh-CN" w:bidi="ar-SA"/>
        </w:rPr>
        <w:t>【政策内容】</w:t>
      </w:r>
      <w:bookmarkEnd w:id="424"/>
      <w:bookmarkEnd w:id="425"/>
    </w:p>
    <w:p>
      <w:pPr>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委托境外进行研发活动所发生的费用，按照费用实际发生额的80%计入委托方的委托境外研发费用。委托境外研发费用不超过境内符合条件的研发费用三分之二的部分，可以按规定在企业所得税前加计扣除。上述费用实际发生额应按照独立交易原则确定。委托方与受托方存在关联关系的，受托方应向委托方提供研发项目费用支出明细情况。</w:t>
      </w:r>
    </w:p>
    <w:p>
      <w:pPr>
        <w:spacing w:line="360" w:lineRule="auto"/>
        <w:ind w:firstLine="643" w:firstLineChars="200"/>
        <w:jc w:val="both"/>
        <w:outlineLvl w:val="2"/>
        <w:rPr>
          <w:rFonts w:hint="eastAsia" w:ascii="仿宋_GB2312" w:hAnsi="仿宋_GB2312" w:eastAsia="仿宋_GB2312" w:cs="仿宋_GB2312"/>
          <w:sz w:val="32"/>
          <w:szCs w:val="32"/>
          <w:lang w:eastAsia="zh-CN"/>
        </w:rPr>
      </w:pPr>
      <w:bookmarkStart w:id="426" w:name="_Toc1158"/>
      <w:bookmarkStart w:id="427" w:name="_Toc18648"/>
      <w:r>
        <w:rPr>
          <w:rFonts w:hint="eastAsia" w:ascii="仿宋_GB2312" w:hAnsi="仿宋_GB2312" w:eastAsia="仿宋_GB2312" w:cs="仿宋_GB2312"/>
          <w:b/>
          <w:sz w:val="32"/>
          <w:szCs w:val="32"/>
          <w:lang w:eastAsia="zh-CN"/>
        </w:rPr>
        <w:t>【政策依据】</w:t>
      </w:r>
      <w:bookmarkEnd w:id="426"/>
      <w:bookmarkEnd w:id="427"/>
    </w:p>
    <w:p>
      <w:pPr>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《财政部 税务总局 科技部关于企业委托境外研究开发费用税前加计扣除有关政策问题的通知》（财税〔2018〕64号）</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《国家税务总局关于发布修订后的〈企业所得税优惠政策事项办理办法〉的公告》(国家税务总局公告2018年第23号)</w:t>
      </w:r>
    </w:p>
    <w:p>
      <w:pPr>
        <w:spacing w:line="360" w:lineRule="auto"/>
        <w:ind w:firstLine="640" w:firstLineChars="200"/>
        <w:jc w:val="both"/>
        <w:rPr>
          <w:rFonts w:hint="eastAsia" w:ascii="仿宋_GB2312" w:hAnsi="仿宋_GB2312" w:eastAsia="仿宋_GB2312" w:cs="仿宋_GB2312"/>
          <w:sz w:val="32"/>
          <w:szCs w:val="32"/>
        </w:rPr>
      </w:pPr>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428" w:name="_Toc18861"/>
      <w:r>
        <w:rPr>
          <w:rFonts w:hint="eastAsia" w:ascii="仿宋_GB2312" w:hAnsi="仿宋_GB2312" w:eastAsia="仿宋_GB2312" w:cs="仿宋_GB2312"/>
          <w:b/>
          <w:bCs w:val="0"/>
          <w:color w:val="auto"/>
          <w:kern w:val="2"/>
          <w:sz w:val="32"/>
          <w:szCs w:val="32"/>
          <w:lang w:val="en-US" w:eastAsia="zh-CN" w:bidi="ar-SA"/>
        </w:rPr>
        <w:t>35.企业以及个人以技术成果投资入股递延缴纳所得税</w:t>
      </w:r>
      <w:bookmarkEnd w:id="428"/>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429" w:name="_Toc144"/>
      <w:r>
        <w:rPr>
          <w:rFonts w:hint="eastAsia" w:ascii="仿宋_GB2312" w:hAnsi="仿宋_GB2312" w:eastAsia="仿宋_GB2312" w:cs="仿宋_GB2312"/>
          <w:b/>
          <w:bCs w:val="0"/>
          <w:color w:val="auto"/>
          <w:kern w:val="2"/>
          <w:sz w:val="32"/>
          <w:szCs w:val="32"/>
          <w:lang w:val="en-US" w:eastAsia="zh-CN" w:bidi="ar-SA"/>
        </w:rPr>
        <w:t>【政策内容】</w:t>
      </w:r>
      <w:bookmarkEnd w:id="429"/>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企业或个人以技术成果投资入股到境内居民企业，被投资企业支付的对价全部为股票（权）的，企业或个人可选择继续按现行有关税收政策执行，也可选择适用递延纳税优惠政策。</w:t>
      </w:r>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选择技术成果投资入股递延纳税政策的，经向主管税务机关备案，投资入股当期可暂不纳税，允许递延至转让股权时，按股权转让收入减去技术成果原值和合理税费后的差额计算缴纳所得税。</w:t>
      </w:r>
    </w:p>
    <w:p>
      <w:pPr>
        <w:spacing w:line="360" w:lineRule="auto"/>
        <w:ind w:firstLine="643" w:firstLineChars="200"/>
        <w:jc w:val="both"/>
        <w:rPr>
          <w:rFonts w:hint="eastAsia" w:ascii="仿宋_GB2312" w:hAnsi="仿宋_GB2312" w:eastAsia="仿宋_GB2312" w:cs="仿宋_GB2312"/>
          <w:b/>
          <w:sz w:val="32"/>
          <w:szCs w:val="28"/>
          <w:lang w:val="en-US" w:eastAsia="zh-CN"/>
        </w:rPr>
      </w:pPr>
      <w:r>
        <w:rPr>
          <w:rFonts w:hint="eastAsia" w:ascii="仿宋_GB2312" w:hAnsi="仿宋_GB2312" w:eastAsia="仿宋_GB2312" w:cs="仿宋_GB2312"/>
          <w:b/>
          <w:sz w:val="32"/>
          <w:szCs w:val="28"/>
          <w:lang w:val="en-US" w:eastAsia="zh-CN"/>
        </w:rPr>
        <w:t>【政策依据】</w:t>
      </w:r>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《财政部 国家税务总局关于完善股权激励和技术入股有关所得税政策的通知》（财税〔2016〕101号）</w:t>
      </w:r>
    </w:p>
    <w:p>
      <w:pPr>
        <w:spacing w:line="360" w:lineRule="auto"/>
        <w:ind w:firstLine="640" w:firstLineChars="200"/>
        <w:jc w:val="both"/>
        <w:rPr>
          <w:rFonts w:hint="default" w:ascii="仿宋_GB2312" w:hAnsi="仿宋_GB2312" w:eastAsia="仿宋_GB2312" w:cs="仿宋_GB2312"/>
          <w:b/>
          <w:bCs w:val="0"/>
          <w:color w:val="auto"/>
          <w:kern w:val="2"/>
          <w:sz w:val="32"/>
          <w:szCs w:val="32"/>
          <w:lang w:val="en-US" w:eastAsia="zh-CN" w:bidi="ar-SA"/>
        </w:rPr>
      </w:pPr>
      <w:r>
        <w:rPr>
          <w:rFonts w:hint="eastAsia" w:ascii="仿宋_GB2312" w:hAnsi="仿宋_GB2312" w:eastAsia="仿宋_GB2312" w:cs="仿宋_GB2312"/>
          <w:b w:val="0"/>
          <w:bCs w:val="0"/>
          <w:sz w:val="32"/>
          <w:szCs w:val="32"/>
          <w:lang w:val="en-US" w:eastAsia="zh-CN"/>
        </w:rPr>
        <w:t>《国家税务总局关于股权激励和技术入股所得税征管问题的公告》（国家税务总局公告2016年第62号）</w:t>
      </w:r>
    </w:p>
    <w:p>
      <w:pPr>
        <w:spacing w:line="360" w:lineRule="auto"/>
        <w:ind w:firstLine="640" w:firstLineChars="200"/>
        <w:jc w:val="both"/>
        <w:rPr>
          <w:rFonts w:hint="eastAsia" w:ascii="仿宋_GB2312" w:hAnsi="仿宋_GB2312" w:eastAsia="仿宋_GB2312" w:cs="仿宋_GB2312"/>
          <w:sz w:val="32"/>
          <w:szCs w:val="32"/>
        </w:rPr>
      </w:pPr>
    </w:p>
    <w:p>
      <w:pPr>
        <w:numPr>
          <w:ilvl w:val="0"/>
          <w:numId w:val="0"/>
        </w:numPr>
        <w:spacing w:line="360" w:lineRule="auto"/>
        <w:ind w:firstLine="643" w:firstLineChars="200"/>
        <w:jc w:val="both"/>
        <w:outlineLvl w:val="1"/>
        <w:rPr>
          <w:rFonts w:hint="default" w:ascii="仿宋_GB2312" w:hAnsi="仿宋_GB2312" w:eastAsia="仿宋_GB2312" w:cs="仿宋_GB2312"/>
          <w:b/>
          <w:bCs w:val="0"/>
          <w:color w:val="auto"/>
          <w:kern w:val="2"/>
          <w:sz w:val="32"/>
          <w:szCs w:val="32"/>
          <w:lang w:val="en-US" w:eastAsia="zh-CN" w:bidi="ar-SA"/>
        </w:rPr>
      </w:pPr>
      <w:bookmarkStart w:id="430" w:name="_Toc12612"/>
      <w:bookmarkStart w:id="431" w:name="_Toc22848"/>
      <w:bookmarkStart w:id="432" w:name="_Toc11571"/>
      <w:r>
        <w:rPr>
          <w:rFonts w:hint="eastAsia" w:ascii="仿宋_GB2312" w:hAnsi="仿宋_GB2312" w:eastAsia="仿宋_GB2312" w:cs="仿宋_GB2312"/>
          <w:b/>
          <w:bCs w:val="0"/>
          <w:color w:val="auto"/>
          <w:kern w:val="2"/>
          <w:sz w:val="32"/>
          <w:szCs w:val="32"/>
          <w:lang w:val="en-US" w:eastAsia="zh-CN" w:bidi="ar-SA"/>
        </w:rPr>
        <w:t>36.</w:t>
      </w:r>
      <w:r>
        <w:rPr>
          <w:rFonts w:hint="default" w:ascii="仿宋_GB2312" w:hAnsi="仿宋_GB2312" w:eastAsia="仿宋_GB2312" w:cs="仿宋_GB2312"/>
          <w:b/>
          <w:bCs w:val="0"/>
          <w:color w:val="auto"/>
          <w:kern w:val="2"/>
          <w:sz w:val="32"/>
          <w:szCs w:val="32"/>
          <w:lang w:val="en-US" w:eastAsia="zh-CN" w:bidi="ar-SA"/>
        </w:rPr>
        <w:t>高新技术企业技术人员股权奖励分期缴纳个人所得税</w:t>
      </w:r>
      <w:bookmarkEnd w:id="430"/>
      <w:bookmarkEnd w:id="431"/>
      <w:bookmarkEnd w:id="432"/>
    </w:p>
    <w:p>
      <w:pPr>
        <w:numPr>
          <w:ilvl w:val="0"/>
          <w:numId w:val="0"/>
        </w:numPr>
        <w:spacing w:line="360" w:lineRule="auto"/>
        <w:ind w:firstLine="643" w:firstLineChars="200"/>
        <w:jc w:val="both"/>
        <w:outlineLvl w:val="1"/>
        <w:rPr>
          <w:rFonts w:hint="default" w:ascii="仿宋_GB2312" w:hAnsi="仿宋_GB2312" w:eastAsia="仿宋_GB2312" w:cs="仿宋_GB2312"/>
          <w:b/>
          <w:bCs w:val="0"/>
          <w:color w:val="auto"/>
          <w:kern w:val="2"/>
          <w:sz w:val="32"/>
          <w:szCs w:val="32"/>
          <w:lang w:val="en-US" w:eastAsia="zh-CN" w:bidi="ar-SA"/>
        </w:rPr>
      </w:pPr>
      <w:bookmarkStart w:id="433" w:name="_Toc14981"/>
      <w:bookmarkStart w:id="434" w:name="_Toc31504"/>
      <w:r>
        <w:rPr>
          <w:rFonts w:hint="eastAsia" w:ascii="仿宋_GB2312" w:hAnsi="仿宋_GB2312" w:eastAsia="仿宋_GB2312" w:cs="仿宋_GB2312"/>
          <w:b/>
          <w:bCs w:val="0"/>
          <w:color w:val="auto"/>
          <w:kern w:val="2"/>
          <w:sz w:val="32"/>
          <w:szCs w:val="32"/>
          <w:lang w:val="en-US" w:eastAsia="zh-CN" w:bidi="ar-SA"/>
        </w:rPr>
        <w:t>【政策内容】</w:t>
      </w:r>
      <w:bookmarkEnd w:id="433"/>
      <w:bookmarkEnd w:id="434"/>
    </w:p>
    <w:p>
      <w:pPr>
        <w:numPr>
          <w:ilvl w:val="0"/>
          <w:numId w:val="0"/>
        </w:numPr>
        <w:spacing w:line="360" w:lineRule="auto"/>
        <w:ind w:firstLine="640" w:firstLineChars="200"/>
        <w:jc w:val="both"/>
        <w:outlineLvl w:val="1"/>
        <w:rPr>
          <w:rFonts w:hint="default" w:ascii="仿宋_GB2312" w:hAnsi="仿宋_GB2312" w:eastAsia="仿宋_GB2312" w:cs="仿宋_GB2312"/>
          <w:sz w:val="32"/>
          <w:szCs w:val="32"/>
          <w:lang w:val="en-US" w:eastAsia="zh-CN"/>
        </w:rPr>
      </w:pPr>
      <w:bookmarkStart w:id="435" w:name="_Toc22680"/>
      <w:bookmarkStart w:id="436" w:name="_Toc9555"/>
      <w:bookmarkStart w:id="437" w:name="_Toc6695"/>
      <w:bookmarkStart w:id="438" w:name="_Toc24765"/>
      <w:bookmarkStart w:id="439" w:name="_Toc6674"/>
      <w:bookmarkStart w:id="440" w:name="_Toc17749"/>
      <w:bookmarkStart w:id="441" w:name="_Toc26780"/>
      <w:bookmarkStart w:id="442" w:name="_Toc32537"/>
      <w:r>
        <w:rPr>
          <w:rFonts w:hint="default" w:ascii="仿宋_GB2312" w:hAnsi="仿宋_GB2312" w:eastAsia="仿宋_GB2312" w:cs="仿宋_GB2312"/>
          <w:sz w:val="32"/>
          <w:szCs w:val="32"/>
          <w:lang w:val="en-US" w:eastAsia="zh-CN"/>
        </w:rPr>
        <w:t>自2016年1月1日起，全国范围内的高新技术企业转化科技成果，给予本企业相关技术人员的股权奖励，个人一次缴纳税款有困难的，可根据实际情况自行制定分期缴税计划，在不超过5个公历年度内（含）分期缴纳，并将有关资料报主管税务机关备案。</w:t>
      </w:r>
      <w:bookmarkEnd w:id="435"/>
      <w:bookmarkEnd w:id="436"/>
      <w:bookmarkEnd w:id="437"/>
      <w:bookmarkEnd w:id="438"/>
      <w:bookmarkEnd w:id="439"/>
      <w:bookmarkEnd w:id="440"/>
      <w:bookmarkEnd w:id="441"/>
      <w:bookmarkEnd w:id="442"/>
    </w:p>
    <w:p>
      <w:pPr>
        <w:numPr>
          <w:ilvl w:val="0"/>
          <w:numId w:val="0"/>
        </w:numPr>
        <w:spacing w:line="360" w:lineRule="auto"/>
        <w:ind w:firstLine="643" w:firstLineChars="200"/>
        <w:jc w:val="both"/>
        <w:outlineLvl w:val="1"/>
        <w:rPr>
          <w:rFonts w:hint="default" w:ascii="仿宋_GB2312" w:hAnsi="仿宋_GB2312" w:eastAsia="仿宋_GB2312" w:cs="仿宋_GB2312"/>
          <w:b/>
          <w:bCs/>
          <w:sz w:val="32"/>
          <w:szCs w:val="32"/>
          <w:lang w:val="en-US" w:eastAsia="zh-CN"/>
        </w:rPr>
      </w:pPr>
      <w:bookmarkStart w:id="443" w:name="_Toc12112"/>
      <w:bookmarkStart w:id="444" w:name="_Toc10819"/>
      <w:r>
        <w:rPr>
          <w:rFonts w:hint="eastAsia" w:ascii="仿宋_GB2312" w:hAnsi="仿宋_GB2312" w:eastAsia="仿宋_GB2312" w:cs="仿宋_GB2312"/>
          <w:b/>
          <w:bCs/>
          <w:sz w:val="32"/>
          <w:szCs w:val="32"/>
          <w:lang w:val="en-US" w:eastAsia="zh-CN"/>
        </w:rPr>
        <w:t>【政策依据】</w:t>
      </w:r>
      <w:bookmarkEnd w:id="443"/>
      <w:bookmarkEnd w:id="444"/>
    </w:p>
    <w:p>
      <w:pPr>
        <w:numPr>
          <w:ilvl w:val="0"/>
          <w:numId w:val="0"/>
        </w:numPr>
        <w:spacing w:line="360" w:lineRule="auto"/>
        <w:ind w:firstLine="640" w:firstLineChars="200"/>
        <w:jc w:val="both"/>
        <w:outlineLvl w:val="1"/>
        <w:rPr>
          <w:rFonts w:hint="default" w:ascii="仿宋_GB2312" w:hAnsi="仿宋_GB2312" w:eastAsia="仿宋_GB2312" w:cs="仿宋_GB2312"/>
          <w:sz w:val="32"/>
          <w:szCs w:val="32"/>
          <w:lang w:val="en-US" w:eastAsia="zh-CN"/>
        </w:rPr>
      </w:pPr>
      <w:bookmarkStart w:id="445" w:name="_Toc14763"/>
      <w:bookmarkStart w:id="446" w:name="_Toc17915"/>
      <w:bookmarkStart w:id="447" w:name="_Toc509"/>
      <w:bookmarkStart w:id="448" w:name="_Toc11697"/>
      <w:bookmarkStart w:id="449" w:name="_Toc14572"/>
      <w:bookmarkStart w:id="450" w:name="_Toc11864"/>
      <w:bookmarkStart w:id="451" w:name="_Toc30074"/>
      <w:bookmarkStart w:id="452" w:name="_Toc5598"/>
      <w:r>
        <w:rPr>
          <w:rFonts w:hint="default" w:ascii="仿宋_GB2312" w:hAnsi="仿宋_GB2312" w:eastAsia="仿宋_GB2312" w:cs="仿宋_GB2312"/>
          <w:sz w:val="32"/>
          <w:szCs w:val="32"/>
          <w:lang w:val="en-US" w:eastAsia="zh-CN"/>
        </w:rPr>
        <w:t>《财政部 国家税务总局关于将国家自主创新示范区有关税收试点政策推广到全国范围实施的通知》（财税〔2015〕116号）</w:t>
      </w:r>
      <w:bookmarkEnd w:id="445"/>
      <w:bookmarkEnd w:id="446"/>
      <w:bookmarkEnd w:id="447"/>
      <w:bookmarkEnd w:id="448"/>
      <w:bookmarkEnd w:id="449"/>
      <w:bookmarkEnd w:id="450"/>
      <w:bookmarkEnd w:id="451"/>
      <w:bookmarkEnd w:id="452"/>
    </w:p>
    <w:p>
      <w:pPr>
        <w:numPr>
          <w:ilvl w:val="0"/>
          <w:numId w:val="0"/>
        </w:numPr>
        <w:spacing w:line="360" w:lineRule="auto"/>
        <w:ind w:firstLine="640" w:firstLineChars="200"/>
        <w:jc w:val="both"/>
        <w:outlineLvl w:val="1"/>
        <w:rPr>
          <w:rFonts w:hint="default" w:ascii="仿宋_GB2312" w:hAnsi="仿宋_GB2312" w:eastAsia="仿宋_GB2312" w:cs="仿宋_GB2312"/>
          <w:sz w:val="32"/>
          <w:szCs w:val="32"/>
          <w:lang w:val="en-US" w:eastAsia="zh-CN"/>
        </w:rPr>
      </w:pPr>
      <w:bookmarkStart w:id="453" w:name="_Toc23380"/>
      <w:bookmarkStart w:id="454" w:name="_Toc12609"/>
      <w:bookmarkStart w:id="455" w:name="_Toc9757"/>
      <w:bookmarkStart w:id="456" w:name="_Toc21051"/>
      <w:bookmarkStart w:id="457" w:name="_Toc25802"/>
      <w:bookmarkStart w:id="458" w:name="_Toc8512"/>
      <w:bookmarkStart w:id="459" w:name="_Toc18306"/>
      <w:bookmarkStart w:id="460" w:name="_Toc8692"/>
      <w:r>
        <w:rPr>
          <w:rFonts w:hint="default" w:ascii="仿宋_GB2312" w:hAnsi="仿宋_GB2312" w:eastAsia="仿宋_GB2312" w:cs="仿宋_GB2312"/>
          <w:sz w:val="32"/>
          <w:szCs w:val="32"/>
          <w:lang w:val="en-US" w:eastAsia="zh-CN"/>
        </w:rPr>
        <w:t>《国家税务总局关于股权奖励和转增股本个人所得税征管问题的公告》（国家税务总局公告2015年第80号）</w:t>
      </w:r>
      <w:bookmarkEnd w:id="453"/>
      <w:bookmarkEnd w:id="454"/>
      <w:bookmarkEnd w:id="455"/>
      <w:bookmarkEnd w:id="456"/>
      <w:bookmarkEnd w:id="457"/>
      <w:bookmarkEnd w:id="458"/>
      <w:bookmarkEnd w:id="459"/>
      <w:bookmarkEnd w:id="460"/>
    </w:p>
    <w:p>
      <w:pPr>
        <w:numPr>
          <w:ilvl w:val="0"/>
          <w:numId w:val="0"/>
        </w:numPr>
        <w:spacing w:line="360" w:lineRule="auto"/>
        <w:ind w:firstLine="640" w:firstLineChars="200"/>
        <w:jc w:val="both"/>
        <w:outlineLvl w:val="1"/>
        <w:rPr>
          <w:rFonts w:hint="default" w:ascii="仿宋_GB2312" w:hAnsi="仿宋_GB2312" w:eastAsia="仿宋_GB2312" w:cs="仿宋_GB2312"/>
          <w:sz w:val="32"/>
          <w:szCs w:val="32"/>
          <w:lang w:val="en-US" w:eastAsia="zh-CN"/>
        </w:rPr>
      </w:pPr>
    </w:p>
    <w:p>
      <w:pPr>
        <w:numPr>
          <w:ilvl w:val="0"/>
          <w:numId w:val="0"/>
        </w:numPr>
        <w:spacing w:line="360" w:lineRule="auto"/>
        <w:ind w:firstLine="643" w:firstLineChars="200"/>
        <w:jc w:val="both"/>
        <w:outlineLvl w:val="1"/>
        <w:rPr>
          <w:rFonts w:hint="default" w:ascii="仿宋_GB2312" w:hAnsi="仿宋_GB2312" w:eastAsia="仿宋_GB2312" w:cs="仿宋_GB2312"/>
          <w:b/>
          <w:bCs w:val="0"/>
          <w:color w:val="auto"/>
          <w:kern w:val="2"/>
          <w:sz w:val="32"/>
          <w:szCs w:val="32"/>
          <w:lang w:val="en-US" w:eastAsia="zh-CN" w:bidi="ar-SA"/>
        </w:rPr>
      </w:pPr>
      <w:bookmarkStart w:id="461" w:name="_Toc22917"/>
      <w:bookmarkStart w:id="462" w:name="_Toc26672"/>
      <w:bookmarkStart w:id="463" w:name="_Toc29912"/>
      <w:bookmarkStart w:id="464" w:name="_Toc26428"/>
      <w:bookmarkStart w:id="465" w:name="_Toc20016"/>
      <w:bookmarkStart w:id="466" w:name="_Toc9264"/>
      <w:r>
        <w:rPr>
          <w:rFonts w:hint="eastAsia" w:ascii="仿宋_GB2312" w:hAnsi="仿宋_GB2312" w:eastAsia="仿宋_GB2312" w:cs="仿宋_GB2312"/>
          <w:b/>
          <w:bCs w:val="0"/>
          <w:color w:val="auto"/>
          <w:kern w:val="2"/>
          <w:sz w:val="32"/>
          <w:szCs w:val="32"/>
          <w:lang w:val="en-US" w:eastAsia="zh-CN" w:bidi="ar-SA"/>
        </w:rPr>
        <w:t>37.</w:t>
      </w:r>
      <w:r>
        <w:rPr>
          <w:rFonts w:hint="default" w:ascii="仿宋_GB2312" w:hAnsi="仿宋_GB2312" w:eastAsia="仿宋_GB2312" w:cs="仿宋_GB2312"/>
          <w:b/>
          <w:bCs w:val="0"/>
          <w:color w:val="auto"/>
          <w:kern w:val="2"/>
          <w:sz w:val="32"/>
          <w:szCs w:val="32"/>
          <w:lang w:val="en-US" w:eastAsia="zh-CN" w:bidi="ar-SA"/>
        </w:rPr>
        <w:t>由国家级、省部级以及国际组织对科技人员颁发的科技奖金免征个人所得税</w:t>
      </w:r>
      <w:bookmarkEnd w:id="461"/>
      <w:bookmarkEnd w:id="462"/>
      <w:bookmarkEnd w:id="463"/>
      <w:bookmarkEnd w:id="464"/>
      <w:bookmarkEnd w:id="465"/>
      <w:bookmarkEnd w:id="466"/>
    </w:p>
    <w:p>
      <w:pPr>
        <w:numPr>
          <w:ilvl w:val="0"/>
          <w:numId w:val="0"/>
        </w:numPr>
        <w:spacing w:line="360" w:lineRule="auto"/>
        <w:ind w:firstLine="643" w:firstLineChars="200"/>
        <w:jc w:val="both"/>
        <w:outlineLvl w:val="1"/>
        <w:rPr>
          <w:rFonts w:hint="default" w:ascii="仿宋_GB2312" w:hAnsi="仿宋_GB2312" w:eastAsia="仿宋_GB2312" w:cs="仿宋_GB2312"/>
          <w:b/>
          <w:bCs w:val="0"/>
          <w:color w:val="auto"/>
          <w:kern w:val="2"/>
          <w:sz w:val="32"/>
          <w:szCs w:val="32"/>
          <w:lang w:val="en-US" w:eastAsia="zh-CN" w:bidi="ar-SA"/>
        </w:rPr>
      </w:pPr>
      <w:bookmarkStart w:id="467" w:name="_Toc24419"/>
      <w:bookmarkStart w:id="468" w:name="_Toc32113"/>
      <w:r>
        <w:rPr>
          <w:rFonts w:hint="eastAsia" w:ascii="仿宋_GB2312" w:hAnsi="仿宋_GB2312" w:eastAsia="仿宋_GB2312" w:cs="仿宋_GB2312"/>
          <w:b/>
          <w:bCs w:val="0"/>
          <w:color w:val="auto"/>
          <w:kern w:val="2"/>
          <w:sz w:val="32"/>
          <w:szCs w:val="32"/>
          <w:lang w:val="en-US" w:eastAsia="zh-CN" w:bidi="ar-SA"/>
        </w:rPr>
        <w:t>【政策内容】</w:t>
      </w:r>
      <w:bookmarkEnd w:id="467"/>
      <w:bookmarkEnd w:id="468"/>
    </w:p>
    <w:p>
      <w:pPr>
        <w:numPr>
          <w:ilvl w:val="0"/>
          <w:numId w:val="0"/>
        </w:numPr>
        <w:spacing w:line="360" w:lineRule="auto"/>
        <w:ind w:firstLine="640" w:firstLineChars="200"/>
        <w:jc w:val="both"/>
        <w:outlineLvl w:val="1"/>
        <w:rPr>
          <w:rFonts w:hint="default" w:ascii="仿宋_GB2312" w:hAnsi="仿宋_GB2312" w:eastAsia="仿宋_GB2312" w:cs="仿宋_GB2312"/>
          <w:sz w:val="32"/>
          <w:szCs w:val="32"/>
          <w:lang w:val="en-US" w:eastAsia="zh-CN"/>
        </w:rPr>
      </w:pPr>
      <w:bookmarkStart w:id="469" w:name="_Toc13825"/>
      <w:bookmarkStart w:id="470" w:name="_Toc23420"/>
      <w:bookmarkStart w:id="471" w:name="_Toc17232"/>
      <w:bookmarkStart w:id="472" w:name="_Toc11758"/>
      <w:bookmarkStart w:id="473" w:name="_Toc30302"/>
      <w:bookmarkStart w:id="474" w:name="_Toc3509"/>
      <w:bookmarkStart w:id="475" w:name="_Toc30750"/>
      <w:bookmarkStart w:id="476" w:name="_Toc6014"/>
      <w:r>
        <w:rPr>
          <w:rFonts w:hint="default" w:ascii="仿宋_GB2312" w:hAnsi="仿宋_GB2312" w:eastAsia="仿宋_GB2312" w:cs="仿宋_GB2312"/>
          <w:sz w:val="32"/>
          <w:szCs w:val="32"/>
          <w:lang w:val="en-US" w:eastAsia="zh-CN"/>
        </w:rPr>
        <w:t>省级人民政府、国务院部委和中国人民解放军军以上单位，以及外国组织、国际组织颁发的科学、教育、技术、文化、卫生、体育、环境保护等方面的奖金免征个人所得税。</w:t>
      </w:r>
      <w:bookmarkEnd w:id="469"/>
      <w:bookmarkEnd w:id="470"/>
      <w:bookmarkEnd w:id="471"/>
      <w:bookmarkEnd w:id="472"/>
      <w:bookmarkEnd w:id="473"/>
      <w:bookmarkEnd w:id="474"/>
      <w:bookmarkEnd w:id="475"/>
      <w:bookmarkEnd w:id="476"/>
    </w:p>
    <w:p>
      <w:pPr>
        <w:numPr>
          <w:ilvl w:val="0"/>
          <w:numId w:val="0"/>
        </w:numPr>
        <w:spacing w:line="360" w:lineRule="auto"/>
        <w:ind w:firstLine="643" w:firstLineChars="200"/>
        <w:jc w:val="both"/>
        <w:outlineLvl w:val="1"/>
        <w:rPr>
          <w:rFonts w:hint="default" w:ascii="仿宋_GB2312" w:hAnsi="仿宋_GB2312" w:eastAsia="仿宋_GB2312" w:cs="仿宋_GB2312"/>
          <w:b/>
          <w:bCs/>
          <w:sz w:val="32"/>
          <w:szCs w:val="32"/>
          <w:lang w:val="en-US" w:eastAsia="zh-CN"/>
        </w:rPr>
      </w:pPr>
      <w:bookmarkStart w:id="477" w:name="_Toc18139"/>
      <w:bookmarkStart w:id="478" w:name="_Toc21701"/>
      <w:r>
        <w:rPr>
          <w:rFonts w:hint="eastAsia" w:ascii="仿宋_GB2312" w:hAnsi="仿宋_GB2312" w:eastAsia="仿宋_GB2312" w:cs="仿宋_GB2312"/>
          <w:b/>
          <w:bCs/>
          <w:sz w:val="32"/>
          <w:szCs w:val="32"/>
          <w:lang w:val="en-US" w:eastAsia="zh-CN"/>
        </w:rPr>
        <w:t>【政策依据】</w:t>
      </w:r>
      <w:bookmarkEnd w:id="477"/>
      <w:bookmarkEnd w:id="478"/>
    </w:p>
    <w:p>
      <w:pPr>
        <w:numPr>
          <w:ilvl w:val="0"/>
          <w:numId w:val="0"/>
        </w:numPr>
        <w:spacing w:line="360" w:lineRule="auto"/>
        <w:ind w:firstLine="640" w:firstLineChars="200"/>
        <w:jc w:val="both"/>
        <w:outlineLvl w:val="1"/>
        <w:rPr>
          <w:rFonts w:hint="default" w:ascii="仿宋_GB2312" w:hAnsi="仿宋_GB2312" w:eastAsia="仿宋_GB2312" w:cs="仿宋_GB2312"/>
          <w:sz w:val="32"/>
          <w:szCs w:val="32"/>
          <w:lang w:val="en-US" w:eastAsia="zh-CN"/>
        </w:rPr>
      </w:pPr>
      <w:bookmarkStart w:id="479" w:name="_Toc5899"/>
      <w:bookmarkStart w:id="480" w:name="_Toc13009"/>
      <w:bookmarkStart w:id="481" w:name="_Toc5073"/>
      <w:bookmarkStart w:id="482" w:name="_Toc6411"/>
      <w:bookmarkStart w:id="483" w:name="_Toc23707"/>
      <w:bookmarkStart w:id="484" w:name="_Toc19302"/>
      <w:bookmarkStart w:id="485" w:name="_Toc28860"/>
      <w:bookmarkStart w:id="486" w:name="_Toc13162"/>
      <w:r>
        <w:rPr>
          <w:rFonts w:hint="default" w:ascii="仿宋_GB2312" w:hAnsi="仿宋_GB2312" w:eastAsia="仿宋_GB2312" w:cs="仿宋_GB2312"/>
          <w:sz w:val="32"/>
          <w:szCs w:val="32"/>
          <w:lang w:val="en-US" w:eastAsia="zh-CN"/>
        </w:rPr>
        <w:t>《中华人民共和国个人所得税法》（中华人民共和国主席令第九号）</w:t>
      </w:r>
      <w:bookmarkEnd w:id="479"/>
      <w:bookmarkEnd w:id="480"/>
      <w:bookmarkEnd w:id="481"/>
      <w:bookmarkEnd w:id="482"/>
      <w:bookmarkEnd w:id="483"/>
      <w:bookmarkEnd w:id="484"/>
      <w:bookmarkEnd w:id="485"/>
      <w:bookmarkEnd w:id="486"/>
    </w:p>
    <w:p>
      <w:pPr>
        <w:numPr>
          <w:ilvl w:val="0"/>
          <w:numId w:val="0"/>
        </w:numPr>
        <w:spacing w:line="360" w:lineRule="auto"/>
        <w:ind w:firstLine="640" w:firstLineChars="200"/>
        <w:jc w:val="both"/>
        <w:outlineLvl w:val="1"/>
        <w:rPr>
          <w:rFonts w:hint="default" w:ascii="仿宋_GB2312" w:hAnsi="仿宋_GB2312" w:eastAsia="仿宋_GB2312" w:cs="仿宋_GB2312"/>
          <w:sz w:val="32"/>
          <w:szCs w:val="32"/>
          <w:lang w:val="en-US" w:eastAsia="zh-CN"/>
        </w:rPr>
      </w:pPr>
    </w:p>
    <w:p>
      <w:pPr>
        <w:pStyle w:val="2"/>
        <w:numPr>
          <w:ilvl w:val="0"/>
          <w:numId w:val="0"/>
        </w:numPr>
        <w:bidi w:val="0"/>
        <w:ind w:firstLine="643" w:firstLineChars="200"/>
        <w:jc w:val="both"/>
        <w:rPr>
          <w:rFonts w:hint="eastAsia" w:ascii="黑体" w:hAnsi="黑体" w:eastAsia="黑体" w:cs="黑体"/>
          <w:b/>
          <w:bCs w:val="0"/>
          <w:color w:val="auto"/>
          <w:sz w:val="32"/>
          <w:szCs w:val="32"/>
          <w:lang w:val="en-US" w:eastAsia="zh-CN"/>
        </w:rPr>
      </w:pPr>
      <w:bookmarkStart w:id="487" w:name="_Toc13270"/>
      <w:bookmarkStart w:id="488" w:name="_Toc25657"/>
      <w:r>
        <w:rPr>
          <w:rFonts w:hint="eastAsia" w:ascii="黑体" w:hAnsi="黑体" w:eastAsia="黑体" w:cs="黑体"/>
          <w:b/>
          <w:bCs w:val="0"/>
          <w:color w:val="auto"/>
          <w:sz w:val="32"/>
          <w:szCs w:val="32"/>
          <w:lang w:val="en-US" w:eastAsia="zh-CN"/>
        </w:rPr>
        <w:t>三、支持金属智造行业节能环保和资源综合利用税费</w:t>
      </w:r>
      <w:bookmarkEnd w:id="487"/>
      <w:r>
        <w:rPr>
          <w:rFonts w:hint="eastAsia" w:ascii="黑体" w:hAnsi="黑体" w:eastAsia="黑体" w:cs="黑体"/>
          <w:b/>
          <w:bCs w:val="0"/>
          <w:color w:val="auto"/>
          <w:sz w:val="32"/>
          <w:szCs w:val="32"/>
          <w:lang w:val="en-US" w:eastAsia="zh-CN"/>
        </w:rPr>
        <w:t>优惠政策</w:t>
      </w:r>
      <w:bookmarkEnd w:id="488"/>
    </w:p>
    <w:p>
      <w:pPr>
        <w:numPr>
          <w:ilvl w:val="0"/>
          <w:numId w:val="0"/>
        </w:numPr>
        <w:spacing w:line="360" w:lineRule="auto"/>
        <w:ind w:firstLine="643" w:firstLineChars="200"/>
        <w:jc w:val="both"/>
        <w:outlineLvl w:val="1"/>
        <w:rPr>
          <w:rFonts w:hint="default" w:ascii="仿宋_GB2312" w:hAnsi="仿宋_GB2312" w:eastAsia="仿宋_GB2312" w:cs="仿宋_GB2312"/>
          <w:b/>
          <w:bCs w:val="0"/>
          <w:color w:val="auto"/>
          <w:kern w:val="2"/>
          <w:sz w:val="32"/>
          <w:szCs w:val="32"/>
          <w:lang w:val="en-US" w:eastAsia="zh-CN" w:bidi="ar-SA"/>
        </w:rPr>
      </w:pPr>
      <w:bookmarkStart w:id="489" w:name="_Toc31497"/>
      <w:r>
        <w:rPr>
          <w:rFonts w:hint="eastAsia" w:ascii="仿宋_GB2312" w:hAnsi="仿宋_GB2312" w:eastAsia="仿宋_GB2312" w:cs="仿宋_GB2312"/>
          <w:b/>
          <w:bCs w:val="0"/>
          <w:color w:val="auto"/>
          <w:kern w:val="2"/>
          <w:sz w:val="32"/>
          <w:szCs w:val="32"/>
          <w:lang w:val="en-US" w:eastAsia="zh-CN" w:bidi="ar-SA"/>
        </w:rPr>
        <w:t>38.新能源车船免征车船税</w:t>
      </w:r>
      <w:bookmarkEnd w:id="489"/>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490" w:name="_Toc20070"/>
      <w:bookmarkStart w:id="491" w:name="_Toc21713"/>
      <w:r>
        <w:rPr>
          <w:rFonts w:hint="eastAsia" w:ascii="仿宋_GB2312" w:hAnsi="仿宋_GB2312" w:eastAsia="仿宋_GB2312" w:cs="仿宋_GB2312"/>
          <w:b/>
          <w:bCs w:val="0"/>
          <w:color w:val="auto"/>
          <w:kern w:val="2"/>
          <w:sz w:val="32"/>
          <w:szCs w:val="32"/>
          <w:lang w:val="en-US" w:eastAsia="zh-CN" w:bidi="ar-SA"/>
        </w:rPr>
        <w:t>【政策内容】</w:t>
      </w:r>
      <w:bookmarkEnd w:id="490"/>
      <w:bookmarkEnd w:id="491"/>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对新能源车船，免征车船税。</w:t>
      </w:r>
    </w:p>
    <w:p>
      <w:pPr>
        <w:spacing w:line="360" w:lineRule="auto"/>
        <w:ind w:firstLine="643" w:firstLineChars="200"/>
        <w:jc w:val="both"/>
        <w:rPr>
          <w:rFonts w:hint="eastAsia" w:ascii="仿宋_GB2312" w:hAnsi="仿宋_GB2312" w:eastAsia="仿宋_GB2312" w:cs="仿宋_GB2312"/>
          <w:b/>
          <w:color w:val="auto"/>
          <w:sz w:val="32"/>
          <w:szCs w:val="28"/>
          <w:lang w:val="en-US" w:eastAsia="zh-CN"/>
        </w:rPr>
      </w:pPr>
      <w:r>
        <w:rPr>
          <w:rFonts w:hint="eastAsia" w:ascii="仿宋_GB2312" w:hAnsi="仿宋_GB2312" w:eastAsia="仿宋_GB2312" w:cs="仿宋_GB2312"/>
          <w:b/>
          <w:color w:val="auto"/>
          <w:sz w:val="32"/>
          <w:szCs w:val="28"/>
          <w:lang w:val="en-US" w:eastAsia="zh-CN"/>
        </w:rPr>
        <w:t>【政策依据】</w:t>
      </w:r>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《中华人民共和国车船税法》第四条</w:t>
      </w:r>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《财政部 税务总局 工业和信息化部 交通运输部关于节能 新能源车船税优惠政策的通知》（财税〔2018〕74号）第二条、附件 4、附件 5、附件 6</w:t>
      </w:r>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《工业和信息化部 财政部 税务总局关于调整享受车船税优惠的节能 新能源汽车产品技术要求的公告》（工业和信息化部 财政部 税务总局公告〔2022〕2 号）</w:t>
      </w:r>
    </w:p>
    <w:p>
      <w:pPr>
        <w:pStyle w:val="6"/>
        <w:spacing w:line="360" w:lineRule="auto"/>
        <w:ind w:left="0" w:leftChars="0" w:right="119" w:firstLine="0" w:firstLineChars="0"/>
        <w:jc w:val="both"/>
        <w:rPr>
          <w:rFonts w:hint="eastAsia" w:ascii="仿宋_GB2312" w:hAnsi="仿宋_GB2312" w:eastAsia="仿宋_GB2312" w:cs="仿宋_GB2312"/>
          <w:b w:val="0"/>
          <w:bCs w:val="0"/>
          <w:kern w:val="2"/>
          <w:sz w:val="32"/>
          <w:szCs w:val="32"/>
          <w:lang w:val="en-US" w:eastAsia="zh-CN" w:bidi="ar-SA"/>
        </w:rPr>
      </w:pPr>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492" w:name="_Toc31203"/>
      <w:bookmarkStart w:id="493" w:name="_Toc24325"/>
      <w:r>
        <w:rPr>
          <w:rFonts w:hint="eastAsia" w:ascii="仿宋_GB2312" w:hAnsi="仿宋_GB2312" w:eastAsia="仿宋_GB2312" w:cs="仿宋_GB2312"/>
          <w:b/>
          <w:bCs w:val="0"/>
          <w:color w:val="auto"/>
          <w:kern w:val="2"/>
          <w:sz w:val="32"/>
          <w:szCs w:val="32"/>
          <w:lang w:val="en-US" w:eastAsia="zh-CN" w:bidi="ar-SA"/>
        </w:rPr>
        <w:t>39.节能汽车减半征收车船税</w:t>
      </w:r>
      <w:bookmarkEnd w:id="492"/>
      <w:bookmarkEnd w:id="493"/>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494" w:name="_Toc29538"/>
      <w:bookmarkStart w:id="495" w:name="_Toc25398"/>
      <w:r>
        <w:rPr>
          <w:rFonts w:hint="eastAsia" w:ascii="仿宋_GB2312" w:hAnsi="仿宋_GB2312" w:eastAsia="仿宋_GB2312" w:cs="仿宋_GB2312"/>
          <w:b/>
          <w:bCs w:val="0"/>
          <w:color w:val="auto"/>
          <w:kern w:val="2"/>
          <w:sz w:val="32"/>
          <w:szCs w:val="32"/>
          <w:lang w:val="en-US" w:eastAsia="zh-CN" w:bidi="ar-SA"/>
        </w:rPr>
        <w:t>【政策内容】</w:t>
      </w:r>
      <w:bookmarkEnd w:id="494"/>
      <w:bookmarkEnd w:id="495"/>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对节能汽车，减半征收车船税。</w:t>
      </w:r>
    </w:p>
    <w:p>
      <w:pPr>
        <w:spacing w:line="360" w:lineRule="auto"/>
        <w:ind w:firstLine="643"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color w:val="auto"/>
          <w:sz w:val="32"/>
          <w:szCs w:val="28"/>
          <w:lang w:val="en-US" w:eastAsia="zh-CN"/>
        </w:rPr>
        <w:t>【政策依据】</w:t>
      </w:r>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《中华人民共和国车船税法》第四条</w:t>
      </w:r>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《财政部 税务总局 工业和信息化部 交通运输部关于节能 新能源车船税优惠政策的通知》（财税〔2018〕74号）第一条、附件 1、附件 2、附件 3</w:t>
      </w:r>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《工业和信息化部 财政部 税务总局关于调整享受车船税优惠的节能 新能源汽车产品技术要求的公告》（工业和信息化部 财政部 税务总局公告〔2022〕2 号）</w:t>
      </w:r>
    </w:p>
    <w:p>
      <w:pPr>
        <w:pStyle w:val="6"/>
        <w:spacing w:line="360" w:lineRule="auto"/>
        <w:ind w:right="119" w:firstLine="640"/>
        <w:jc w:val="both"/>
        <w:rPr>
          <w:rFonts w:hint="eastAsia" w:ascii="仿宋_GB2312" w:hAnsi="仿宋_GB2312" w:eastAsia="仿宋_GB2312" w:cs="仿宋_GB2312"/>
          <w:b w:val="0"/>
          <w:bCs w:val="0"/>
          <w:kern w:val="2"/>
          <w:sz w:val="32"/>
          <w:szCs w:val="32"/>
          <w:lang w:val="en-US" w:eastAsia="zh-CN" w:bidi="ar-SA"/>
        </w:rPr>
      </w:pPr>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496" w:name="_Toc7414"/>
      <w:bookmarkStart w:id="497" w:name="_Toc29163"/>
      <w:r>
        <w:rPr>
          <w:rFonts w:hint="eastAsia" w:ascii="仿宋_GB2312" w:hAnsi="仿宋_GB2312" w:eastAsia="仿宋_GB2312" w:cs="仿宋_GB2312"/>
          <w:b/>
          <w:bCs w:val="0"/>
          <w:color w:val="auto"/>
          <w:kern w:val="2"/>
          <w:sz w:val="32"/>
          <w:szCs w:val="32"/>
          <w:lang w:val="en-US" w:eastAsia="zh-CN" w:bidi="ar-SA"/>
        </w:rPr>
        <w:t>40.新能源汽车免征车辆购置税</w:t>
      </w:r>
      <w:bookmarkEnd w:id="496"/>
      <w:bookmarkEnd w:id="497"/>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498" w:name="_Toc6243"/>
      <w:bookmarkStart w:id="499" w:name="_Toc10464"/>
      <w:r>
        <w:rPr>
          <w:rFonts w:hint="eastAsia" w:ascii="仿宋_GB2312" w:hAnsi="仿宋_GB2312" w:eastAsia="仿宋_GB2312" w:cs="仿宋_GB2312"/>
          <w:b/>
          <w:bCs w:val="0"/>
          <w:color w:val="auto"/>
          <w:kern w:val="2"/>
          <w:sz w:val="32"/>
          <w:szCs w:val="32"/>
          <w:lang w:val="en-US" w:eastAsia="zh-CN" w:bidi="ar-SA"/>
        </w:rPr>
        <w:t>【政策内容】</w:t>
      </w:r>
      <w:bookmarkEnd w:id="498"/>
      <w:bookmarkEnd w:id="499"/>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自2021年1月1日至2022年12月31日，对购置的新能源汽车免征车辆购置税。</w:t>
      </w:r>
    </w:p>
    <w:p>
      <w:pPr>
        <w:spacing w:line="360" w:lineRule="auto"/>
        <w:ind w:firstLine="643"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color w:val="auto"/>
          <w:sz w:val="32"/>
          <w:szCs w:val="28"/>
          <w:lang w:val="en-US" w:eastAsia="zh-CN"/>
        </w:rPr>
        <w:t>【政策依据】</w:t>
      </w:r>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《财政部 税务总局 工业和信息化部关于新能源汽车免征车辆购置税有关政策的公告》（2020 年第 21 号）</w:t>
      </w:r>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500" w:name="_Toc15532"/>
      <w:bookmarkStart w:id="501" w:name="_Toc31726"/>
      <w:r>
        <w:rPr>
          <w:rFonts w:hint="eastAsia" w:ascii="仿宋_GB2312" w:hAnsi="仿宋_GB2312" w:eastAsia="仿宋_GB2312" w:cs="仿宋_GB2312"/>
          <w:b/>
          <w:bCs w:val="0"/>
          <w:color w:val="auto"/>
          <w:kern w:val="2"/>
          <w:sz w:val="32"/>
          <w:szCs w:val="32"/>
          <w:lang w:val="en-US" w:eastAsia="zh-CN" w:bidi="ar-SA"/>
        </w:rPr>
        <w:t>41.减征部分乘用车的车辆购置税</w:t>
      </w:r>
      <w:bookmarkEnd w:id="500"/>
      <w:bookmarkEnd w:id="501"/>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502" w:name="_Toc6975"/>
      <w:bookmarkStart w:id="503" w:name="_Toc30576"/>
      <w:r>
        <w:rPr>
          <w:rFonts w:hint="eastAsia" w:ascii="仿宋_GB2312" w:hAnsi="仿宋_GB2312" w:eastAsia="仿宋_GB2312" w:cs="仿宋_GB2312"/>
          <w:b/>
          <w:bCs w:val="0"/>
          <w:color w:val="auto"/>
          <w:kern w:val="2"/>
          <w:sz w:val="32"/>
          <w:szCs w:val="32"/>
          <w:lang w:val="en-US" w:eastAsia="zh-CN" w:bidi="ar-SA"/>
        </w:rPr>
        <w:t>【政策内容】</w:t>
      </w:r>
      <w:bookmarkEnd w:id="502"/>
      <w:bookmarkEnd w:id="503"/>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对购置日期在2022年6月1日至2022年12月31日期间内且单车价格（不含增值税）不超过30万元的2.0升及以下排量乘用车，减半征收车辆购置税。</w:t>
      </w:r>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所称乘用车，是指在设计、制造和技术特性上主要用于载运乘客及其随身行李和（或）临时物品，包括驾驶员座位在内最多不超过9个座位的汽车。</w:t>
      </w:r>
    </w:p>
    <w:p>
      <w:pPr>
        <w:spacing w:line="360" w:lineRule="auto"/>
        <w:ind w:firstLine="643"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color w:val="auto"/>
          <w:sz w:val="32"/>
          <w:szCs w:val="28"/>
          <w:lang w:val="en-US" w:eastAsia="zh-CN"/>
        </w:rPr>
        <w:t>【政策依据】</w:t>
      </w:r>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《财政部  税务总局关于减征部分乘用车车辆购置税的公告》（财政部 税务总局公告2022年20号）</w:t>
      </w:r>
    </w:p>
    <w:p>
      <w:pPr>
        <w:pStyle w:val="6"/>
        <w:spacing w:line="360" w:lineRule="auto"/>
        <w:ind w:right="119" w:firstLine="640"/>
        <w:jc w:val="both"/>
        <w:rPr>
          <w:rFonts w:hint="eastAsia" w:ascii="仿宋_GB2312" w:hAnsi="仿宋_GB2312" w:eastAsia="仿宋_GB2312" w:cs="仿宋_GB2312"/>
          <w:b w:val="0"/>
          <w:bCs w:val="0"/>
          <w:kern w:val="2"/>
          <w:sz w:val="32"/>
          <w:szCs w:val="32"/>
          <w:lang w:val="en-US" w:eastAsia="zh-CN" w:bidi="ar-SA"/>
        </w:rPr>
      </w:pPr>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504" w:name="_Toc23406"/>
      <w:bookmarkStart w:id="505" w:name="_Toc20888"/>
      <w:r>
        <w:rPr>
          <w:rFonts w:hint="eastAsia" w:ascii="仿宋_GB2312" w:hAnsi="仿宋_GB2312" w:eastAsia="仿宋_GB2312" w:cs="仿宋_GB2312"/>
          <w:b/>
          <w:bCs w:val="0"/>
          <w:color w:val="auto"/>
          <w:kern w:val="2"/>
          <w:sz w:val="32"/>
          <w:szCs w:val="32"/>
          <w:lang w:val="en-US" w:eastAsia="zh-CN" w:bidi="ar-SA"/>
        </w:rPr>
        <w:t>42.排放应税大气污染物或者水污染物的浓度值低于国家和地方规定的污染物排放标准减征环境保护税</w:t>
      </w:r>
      <w:bookmarkEnd w:id="504"/>
      <w:bookmarkEnd w:id="505"/>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506" w:name="_Toc30125"/>
      <w:bookmarkStart w:id="507" w:name="_Toc7427"/>
      <w:r>
        <w:rPr>
          <w:rFonts w:hint="eastAsia" w:ascii="仿宋_GB2312" w:hAnsi="仿宋_GB2312" w:eastAsia="仿宋_GB2312" w:cs="仿宋_GB2312"/>
          <w:b/>
          <w:bCs w:val="0"/>
          <w:color w:val="auto"/>
          <w:kern w:val="2"/>
          <w:sz w:val="32"/>
          <w:szCs w:val="32"/>
          <w:lang w:val="en-US" w:eastAsia="zh-CN" w:bidi="ar-SA"/>
        </w:rPr>
        <w:t>【政策内容】</w:t>
      </w:r>
      <w:bookmarkEnd w:id="506"/>
      <w:bookmarkEnd w:id="507"/>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纳税人排放应税大气污染物或者水污染物的浓度值低于国家和地方规定的污染物排放标准百分之三十的，减按百分之七十五征收环境保护税。纳税人排放应税大气污染物或者水污染物的浓度值低于国家和地方规定的污染物排放标准百分之五十的，减按百分之五十征收环境保护税。</w:t>
      </w:r>
    </w:p>
    <w:p>
      <w:pPr>
        <w:spacing w:line="360" w:lineRule="auto"/>
        <w:ind w:firstLine="643"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color w:val="auto"/>
          <w:sz w:val="32"/>
          <w:szCs w:val="28"/>
          <w:lang w:val="en-US" w:eastAsia="zh-CN"/>
        </w:rPr>
        <w:t>【政策依据】</w:t>
      </w:r>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《中华人民共和国环境保护税法》第十三条</w:t>
      </w:r>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508" w:name="_Toc31594"/>
      <w:bookmarkStart w:id="509" w:name="_Toc11594"/>
      <w:r>
        <w:rPr>
          <w:rFonts w:hint="eastAsia" w:ascii="仿宋_GB2312" w:hAnsi="仿宋_GB2312" w:eastAsia="仿宋_GB2312" w:cs="仿宋_GB2312"/>
          <w:b/>
          <w:bCs w:val="0"/>
          <w:color w:val="auto"/>
          <w:kern w:val="2"/>
          <w:sz w:val="32"/>
          <w:szCs w:val="32"/>
          <w:lang w:val="en-US" w:eastAsia="zh-CN" w:bidi="ar-SA"/>
        </w:rPr>
        <w:t>43.资源综合利用产品及劳务增值税即征即退</w:t>
      </w:r>
      <w:bookmarkEnd w:id="508"/>
      <w:bookmarkEnd w:id="509"/>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510" w:name="_Toc26276"/>
      <w:bookmarkStart w:id="511" w:name="_Toc25675"/>
      <w:r>
        <w:rPr>
          <w:rFonts w:hint="eastAsia" w:ascii="仿宋_GB2312" w:hAnsi="仿宋_GB2312" w:eastAsia="仿宋_GB2312" w:cs="仿宋_GB2312"/>
          <w:b/>
          <w:bCs w:val="0"/>
          <w:color w:val="auto"/>
          <w:kern w:val="2"/>
          <w:sz w:val="32"/>
          <w:szCs w:val="32"/>
          <w:lang w:val="en-US" w:eastAsia="zh-CN" w:bidi="ar-SA"/>
        </w:rPr>
        <w:t>【政策内容】</w:t>
      </w:r>
      <w:bookmarkEnd w:id="510"/>
      <w:bookmarkEnd w:id="511"/>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自2022 年3月1日起，增值税一般纳税人销售自产的资源综合利用产品和提供资源综合利用劳务，可享受增值税即征即退政策。</w:t>
      </w:r>
    </w:p>
    <w:p>
      <w:pPr>
        <w:spacing w:line="360" w:lineRule="auto"/>
        <w:ind w:firstLine="643"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color w:val="auto"/>
          <w:sz w:val="32"/>
          <w:szCs w:val="28"/>
          <w:lang w:val="en-US" w:eastAsia="zh-CN"/>
        </w:rPr>
        <w:t>【政策依据】</w:t>
      </w:r>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《财政部 国家税务总局关于印发〈资源综合利用产品和劳务增值税优惠目录〉的通知》（财税〔2015〕78 号）附件“技术标准和相关条件”</w:t>
      </w:r>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《财政部 税务总局关于资源综合利用增值税政策的公告》（2019 年第 90 号）“技术标准和相关条件”</w:t>
      </w:r>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《财政部 税务总局关于完善资源综合利用增值税政策的公告》（2021 年第 40 号）第三条、第七条</w:t>
      </w:r>
    </w:p>
    <w:p>
      <w:pPr>
        <w:numPr>
          <w:ilvl w:val="0"/>
          <w:numId w:val="0"/>
        </w:numPr>
        <w:spacing w:line="360" w:lineRule="auto"/>
        <w:ind w:firstLine="640" w:firstLineChars="200"/>
        <w:jc w:val="both"/>
        <w:rPr>
          <w:rFonts w:hint="eastAsia" w:ascii="仿宋_GB2312" w:hAnsi="仿宋_GB2312" w:eastAsia="仿宋_GB2312" w:cs="仿宋_GB2312"/>
          <w:color w:val="auto"/>
          <w:kern w:val="2"/>
          <w:sz w:val="32"/>
          <w:szCs w:val="32"/>
          <w:lang w:val="en-US" w:eastAsia="zh-CN" w:bidi="ar-SA"/>
        </w:rPr>
      </w:pPr>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512" w:name="_Toc1247"/>
      <w:bookmarkStart w:id="513" w:name="_Toc2427"/>
      <w:r>
        <w:rPr>
          <w:rFonts w:hint="eastAsia" w:ascii="仿宋_GB2312" w:hAnsi="仿宋_GB2312" w:eastAsia="仿宋_GB2312" w:cs="仿宋_GB2312"/>
          <w:b/>
          <w:bCs w:val="0"/>
          <w:color w:val="auto"/>
          <w:kern w:val="2"/>
          <w:sz w:val="32"/>
          <w:szCs w:val="32"/>
          <w:lang w:val="en-US" w:eastAsia="zh-CN" w:bidi="ar-SA"/>
        </w:rPr>
        <w:t>44.综合利用资源生产产品取得的收入在计算应纳税所得额时减计收入</w:t>
      </w:r>
      <w:bookmarkEnd w:id="512"/>
      <w:bookmarkEnd w:id="513"/>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514" w:name="_Toc22859"/>
      <w:bookmarkStart w:id="515" w:name="_Toc30276"/>
      <w:r>
        <w:rPr>
          <w:rFonts w:hint="eastAsia" w:ascii="仿宋_GB2312" w:hAnsi="仿宋_GB2312" w:eastAsia="仿宋_GB2312" w:cs="仿宋_GB2312"/>
          <w:b/>
          <w:bCs w:val="0"/>
          <w:color w:val="auto"/>
          <w:kern w:val="2"/>
          <w:sz w:val="32"/>
          <w:szCs w:val="32"/>
          <w:lang w:val="en-US" w:eastAsia="zh-CN" w:bidi="ar-SA"/>
        </w:rPr>
        <w:t>【政策内容】</w:t>
      </w:r>
      <w:bookmarkEnd w:id="514"/>
      <w:bookmarkEnd w:id="515"/>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企业以《资源综合利用企业所得税优惠目录》规定的资源作为主要原材料，生产国家非限制和禁止并符合国家和行业相关标准的产品取得的收入，减按 90%计入收入总额。</w:t>
      </w:r>
    </w:p>
    <w:p>
      <w:pPr>
        <w:spacing w:line="360" w:lineRule="auto"/>
        <w:ind w:firstLine="643"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color w:val="auto"/>
          <w:sz w:val="32"/>
          <w:szCs w:val="28"/>
          <w:lang w:val="en-US" w:eastAsia="zh-CN"/>
        </w:rPr>
        <w:t>【政策依据】</w:t>
      </w:r>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《中华人民共和国企业所得税法》第三十三条</w:t>
      </w:r>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《中华人民共和国企业所得税法实施条例》第九十九条</w:t>
      </w:r>
    </w:p>
    <w:p>
      <w:pPr>
        <w:spacing w:line="36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《财政部 税务总局 发展改革委 生态环境部关于公布〈环境保护、节能节水项目企业所得税优惠目录（2021年版）〉以及〈资源综合利用企业所得税优惠目录（2021 年版）〉的公告》（2021年第36号）附件2</w:t>
      </w:r>
    </w:p>
    <w:p>
      <w:pPr>
        <w:spacing w:line="360" w:lineRule="auto"/>
        <w:jc w:val="both"/>
        <w:rPr>
          <w:rFonts w:hint="eastAsia" w:ascii="仿宋_GB2312" w:hAnsi="仿宋_GB2312" w:eastAsia="仿宋_GB2312" w:cs="仿宋_GB2312"/>
          <w:sz w:val="32"/>
          <w:szCs w:val="32"/>
          <w:lang w:val="en-US" w:eastAsia="zh-CN"/>
        </w:rPr>
      </w:pPr>
    </w:p>
    <w:p>
      <w:pPr>
        <w:numPr>
          <w:ilvl w:val="0"/>
          <w:numId w:val="0"/>
        </w:numPr>
        <w:spacing w:line="360" w:lineRule="auto"/>
        <w:ind w:firstLine="643" w:firstLineChars="200"/>
        <w:jc w:val="both"/>
        <w:outlineLvl w:val="1"/>
        <w:rPr>
          <w:rFonts w:hint="default" w:ascii="仿宋_GB2312" w:hAnsi="仿宋_GB2312" w:eastAsia="仿宋_GB2312" w:cs="仿宋_GB2312"/>
          <w:b/>
          <w:bCs w:val="0"/>
          <w:color w:val="auto"/>
          <w:kern w:val="2"/>
          <w:sz w:val="32"/>
          <w:szCs w:val="32"/>
          <w:lang w:val="en-US" w:eastAsia="zh-CN" w:bidi="ar-SA"/>
        </w:rPr>
      </w:pPr>
      <w:bookmarkStart w:id="516" w:name="_Toc18687"/>
      <w:bookmarkStart w:id="517" w:name="_Toc10763"/>
      <w:r>
        <w:rPr>
          <w:rFonts w:hint="eastAsia" w:ascii="仿宋_GB2312" w:hAnsi="仿宋_GB2312" w:eastAsia="仿宋_GB2312" w:cs="仿宋_GB2312"/>
          <w:b/>
          <w:bCs w:val="0"/>
          <w:color w:val="auto"/>
          <w:kern w:val="2"/>
          <w:sz w:val="32"/>
          <w:szCs w:val="32"/>
          <w:lang w:val="en-US" w:eastAsia="zh-CN" w:bidi="ar-SA"/>
        </w:rPr>
        <w:t>45.综合利用的固体废物免征环境保护税</w:t>
      </w:r>
      <w:bookmarkEnd w:id="516"/>
      <w:bookmarkEnd w:id="517"/>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518" w:name="_Toc25956"/>
      <w:bookmarkStart w:id="519" w:name="_Toc12993"/>
      <w:r>
        <w:rPr>
          <w:rFonts w:hint="eastAsia" w:ascii="仿宋_GB2312" w:hAnsi="仿宋_GB2312" w:eastAsia="仿宋_GB2312" w:cs="仿宋_GB2312"/>
          <w:b/>
          <w:bCs w:val="0"/>
          <w:color w:val="auto"/>
          <w:kern w:val="2"/>
          <w:sz w:val="32"/>
          <w:szCs w:val="32"/>
          <w:lang w:val="en-US" w:eastAsia="zh-CN" w:bidi="ar-SA"/>
        </w:rPr>
        <w:t>【政策内容】</w:t>
      </w:r>
      <w:bookmarkEnd w:id="518"/>
      <w:bookmarkEnd w:id="519"/>
    </w:p>
    <w:p>
      <w:pPr>
        <w:spacing w:line="360" w:lineRule="auto"/>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纳税人综合利用的固体废物，符合国家和地方环境保护标准的，暂予免征环境保护税。</w:t>
      </w:r>
    </w:p>
    <w:p>
      <w:pPr>
        <w:spacing w:line="360" w:lineRule="auto"/>
        <w:ind w:firstLine="643" w:firstLineChars="200"/>
        <w:jc w:val="both"/>
        <w:outlineLvl w:val="2"/>
        <w:rPr>
          <w:rFonts w:hint="eastAsia" w:ascii="仿宋_GB2312" w:hAnsi="仿宋_GB2312" w:eastAsia="仿宋_GB2312" w:cs="仿宋_GB2312"/>
          <w:color w:val="auto"/>
          <w:sz w:val="28"/>
          <w:szCs w:val="28"/>
          <w:lang w:val="en-US" w:eastAsia="zh-CN"/>
        </w:rPr>
      </w:pPr>
      <w:bookmarkStart w:id="520" w:name="_Toc28767"/>
      <w:bookmarkStart w:id="521" w:name="_Toc13615"/>
      <w:r>
        <w:rPr>
          <w:rFonts w:hint="eastAsia" w:ascii="仿宋_GB2312" w:hAnsi="仿宋_GB2312" w:eastAsia="仿宋_GB2312" w:cs="仿宋_GB2312"/>
          <w:b/>
          <w:color w:val="auto"/>
          <w:sz w:val="32"/>
          <w:szCs w:val="28"/>
          <w:lang w:val="en-US" w:eastAsia="zh-CN"/>
        </w:rPr>
        <w:t>【政策依据】</w:t>
      </w:r>
      <w:bookmarkEnd w:id="520"/>
      <w:bookmarkEnd w:id="521"/>
    </w:p>
    <w:p>
      <w:pPr>
        <w:spacing w:line="360" w:lineRule="auto"/>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《中华人民共和国环境保护税法》第十二条第（四）项</w:t>
      </w:r>
    </w:p>
    <w:p>
      <w:pPr>
        <w:spacing w:line="360" w:lineRule="auto"/>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《财政部 税务总局 生态环境部关于环境保护税有关问题的通知》（财税〔2018〕23 号）第三条</w:t>
      </w:r>
    </w:p>
    <w:p>
      <w:pPr>
        <w:spacing w:line="360" w:lineRule="auto"/>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《中华人民共和国工业和信息化部公告 2018 年第 26号》（工业和信息化部公告 2018 年第 26 号）</w:t>
      </w:r>
    </w:p>
    <w:p>
      <w:pPr>
        <w:spacing w:line="360" w:lineRule="auto"/>
        <w:ind w:firstLine="640" w:firstLineChars="200"/>
        <w:jc w:val="both"/>
        <w:rPr>
          <w:rFonts w:hint="eastAsia" w:ascii="仿宋_GB2312" w:hAnsi="仿宋_GB2312" w:eastAsia="仿宋_GB2312" w:cs="仿宋_GB2312"/>
          <w:color w:val="auto"/>
          <w:sz w:val="32"/>
          <w:szCs w:val="32"/>
          <w:lang w:val="en-US" w:eastAsia="zh-CN"/>
        </w:rPr>
      </w:pPr>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522" w:name="_Toc18906"/>
      <w:bookmarkStart w:id="523" w:name="_Toc193"/>
      <w:r>
        <w:rPr>
          <w:rFonts w:hint="eastAsia" w:ascii="仿宋_GB2312" w:hAnsi="仿宋_GB2312" w:eastAsia="仿宋_GB2312" w:cs="仿宋_GB2312"/>
          <w:b/>
          <w:bCs w:val="0"/>
          <w:color w:val="auto"/>
          <w:kern w:val="2"/>
          <w:sz w:val="32"/>
          <w:szCs w:val="32"/>
          <w:lang w:val="en-US" w:eastAsia="zh-CN" w:bidi="ar-SA"/>
        </w:rPr>
        <w:t>46.污水处理劳务增值税即征即退或免征增值税</w:t>
      </w:r>
      <w:bookmarkEnd w:id="522"/>
      <w:bookmarkEnd w:id="523"/>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524" w:name="_Toc7303"/>
      <w:bookmarkStart w:id="525" w:name="_Toc13807"/>
      <w:r>
        <w:rPr>
          <w:rFonts w:hint="eastAsia" w:ascii="仿宋_GB2312" w:hAnsi="仿宋_GB2312" w:eastAsia="仿宋_GB2312" w:cs="仿宋_GB2312"/>
          <w:b/>
          <w:bCs w:val="0"/>
          <w:color w:val="auto"/>
          <w:kern w:val="2"/>
          <w:sz w:val="32"/>
          <w:szCs w:val="32"/>
          <w:lang w:val="en-US" w:eastAsia="zh-CN" w:bidi="ar-SA"/>
        </w:rPr>
        <w:t>【政策内容】</w:t>
      </w:r>
      <w:bookmarkEnd w:id="524"/>
      <w:bookmarkEnd w:id="525"/>
    </w:p>
    <w:p>
      <w:pPr>
        <w:spacing w:line="360" w:lineRule="auto"/>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纳税人从事《资源综合利用产品和劳务增值税优惠目录（2022 年版）》5.2“污水处理劳务”项目，可以选择享受2021 年第 40 号规定的增值税即征即退政策，或选择享受免征增值税政策。</w:t>
      </w:r>
    </w:p>
    <w:p>
      <w:pPr>
        <w:spacing w:line="360" w:lineRule="auto"/>
        <w:ind w:firstLine="643" w:firstLineChars="200"/>
        <w:jc w:val="both"/>
        <w:outlineLvl w:val="2"/>
        <w:rPr>
          <w:rFonts w:hint="eastAsia" w:ascii="仿宋_GB2312" w:hAnsi="仿宋_GB2312" w:eastAsia="仿宋_GB2312" w:cs="仿宋_GB2312"/>
          <w:color w:val="auto"/>
          <w:sz w:val="28"/>
          <w:szCs w:val="28"/>
          <w:lang w:val="en-US" w:eastAsia="zh-CN"/>
        </w:rPr>
      </w:pPr>
      <w:bookmarkStart w:id="526" w:name="_Toc4330"/>
      <w:bookmarkStart w:id="527" w:name="_Toc7922"/>
      <w:r>
        <w:rPr>
          <w:rFonts w:hint="eastAsia" w:ascii="仿宋_GB2312" w:hAnsi="仿宋_GB2312" w:eastAsia="仿宋_GB2312" w:cs="仿宋_GB2312"/>
          <w:b/>
          <w:color w:val="auto"/>
          <w:sz w:val="32"/>
          <w:szCs w:val="28"/>
          <w:lang w:val="en-US" w:eastAsia="zh-CN"/>
        </w:rPr>
        <w:t>【政策依据】</w:t>
      </w:r>
      <w:bookmarkEnd w:id="526"/>
      <w:bookmarkEnd w:id="527"/>
    </w:p>
    <w:p>
      <w:pPr>
        <w:spacing w:line="360" w:lineRule="auto"/>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《财政部 税务总局关于完善资源综合利用增值税政策的公告》（2021 年第 40 号）第三条、第四条</w:t>
      </w:r>
    </w:p>
    <w:p>
      <w:pPr>
        <w:spacing w:line="360" w:lineRule="auto"/>
        <w:jc w:val="both"/>
        <w:rPr>
          <w:rFonts w:hint="default" w:ascii="仿宋_GB2312" w:hAnsi="仿宋_GB2312" w:eastAsia="仿宋_GB2312" w:cs="仿宋_GB2312"/>
          <w:color w:val="auto"/>
          <w:sz w:val="32"/>
          <w:szCs w:val="32"/>
          <w:lang w:val="en-US" w:eastAsia="zh-CN"/>
        </w:rPr>
      </w:pPr>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528" w:name="_Toc27586"/>
      <w:bookmarkStart w:id="529" w:name="_Toc28219"/>
      <w:bookmarkStart w:id="530" w:name="_Toc19253"/>
      <w:r>
        <w:rPr>
          <w:rFonts w:hint="eastAsia" w:ascii="仿宋_GB2312" w:hAnsi="仿宋_GB2312" w:eastAsia="仿宋_GB2312" w:cs="仿宋_GB2312"/>
          <w:b/>
          <w:bCs w:val="0"/>
          <w:color w:val="auto"/>
          <w:kern w:val="2"/>
          <w:sz w:val="32"/>
          <w:szCs w:val="32"/>
          <w:lang w:val="en-US" w:eastAsia="zh-CN" w:bidi="ar-SA"/>
        </w:rPr>
        <w:t>47.企业购置用于环境保护、节能节水、安全生产等专用设备的投资额按一定比例实行税额抵免</w:t>
      </w:r>
      <w:bookmarkEnd w:id="528"/>
      <w:bookmarkEnd w:id="529"/>
      <w:bookmarkEnd w:id="530"/>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531" w:name="_Toc16471"/>
      <w:bookmarkStart w:id="532" w:name="_Toc19891"/>
      <w:r>
        <w:rPr>
          <w:rFonts w:hint="eastAsia" w:ascii="仿宋_GB2312" w:hAnsi="仿宋_GB2312" w:eastAsia="仿宋_GB2312" w:cs="仿宋_GB2312"/>
          <w:b/>
          <w:bCs w:val="0"/>
          <w:color w:val="auto"/>
          <w:kern w:val="2"/>
          <w:sz w:val="32"/>
          <w:szCs w:val="32"/>
          <w:lang w:val="en-US" w:eastAsia="zh-CN" w:bidi="ar-SA"/>
        </w:rPr>
        <w:t>【政策内容】</w:t>
      </w:r>
      <w:bookmarkEnd w:id="531"/>
      <w:bookmarkEnd w:id="532"/>
    </w:p>
    <w:p>
      <w:pPr>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企业购置用于环境保护、节能节水、安全生产等专用设备的投资额，可以按一定比例实行税额抵免。</w:t>
      </w:r>
    </w:p>
    <w:p>
      <w:pPr>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税额抵免，是指企业购置并实际使用《环境保护专用设备企业所得税优惠目录》、《节能节水专用设备企业所得税优惠目录》和《安全生产专用设备企业所得税优惠目录》规定的环境保护、节能节水、安全生产等专用设备的，该专用设备的投资额的10%可以从企业当年的应纳税额中抵免；当年不足抵免的，可以在以后5个纳税年度结转抵免。</w:t>
      </w:r>
    </w:p>
    <w:p>
      <w:pPr>
        <w:spacing w:line="360" w:lineRule="auto"/>
        <w:ind w:firstLine="643" w:firstLineChars="200"/>
        <w:jc w:val="both"/>
        <w:outlineLvl w:val="1"/>
        <w:rPr>
          <w:rFonts w:hint="eastAsia" w:ascii="仿宋_GB2312" w:hAnsi="仿宋_GB2312" w:eastAsia="仿宋_GB2312" w:cs="仿宋_GB2312"/>
          <w:sz w:val="32"/>
          <w:szCs w:val="32"/>
          <w:lang w:eastAsia="zh-CN"/>
        </w:rPr>
      </w:pPr>
      <w:bookmarkStart w:id="533" w:name="_Toc2448"/>
      <w:bookmarkStart w:id="534" w:name="_Toc14547"/>
      <w:r>
        <w:rPr>
          <w:rFonts w:hint="eastAsia" w:ascii="仿宋_GB2312" w:hAnsi="仿宋_GB2312" w:eastAsia="仿宋_GB2312" w:cs="仿宋_GB2312"/>
          <w:b/>
          <w:sz w:val="32"/>
          <w:szCs w:val="32"/>
          <w:lang w:eastAsia="zh-CN"/>
        </w:rPr>
        <w:t>【政策依据】</w:t>
      </w:r>
      <w:bookmarkEnd w:id="533"/>
      <w:bookmarkEnd w:id="534"/>
    </w:p>
    <w:p>
      <w:pPr>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《中华人民共和国企业所得税法》第三十四条</w:t>
      </w:r>
    </w:p>
    <w:p>
      <w:pPr>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《中华人民共和国企业所得税法实施条例》第一百条</w:t>
      </w:r>
    </w:p>
    <w:p>
      <w:pPr>
        <w:spacing w:line="360" w:lineRule="auto"/>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《财政部 国家税务总局关于执行环境保护专用设备企业所得税优惠目录节能节水专用设备企业所得税优惠目录和安全生产专用设备企业所得税优惠目录有关问题的通知》（财税〔2008〕48号）</w:t>
      </w:r>
    </w:p>
    <w:p>
      <w:pPr>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《财政部 税务总局 国家发展改革委 工业和信息化部 环境保护部关于印发节能节水和环境保护专用设备企业所得税优惠目录（2017年版）的通知》（财税〔2017〕71号）</w:t>
      </w:r>
    </w:p>
    <w:p>
      <w:pPr>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《财政部 国家税务总局 应急管理部关于印发《安全生产专用设备企业所得税优惠目录（2018年版）》的通知》（财税〔2018〕84号）</w:t>
      </w:r>
    </w:p>
    <w:p>
      <w:pPr>
        <w:spacing w:line="360" w:lineRule="auto"/>
        <w:ind w:firstLine="640" w:firstLineChars="200"/>
        <w:jc w:val="both"/>
        <w:rPr>
          <w:rFonts w:hint="default" w:ascii="仿宋_GB2312" w:hAnsi="仿宋_GB2312" w:eastAsia="仿宋_GB2312" w:cs="仿宋_GB2312"/>
          <w:sz w:val="32"/>
          <w:szCs w:val="32"/>
          <w:lang w:val="en-US" w:eastAsia="zh-CN"/>
        </w:rPr>
      </w:pPr>
    </w:p>
    <w:bookmarkEnd w:id="49"/>
    <w:bookmarkEnd w:id="50"/>
    <w:p>
      <w:pPr>
        <w:pStyle w:val="2"/>
        <w:bidi w:val="0"/>
        <w:ind w:firstLine="643" w:firstLineChars="200"/>
        <w:jc w:val="both"/>
        <w:rPr>
          <w:rFonts w:hint="eastAsia" w:ascii="黑体" w:hAnsi="黑体" w:eastAsia="黑体" w:cs="黑体"/>
          <w:b/>
          <w:bCs/>
          <w:sz w:val="32"/>
          <w:szCs w:val="32"/>
          <w:lang w:val="en-US" w:eastAsia="zh-CN"/>
        </w:rPr>
      </w:pPr>
      <w:bookmarkStart w:id="535" w:name="_Toc5384"/>
      <w:bookmarkStart w:id="536" w:name="_Toc18007"/>
      <w:bookmarkStart w:id="537" w:name="_Toc227"/>
      <w:bookmarkStart w:id="538" w:name="_Toc24159"/>
      <w:bookmarkStart w:id="539" w:name="_Toc30592"/>
      <w:r>
        <w:rPr>
          <w:rFonts w:hint="eastAsia" w:ascii="黑体" w:hAnsi="黑体" w:eastAsia="黑体" w:cs="黑体"/>
          <w:b/>
          <w:bCs/>
          <w:sz w:val="32"/>
          <w:szCs w:val="32"/>
          <w:lang w:val="en-US" w:eastAsia="zh-CN"/>
        </w:rPr>
        <w:t>四、支持金属智造行业资产重组做强做大税费优惠政策</w:t>
      </w:r>
      <w:bookmarkEnd w:id="535"/>
      <w:bookmarkEnd w:id="536"/>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540" w:name="_Toc16070"/>
      <w:bookmarkStart w:id="541" w:name="_Toc32021"/>
      <w:r>
        <w:rPr>
          <w:rFonts w:hint="eastAsia" w:ascii="仿宋_GB2312" w:hAnsi="仿宋_GB2312" w:eastAsia="仿宋_GB2312" w:cs="仿宋_GB2312"/>
          <w:b/>
          <w:bCs w:val="0"/>
          <w:color w:val="auto"/>
          <w:kern w:val="2"/>
          <w:sz w:val="32"/>
          <w:szCs w:val="32"/>
          <w:lang w:val="en-US" w:eastAsia="zh-CN" w:bidi="ar-SA"/>
        </w:rPr>
        <w:t>48纳税人资产重组有关增值税问题</w:t>
      </w:r>
      <w:bookmarkEnd w:id="540"/>
      <w:bookmarkEnd w:id="541"/>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542" w:name="_Toc6986"/>
      <w:bookmarkStart w:id="543" w:name="_Toc5935"/>
      <w:r>
        <w:rPr>
          <w:rFonts w:hint="eastAsia" w:ascii="仿宋_GB2312" w:hAnsi="仿宋_GB2312" w:eastAsia="仿宋_GB2312" w:cs="仿宋_GB2312"/>
          <w:b/>
          <w:bCs w:val="0"/>
          <w:color w:val="auto"/>
          <w:kern w:val="2"/>
          <w:sz w:val="32"/>
          <w:szCs w:val="32"/>
          <w:lang w:val="en-US" w:eastAsia="zh-CN" w:bidi="ar-SA"/>
        </w:rPr>
        <w:t>【政策内容】</w:t>
      </w:r>
      <w:bookmarkEnd w:id="542"/>
      <w:bookmarkEnd w:id="543"/>
    </w:p>
    <w:p>
      <w:pPr>
        <w:spacing w:line="360" w:lineRule="auto"/>
        <w:ind w:firstLine="642"/>
        <w:jc w:val="both"/>
        <w:rPr>
          <w:rFonts w:ascii="仿宋_GB2312" w:eastAsia="仿宋_GB2312"/>
          <w:sz w:val="32"/>
          <w:szCs w:val="32"/>
        </w:rPr>
      </w:pPr>
      <w:r>
        <w:rPr>
          <w:rFonts w:hint="eastAsia" w:ascii="仿宋_GB2312" w:eastAsia="仿宋_GB2312"/>
          <w:sz w:val="32"/>
          <w:szCs w:val="32"/>
        </w:rPr>
        <w:t>纳税人在资产重组过程中，通过合并、分立、出售、置换等方式，将全部或者部分实物资产以及与其相关联的债权、负债和劳动力一并转让给其他单位和个人，不属于增值税的征税范围，其中涉及的货物转让，不征收增值税。</w:t>
      </w:r>
    </w:p>
    <w:p>
      <w:pPr>
        <w:spacing w:line="360" w:lineRule="auto"/>
        <w:ind w:firstLine="642"/>
        <w:jc w:val="both"/>
        <w:rPr>
          <w:rFonts w:ascii="仿宋_GB2312" w:eastAsia="仿宋_GB2312"/>
          <w:sz w:val="32"/>
          <w:szCs w:val="32"/>
        </w:rPr>
      </w:pPr>
      <w:r>
        <w:rPr>
          <w:rFonts w:hint="eastAsia" w:ascii="仿宋_GB2312" w:eastAsia="仿宋_GB2312"/>
          <w:sz w:val="32"/>
          <w:szCs w:val="32"/>
        </w:rPr>
        <w:t>纳税人在资产重组过程中，通过合并、分立、出售、置换等方式，将全部或者部分实物资产以及与其相关联的债权、负债经多次转让后，最终的受让方与劳动力接收方为同一单位和个人的，仍适用 《国家税务总局关于纳税人资产重组有关增值税问题的公告》（国家税务总局公告 2011 年第 13 号） 的相关规定，其中货物的多次转让行为均不征收增值税。</w:t>
      </w:r>
    </w:p>
    <w:p>
      <w:pPr>
        <w:spacing w:line="360" w:lineRule="auto"/>
        <w:ind w:firstLine="642"/>
        <w:jc w:val="both"/>
        <w:rPr>
          <w:rFonts w:ascii="仿宋_GB2312" w:eastAsia="仿宋_GB2312"/>
          <w:sz w:val="32"/>
          <w:szCs w:val="32"/>
        </w:rPr>
      </w:pPr>
      <w:r>
        <w:rPr>
          <w:rFonts w:hint="eastAsia" w:ascii="仿宋_GB2312" w:eastAsia="仿宋_GB2312"/>
          <w:sz w:val="32"/>
          <w:szCs w:val="32"/>
        </w:rPr>
        <w:t>在资产重组过程中，通过合并、分立、出售、置换等方式，将全部或者部分实物资产以及与其相关联的债权、负债和劳动力一并转让给其他单位和个人，其中涉及的不动产、土地使用权转让行为，不征收增值税。</w:t>
      </w:r>
    </w:p>
    <w:p>
      <w:pPr>
        <w:spacing w:line="360" w:lineRule="auto"/>
        <w:ind w:firstLine="642"/>
        <w:jc w:val="both"/>
        <w:outlineLvl w:val="2"/>
        <w:rPr>
          <w:rFonts w:hint="eastAsia" w:ascii="仿宋_GB2312" w:eastAsia="仿宋_GB2312"/>
          <w:sz w:val="28"/>
          <w:szCs w:val="28"/>
          <w:lang w:eastAsia="zh-CN"/>
        </w:rPr>
      </w:pPr>
      <w:bookmarkStart w:id="544" w:name="_Toc16477"/>
      <w:bookmarkStart w:id="545" w:name="_Toc14676"/>
      <w:r>
        <w:rPr>
          <w:rFonts w:hint="eastAsia" w:ascii="仿宋_GB2312" w:eastAsia="仿宋_GB2312"/>
          <w:b/>
          <w:sz w:val="32"/>
          <w:szCs w:val="28"/>
          <w:lang w:eastAsia="zh-CN"/>
        </w:rPr>
        <w:t>【政策依据】</w:t>
      </w:r>
      <w:bookmarkEnd w:id="544"/>
      <w:bookmarkEnd w:id="545"/>
    </w:p>
    <w:p>
      <w:pPr>
        <w:spacing w:line="360" w:lineRule="auto"/>
        <w:ind w:firstLine="642"/>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《国家税务总局关于纳税人资产重组有关增值税问题的公告》（国家税务总局公告 2011 年第 13 号）</w:t>
      </w:r>
    </w:p>
    <w:p>
      <w:pPr>
        <w:spacing w:line="360" w:lineRule="auto"/>
        <w:ind w:firstLine="642"/>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《国家税务总局关于纳税人资产重组有关增值税问题的公告》（国家税务总局公告 2013 年第 66 号）</w:t>
      </w:r>
    </w:p>
    <w:p>
      <w:pPr>
        <w:spacing w:line="360" w:lineRule="auto"/>
        <w:ind w:firstLine="642"/>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《财政部 国家税务总局关于全面推开营业税改征增值税试点的通知》</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sz w:val="32"/>
          <w:szCs w:val="32"/>
        </w:rPr>
        <w:t>财税2016年36号文附件2）第一条第（二）项</w:t>
      </w:r>
    </w:p>
    <w:p>
      <w:pPr>
        <w:spacing w:line="360" w:lineRule="auto"/>
        <w:jc w:val="both"/>
        <w:rPr>
          <w:rFonts w:hint="eastAsia" w:ascii="仿宋_GB2312" w:hAnsi="仿宋_GB2312" w:eastAsia="仿宋_GB2312" w:cs="仿宋_GB2312"/>
          <w:sz w:val="32"/>
          <w:szCs w:val="32"/>
          <w:lang w:val="en-US" w:eastAsia="zh-CN"/>
        </w:rPr>
      </w:pPr>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546" w:name="_Toc4685"/>
      <w:bookmarkStart w:id="547" w:name="_Toc16187"/>
      <w:r>
        <w:rPr>
          <w:rFonts w:hint="eastAsia" w:ascii="仿宋_GB2312" w:hAnsi="仿宋_GB2312" w:eastAsia="仿宋_GB2312" w:cs="仿宋_GB2312"/>
          <w:b/>
          <w:bCs w:val="0"/>
          <w:color w:val="auto"/>
          <w:kern w:val="2"/>
          <w:sz w:val="32"/>
          <w:szCs w:val="32"/>
          <w:lang w:val="en-US" w:eastAsia="zh-CN" w:bidi="ar-SA"/>
        </w:rPr>
        <w:t>49.企业重组所得税特殊性税务处理</w:t>
      </w:r>
      <w:bookmarkEnd w:id="546"/>
      <w:bookmarkEnd w:id="547"/>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548" w:name="_Toc31898"/>
      <w:bookmarkStart w:id="549" w:name="_Toc28535"/>
      <w:r>
        <w:rPr>
          <w:rFonts w:hint="eastAsia" w:ascii="仿宋_GB2312" w:hAnsi="仿宋_GB2312" w:eastAsia="仿宋_GB2312" w:cs="仿宋_GB2312"/>
          <w:b/>
          <w:bCs w:val="0"/>
          <w:color w:val="auto"/>
          <w:kern w:val="2"/>
          <w:sz w:val="32"/>
          <w:szCs w:val="32"/>
          <w:lang w:val="en-US" w:eastAsia="zh-CN" w:bidi="ar-SA"/>
        </w:rPr>
        <w:t>【政策内容】</w:t>
      </w:r>
      <w:bookmarkEnd w:id="548"/>
      <w:bookmarkEnd w:id="549"/>
    </w:p>
    <w:p>
      <w:pPr>
        <w:keepNext w:val="0"/>
        <w:keepLines w:val="0"/>
        <w:pageBreakBefore w:val="0"/>
        <w:widowControl w:val="0"/>
        <w:kinsoku/>
        <w:wordWrap/>
        <w:overflowPunct/>
        <w:topLinePunct w:val="0"/>
        <w:autoSpaceDE/>
        <w:autoSpaceDN/>
        <w:bidi w:val="0"/>
        <w:adjustRightInd/>
        <w:snapToGrid/>
        <w:spacing w:line="360" w:lineRule="auto"/>
        <w:ind w:firstLine="641"/>
        <w:jc w:val="both"/>
        <w:textAlignment w:val="auto"/>
        <w:rPr>
          <w:rFonts w:ascii="仿宋_GB2312" w:eastAsia="仿宋_GB2312"/>
          <w:sz w:val="32"/>
          <w:szCs w:val="32"/>
        </w:rPr>
      </w:pPr>
      <w:r>
        <w:rPr>
          <w:rFonts w:hint="eastAsia" w:ascii="仿宋_GB2312" w:eastAsia="仿宋_GB2312"/>
          <w:sz w:val="32"/>
          <w:szCs w:val="32"/>
        </w:rPr>
        <w:t>企业重组同时符合下列条件的，适用特殊性税务处理规定：</w:t>
      </w:r>
    </w:p>
    <w:p>
      <w:pPr>
        <w:keepNext w:val="0"/>
        <w:keepLines w:val="0"/>
        <w:pageBreakBefore w:val="0"/>
        <w:widowControl w:val="0"/>
        <w:kinsoku/>
        <w:wordWrap/>
        <w:overflowPunct/>
        <w:topLinePunct w:val="0"/>
        <w:autoSpaceDE/>
        <w:autoSpaceDN/>
        <w:bidi w:val="0"/>
        <w:adjustRightInd/>
        <w:snapToGrid/>
        <w:spacing w:line="360" w:lineRule="auto"/>
        <w:ind w:firstLine="641"/>
        <w:jc w:val="both"/>
        <w:textAlignment w:val="auto"/>
        <w:rPr>
          <w:rFonts w:ascii="仿宋_GB2312" w:eastAsia="仿宋_GB2312"/>
          <w:sz w:val="32"/>
          <w:szCs w:val="32"/>
        </w:rPr>
      </w:pPr>
      <w:r>
        <w:rPr>
          <w:rFonts w:hint="eastAsia" w:ascii="仿宋_GB2312" w:eastAsia="仿宋_GB2312"/>
          <w:sz w:val="32"/>
          <w:szCs w:val="32"/>
        </w:rPr>
        <w:t>具有合理的商业目的，且不以减少、免除或者推迟缴纳税款为主要目的。</w:t>
      </w:r>
    </w:p>
    <w:p>
      <w:pPr>
        <w:keepNext w:val="0"/>
        <w:keepLines w:val="0"/>
        <w:pageBreakBefore w:val="0"/>
        <w:widowControl w:val="0"/>
        <w:kinsoku/>
        <w:wordWrap/>
        <w:overflowPunct/>
        <w:topLinePunct w:val="0"/>
        <w:autoSpaceDE/>
        <w:autoSpaceDN/>
        <w:bidi w:val="0"/>
        <w:adjustRightInd/>
        <w:snapToGrid/>
        <w:spacing w:line="360" w:lineRule="auto"/>
        <w:ind w:firstLine="641"/>
        <w:jc w:val="both"/>
        <w:textAlignment w:val="auto"/>
        <w:rPr>
          <w:rFonts w:ascii="仿宋_GB2312" w:eastAsia="仿宋_GB2312"/>
          <w:sz w:val="32"/>
          <w:szCs w:val="32"/>
        </w:rPr>
      </w:pPr>
      <w:r>
        <w:rPr>
          <w:rFonts w:hint="eastAsia" w:ascii="仿宋_GB2312" w:eastAsia="仿宋_GB2312"/>
          <w:sz w:val="32"/>
          <w:szCs w:val="32"/>
        </w:rPr>
        <w:t>被收购、合并或分立部分的资产或股权比例符合本通知规定的比例。</w:t>
      </w:r>
    </w:p>
    <w:p>
      <w:pPr>
        <w:keepNext w:val="0"/>
        <w:keepLines w:val="0"/>
        <w:pageBreakBefore w:val="0"/>
        <w:widowControl w:val="0"/>
        <w:kinsoku/>
        <w:wordWrap/>
        <w:overflowPunct/>
        <w:topLinePunct w:val="0"/>
        <w:autoSpaceDE/>
        <w:autoSpaceDN/>
        <w:bidi w:val="0"/>
        <w:adjustRightInd/>
        <w:snapToGrid/>
        <w:spacing w:line="360" w:lineRule="auto"/>
        <w:ind w:firstLine="641"/>
        <w:jc w:val="both"/>
        <w:textAlignment w:val="auto"/>
        <w:rPr>
          <w:rFonts w:ascii="仿宋_GB2312" w:eastAsia="仿宋_GB2312"/>
          <w:sz w:val="32"/>
          <w:szCs w:val="32"/>
        </w:rPr>
      </w:pPr>
      <w:r>
        <w:rPr>
          <w:rFonts w:hint="eastAsia" w:ascii="仿宋_GB2312" w:eastAsia="仿宋_GB2312"/>
          <w:sz w:val="32"/>
          <w:szCs w:val="32"/>
        </w:rPr>
        <w:t>企业重组后的连续12个月内不改变重组资产原来的实质性经营活动。</w:t>
      </w:r>
    </w:p>
    <w:p>
      <w:pPr>
        <w:keepNext w:val="0"/>
        <w:keepLines w:val="0"/>
        <w:pageBreakBefore w:val="0"/>
        <w:widowControl w:val="0"/>
        <w:kinsoku/>
        <w:wordWrap/>
        <w:overflowPunct/>
        <w:topLinePunct w:val="0"/>
        <w:autoSpaceDE/>
        <w:autoSpaceDN/>
        <w:bidi w:val="0"/>
        <w:adjustRightInd/>
        <w:snapToGrid/>
        <w:spacing w:line="360" w:lineRule="auto"/>
        <w:ind w:firstLine="641"/>
        <w:jc w:val="both"/>
        <w:textAlignment w:val="auto"/>
        <w:rPr>
          <w:rFonts w:ascii="仿宋_GB2312" w:eastAsia="仿宋_GB2312"/>
          <w:sz w:val="32"/>
          <w:szCs w:val="32"/>
        </w:rPr>
      </w:pPr>
      <w:r>
        <w:rPr>
          <w:rFonts w:hint="eastAsia" w:ascii="仿宋_GB2312" w:eastAsia="仿宋_GB2312"/>
          <w:sz w:val="32"/>
          <w:szCs w:val="32"/>
        </w:rPr>
        <w:t>重组交易对价中涉及股权支付金额符合本通知规定比例。</w:t>
      </w:r>
    </w:p>
    <w:p>
      <w:pPr>
        <w:keepNext w:val="0"/>
        <w:keepLines w:val="0"/>
        <w:pageBreakBefore w:val="0"/>
        <w:widowControl w:val="0"/>
        <w:kinsoku/>
        <w:wordWrap/>
        <w:overflowPunct/>
        <w:topLinePunct w:val="0"/>
        <w:autoSpaceDE/>
        <w:autoSpaceDN/>
        <w:bidi w:val="0"/>
        <w:adjustRightInd/>
        <w:snapToGrid/>
        <w:spacing w:line="360" w:lineRule="auto"/>
        <w:ind w:firstLine="641"/>
        <w:jc w:val="both"/>
        <w:textAlignment w:val="auto"/>
        <w:rPr>
          <w:rFonts w:ascii="仿宋_GB2312" w:eastAsia="仿宋_GB2312"/>
          <w:sz w:val="32"/>
          <w:szCs w:val="32"/>
        </w:rPr>
      </w:pPr>
      <w:r>
        <w:rPr>
          <w:rFonts w:hint="eastAsia" w:ascii="仿宋_GB2312" w:eastAsia="仿宋_GB2312"/>
          <w:sz w:val="32"/>
          <w:szCs w:val="32"/>
        </w:rPr>
        <w:t>企业重组中取得股权支付的原主要股东，在重组后连续12个月内，不得转让所取得的股权。</w:t>
      </w:r>
    </w:p>
    <w:p>
      <w:pPr>
        <w:spacing w:line="360" w:lineRule="auto"/>
        <w:ind w:firstLine="642"/>
        <w:jc w:val="both"/>
        <w:rPr>
          <w:rFonts w:ascii="仿宋_GB2312" w:eastAsia="仿宋_GB2312"/>
          <w:sz w:val="32"/>
          <w:szCs w:val="32"/>
        </w:rPr>
      </w:pPr>
      <w:r>
        <w:rPr>
          <w:rFonts w:hint="eastAsia" w:ascii="仿宋_GB2312" w:eastAsia="仿宋_GB2312"/>
          <w:sz w:val="32"/>
          <w:szCs w:val="32"/>
        </w:rPr>
        <w:t>企业重组符合上述规定条件的，交易各方对其交易中的股权支付部分，可以按以下规定进行特殊性税务处理：</w:t>
      </w:r>
    </w:p>
    <w:p>
      <w:pPr>
        <w:spacing w:line="360" w:lineRule="auto"/>
        <w:ind w:firstLine="642"/>
        <w:jc w:val="both"/>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债务重组：企业债务重组确认的应纳税所得额占该企业当年应纳税所得额50%以上，可以在5个纳税年度的期间内，均匀计入各年度的应纳税所得额。企业发生债权转股权业务，对债务清偿和股权投资两项业务暂不确认有关债务清偿所得或损失，股权投资的计税基础以原债权的计税基础确定。企业的其他相关所得税事项保持不变。</w:t>
      </w:r>
    </w:p>
    <w:p>
      <w:pPr>
        <w:spacing w:line="360" w:lineRule="auto"/>
        <w:ind w:firstLine="642"/>
        <w:jc w:val="both"/>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rPr>
        <w:t>股权收购：收购企业购买的股权不低于被收购企业全部股权的50%，且收购企业在该股权收购发生时的股权支付金额不低于其交易支付总额的85%，可以选择按以下规定处理：</w:t>
      </w:r>
    </w:p>
    <w:p>
      <w:pPr>
        <w:spacing w:line="360" w:lineRule="auto"/>
        <w:ind w:firstLine="642"/>
        <w:jc w:val="both"/>
        <w:rPr>
          <w:rFonts w:ascii="仿宋_GB2312" w:eastAsia="仿宋_GB2312"/>
          <w:sz w:val="32"/>
          <w:szCs w:val="32"/>
        </w:rPr>
      </w:pPr>
      <w:r>
        <w:rPr>
          <w:rFonts w:hint="eastAsia" w:ascii="仿宋_GB2312" w:eastAsia="仿宋_GB2312"/>
          <w:sz w:val="32"/>
          <w:szCs w:val="32"/>
        </w:rPr>
        <w:t>被收购企业的股东取得收购企业股权的计税基础，以被收购股权的原有计税基础确定。</w:t>
      </w:r>
    </w:p>
    <w:p>
      <w:pPr>
        <w:spacing w:line="360" w:lineRule="auto"/>
        <w:ind w:firstLine="642"/>
        <w:jc w:val="both"/>
        <w:rPr>
          <w:rFonts w:ascii="仿宋_GB2312" w:eastAsia="仿宋_GB2312"/>
          <w:sz w:val="32"/>
          <w:szCs w:val="32"/>
        </w:rPr>
      </w:pPr>
      <w:r>
        <w:rPr>
          <w:rFonts w:hint="eastAsia" w:ascii="仿宋_GB2312" w:eastAsia="仿宋_GB2312"/>
          <w:sz w:val="32"/>
          <w:szCs w:val="32"/>
        </w:rPr>
        <w:t>收购企业取得被收购企业股权的计税基础，以被收购股权的原有计税基础确定。</w:t>
      </w:r>
    </w:p>
    <w:p>
      <w:pPr>
        <w:spacing w:line="360" w:lineRule="auto"/>
        <w:ind w:firstLine="642"/>
        <w:jc w:val="both"/>
        <w:rPr>
          <w:rFonts w:ascii="仿宋_GB2312" w:eastAsia="仿宋_GB2312"/>
          <w:sz w:val="32"/>
          <w:szCs w:val="32"/>
        </w:rPr>
      </w:pPr>
      <w:r>
        <w:rPr>
          <w:rFonts w:hint="eastAsia" w:ascii="仿宋_GB2312" w:eastAsia="仿宋_GB2312"/>
          <w:sz w:val="32"/>
          <w:szCs w:val="32"/>
        </w:rPr>
        <w:t>收购企业、被收购企业的原有各项资产和负债的计税基础和其他相关所得税事项保持不变。</w:t>
      </w:r>
    </w:p>
    <w:p>
      <w:pPr>
        <w:spacing w:line="360" w:lineRule="auto"/>
        <w:ind w:firstLine="642"/>
        <w:jc w:val="both"/>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w:t>
      </w:r>
      <w:r>
        <w:rPr>
          <w:rFonts w:hint="eastAsia" w:ascii="仿宋_GB2312" w:eastAsia="仿宋_GB2312"/>
          <w:sz w:val="32"/>
          <w:szCs w:val="32"/>
        </w:rPr>
        <w:t>资产收购：受让企业收购的资产不低于转让企业全部资产的50%，且受让企业在该资产收购发生时的股权支付金额不低于其交易支付总额的85%，可以选择按以下规定处理：</w:t>
      </w:r>
    </w:p>
    <w:p>
      <w:pPr>
        <w:spacing w:line="360" w:lineRule="auto"/>
        <w:ind w:firstLine="642"/>
        <w:jc w:val="both"/>
        <w:rPr>
          <w:rFonts w:ascii="仿宋_GB2312" w:eastAsia="仿宋_GB2312"/>
          <w:sz w:val="32"/>
          <w:szCs w:val="32"/>
        </w:rPr>
      </w:pPr>
      <w:r>
        <w:rPr>
          <w:rFonts w:hint="eastAsia" w:ascii="仿宋_GB2312" w:eastAsia="仿宋_GB2312"/>
          <w:sz w:val="32"/>
          <w:szCs w:val="32"/>
        </w:rPr>
        <w:t>转让企业取得受让企业股权的计税基础，以被转让资产的原有计税基础确定。</w:t>
      </w:r>
    </w:p>
    <w:p>
      <w:pPr>
        <w:spacing w:line="360" w:lineRule="auto"/>
        <w:ind w:firstLine="642"/>
        <w:jc w:val="both"/>
        <w:rPr>
          <w:rFonts w:ascii="仿宋_GB2312" w:eastAsia="仿宋_GB2312"/>
          <w:sz w:val="32"/>
          <w:szCs w:val="32"/>
        </w:rPr>
      </w:pPr>
      <w:r>
        <w:rPr>
          <w:rFonts w:hint="eastAsia" w:ascii="仿宋_GB2312" w:eastAsia="仿宋_GB2312"/>
          <w:sz w:val="32"/>
          <w:szCs w:val="32"/>
        </w:rPr>
        <w:t>受让企业取得转让企业资产的计税基础，以被转让资产的原有计税基础确定。</w:t>
      </w:r>
    </w:p>
    <w:p>
      <w:pPr>
        <w:spacing w:line="360" w:lineRule="auto"/>
        <w:ind w:firstLine="642"/>
        <w:jc w:val="both"/>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企业合并：企业股东在该企业合并发生时取得的股权支付金额不低于其交易支付总额的85%，以及同一控制下且不需要支付对价的企业合并，可以选择按以下规定处理：</w:t>
      </w:r>
    </w:p>
    <w:p>
      <w:pPr>
        <w:spacing w:line="360" w:lineRule="auto"/>
        <w:ind w:firstLine="642"/>
        <w:jc w:val="both"/>
        <w:rPr>
          <w:rFonts w:ascii="仿宋_GB2312" w:eastAsia="仿宋_GB2312"/>
          <w:sz w:val="32"/>
          <w:szCs w:val="32"/>
        </w:rPr>
      </w:pPr>
      <w:r>
        <w:rPr>
          <w:rFonts w:hint="eastAsia" w:ascii="仿宋_GB2312" w:eastAsia="仿宋_GB2312"/>
          <w:sz w:val="32"/>
          <w:szCs w:val="32"/>
        </w:rPr>
        <w:t>合并企业接受被合并企业资产和负债的计税基础，以被合并企业的原有计税基础确定。</w:t>
      </w:r>
    </w:p>
    <w:p>
      <w:pPr>
        <w:spacing w:line="360" w:lineRule="auto"/>
        <w:ind w:firstLine="642"/>
        <w:jc w:val="both"/>
        <w:rPr>
          <w:rFonts w:ascii="仿宋_GB2312" w:eastAsia="仿宋_GB2312"/>
          <w:sz w:val="32"/>
          <w:szCs w:val="32"/>
        </w:rPr>
      </w:pPr>
      <w:r>
        <w:rPr>
          <w:rFonts w:hint="eastAsia" w:ascii="仿宋_GB2312" w:eastAsia="仿宋_GB2312"/>
          <w:sz w:val="32"/>
          <w:szCs w:val="32"/>
        </w:rPr>
        <w:t>被合并企业合并前的相关所得税事项由合并企业承继。</w:t>
      </w:r>
    </w:p>
    <w:p>
      <w:pPr>
        <w:spacing w:line="360" w:lineRule="auto"/>
        <w:ind w:firstLine="642"/>
        <w:jc w:val="both"/>
        <w:rPr>
          <w:rFonts w:ascii="仿宋_GB2312" w:eastAsia="仿宋_GB2312"/>
          <w:sz w:val="32"/>
          <w:szCs w:val="32"/>
        </w:rPr>
      </w:pPr>
      <w:r>
        <w:rPr>
          <w:rFonts w:hint="eastAsia" w:ascii="仿宋_GB2312" w:eastAsia="仿宋_GB2312"/>
          <w:sz w:val="32"/>
          <w:szCs w:val="32"/>
        </w:rPr>
        <w:t>可由合并企业弥补的被合并企业亏损的限额=被合并企业净资产公允价值×截至合并业务发生当年年末国家发行的最长期限的国债利率。</w:t>
      </w:r>
    </w:p>
    <w:p>
      <w:pPr>
        <w:spacing w:line="360" w:lineRule="auto"/>
        <w:ind w:firstLine="642"/>
        <w:jc w:val="both"/>
        <w:rPr>
          <w:rFonts w:ascii="仿宋_GB2312" w:eastAsia="仿宋_GB2312"/>
          <w:sz w:val="32"/>
          <w:szCs w:val="32"/>
        </w:rPr>
      </w:pPr>
      <w:r>
        <w:rPr>
          <w:rFonts w:hint="eastAsia" w:ascii="仿宋_GB2312" w:eastAsia="仿宋_GB2312"/>
          <w:sz w:val="32"/>
          <w:szCs w:val="32"/>
        </w:rPr>
        <w:t>被合并企业股东取得合并企业股权的计税基础，以其原持有的被合并企业股权的计税基础确定。</w:t>
      </w:r>
    </w:p>
    <w:p>
      <w:pPr>
        <w:spacing w:line="360" w:lineRule="auto"/>
        <w:ind w:firstLine="642"/>
        <w:jc w:val="both"/>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企业分立：和被分立企业均不改变原来的实质经营活动，且被分立企业股东在该企业分立发生时取得的股权支付金额不低于其交易支付总额的85%，可以选择按以下规定处理：</w:t>
      </w:r>
    </w:p>
    <w:p>
      <w:pPr>
        <w:spacing w:line="360" w:lineRule="auto"/>
        <w:ind w:firstLine="642"/>
        <w:jc w:val="both"/>
        <w:rPr>
          <w:rFonts w:ascii="仿宋_GB2312" w:eastAsia="仿宋_GB2312"/>
          <w:sz w:val="32"/>
          <w:szCs w:val="32"/>
        </w:rPr>
      </w:pPr>
      <w:r>
        <w:rPr>
          <w:rFonts w:hint="eastAsia" w:ascii="仿宋_GB2312" w:eastAsia="仿宋_GB2312"/>
          <w:sz w:val="32"/>
          <w:szCs w:val="32"/>
        </w:rPr>
        <w:t>分立企业接受被分立企业资产和负债的计税基础，以被分立企业的原有计税基础确定。</w:t>
      </w:r>
    </w:p>
    <w:p>
      <w:pPr>
        <w:spacing w:line="360" w:lineRule="auto"/>
        <w:ind w:firstLine="642"/>
        <w:jc w:val="both"/>
        <w:rPr>
          <w:rFonts w:ascii="仿宋_GB2312" w:eastAsia="仿宋_GB2312"/>
          <w:sz w:val="32"/>
          <w:szCs w:val="32"/>
        </w:rPr>
      </w:pPr>
      <w:r>
        <w:rPr>
          <w:rFonts w:hint="eastAsia" w:ascii="仿宋_GB2312" w:eastAsia="仿宋_GB2312"/>
          <w:sz w:val="32"/>
          <w:szCs w:val="32"/>
        </w:rPr>
        <w:t>被分立企业已分立出去资产相应的所得税事项由分立企业承继。</w:t>
      </w:r>
    </w:p>
    <w:p>
      <w:pPr>
        <w:spacing w:line="360" w:lineRule="auto"/>
        <w:ind w:firstLine="642"/>
        <w:jc w:val="both"/>
        <w:rPr>
          <w:rFonts w:ascii="仿宋_GB2312" w:eastAsia="仿宋_GB2312"/>
          <w:sz w:val="32"/>
          <w:szCs w:val="32"/>
        </w:rPr>
      </w:pPr>
      <w:r>
        <w:rPr>
          <w:rFonts w:hint="eastAsia" w:ascii="仿宋_GB2312" w:eastAsia="仿宋_GB2312"/>
          <w:sz w:val="32"/>
          <w:szCs w:val="32"/>
        </w:rPr>
        <w:t>被分立企业未超过法定弥补期限的亏损额可按分立资产占全部资产的比例进行分配，由分立企业继续弥补。</w:t>
      </w:r>
    </w:p>
    <w:p>
      <w:pPr>
        <w:spacing w:line="360" w:lineRule="auto"/>
        <w:ind w:firstLine="642"/>
        <w:jc w:val="both"/>
        <w:rPr>
          <w:rFonts w:ascii="仿宋_GB2312" w:eastAsia="仿宋_GB2312"/>
          <w:sz w:val="32"/>
          <w:szCs w:val="32"/>
        </w:rPr>
      </w:pPr>
      <w:r>
        <w:rPr>
          <w:rFonts w:hint="eastAsia" w:ascii="仿宋_GB2312" w:eastAsia="仿宋_GB2312"/>
          <w:sz w:val="32"/>
          <w:szCs w:val="32"/>
        </w:rPr>
        <w:t>被分立企业的股东取得分立企业的股权（以下简称“新股”），如需部分或全部放弃原持有的被分立企业的股权（以下简称“旧股”），“新股”的计税基础应以放弃“旧股”的计税基础确定。如不需放弃“旧股”，则其取得“新股”的计税基础可从以下两种方法中选择确定：直接将“新股”的计税基础确定为零；或者以被分立企业分立出去的净资产占被分立企业全部净资产的比例先调减原持有的“旧股”的计税基础，再将调减的计税基础平均分配到“新股”上。</w:t>
      </w:r>
    </w:p>
    <w:p>
      <w:pPr>
        <w:spacing w:line="360" w:lineRule="auto"/>
        <w:ind w:firstLine="642"/>
        <w:jc w:val="both"/>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关于股权、资产划转：对100%直接控制的居民企业之间，以及受同一或相同多家居民企业100%直接控制的居民企业之间按账面净值划转股权或资产，凡具有合理商业目的、不以减少、免除或者推迟缴纳税款为主要目的，股权或资产划转后连续12个月内不改变被划转股权或资产原来实质性经营活动， 且划出方企业和划入方企业均未在会计上确认损益的， 可以选择按以下规定进行特殊性税务处理：</w:t>
      </w:r>
    </w:p>
    <w:p>
      <w:pPr>
        <w:spacing w:line="360" w:lineRule="auto"/>
        <w:ind w:firstLine="642"/>
        <w:jc w:val="both"/>
        <w:rPr>
          <w:rFonts w:ascii="仿宋_GB2312" w:eastAsia="仿宋_GB2312"/>
          <w:sz w:val="32"/>
          <w:szCs w:val="32"/>
        </w:rPr>
      </w:pPr>
      <w:r>
        <w:rPr>
          <w:rFonts w:hint="eastAsia" w:ascii="仿宋_GB2312" w:eastAsia="仿宋_GB2312"/>
          <w:sz w:val="32"/>
          <w:szCs w:val="32"/>
        </w:rPr>
        <w:t>划出方企业和划入方企业均不确认所得。</w:t>
      </w:r>
    </w:p>
    <w:p>
      <w:pPr>
        <w:spacing w:line="360" w:lineRule="auto"/>
        <w:ind w:firstLine="642"/>
        <w:jc w:val="both"/>
        <w:rPr>
          <w:rFonts w:ascii="仿宋_GB2312" w:eastAsia="仿宋_GB2312"/>
          <w:sz w:val="32"/>
          <w:szCs w:val="32"/>
        </w:rPr>
      </w:pPr>
      <w:r>
        <w:rPr>
          <w:rFonts w:hint="eastAsia" w:ascii="仿宋_GB2312" w:eastAsia="仿宋_GB2312"/>
          <w:sz w:val="32"/>
          <w:szCs w:val="32"/>
        </w:rPr>
        <w:t>划入方企业取得被划转股权或资产的计税基础，以被划转股权或资产的原账面净值确定。</w:t>
      </w:r>
    </w:p>
    <w:p>
      <w:pPr>
        <w:spacing w:line="360" w:lineRule="auto"/>
        <w:ind w:firstLine="642"/>
        <w:jc w:val="both"/>
        <w:rPr>
          <w:rFonts w:ascii="仿宋_GB2312" w:eastAsia="仿宋_GB2312"/>
          <w:sz w:val="32"/>
          <w:szCs w:val="32"/>
        </w:rPr>
      </w:pPr>
      <w:r>
        <w:rPr>
          <w:rFonts w:hint="eastAsia" w:ascii="仿宋_GB2312" w:eastAsia="仿宋_GB2312"/>
          <w:sz w:val="32"/>
          <w:szCs w:val="32"/>
        </w:rPr>
        <w:t>划入方企业取得的被划转资产，应按其原账面净值计算折旧扣除。</w:t>
      </w:r>
    </w:p>
    <w:p>
      <w:pPr>
        <w:spacing w:line="360" w:lineRule="auto"/>
        <w:ind w:firstLine="642"/>
        <w:jc w:val="both"/>
        <w:outlineLvl w:val="2"/>
        <w:rPr>
          <w:rFonts w:hint="eastAsia" w:ascii="仿宋_GB2312" w:eastAsia="仿宋_GB2312"/>
          <w:sz w:val="28"/>
          <w:szCs w:val="28"/>
          <w:lang w:eastAsia="zh-CN"/>
        </w:rPr>
      </w:pPr>
      <w:bookmarkStart w:id="550" w:name="_Toc15780"/>
      <w:bookmarkStart w:id="551" w:name="_Toc17438"/>
      <w:r>
        <w:rPr>
          <w:rFonts w:hint="eastAsia" w:ascii="仿宋_GB2312" w:eastAsia="仿宋_GB2312"/>
          <w:b/>
          <w:sz w:val="32"/>
          <w:szCs w:val="28"/>
          <w:lang w:eastAsia="zh-CN"/>
        </w:rPr>
        <w:t>【政策依据】</w:t>
      </w:r>
      <w:bookmarkEnd w:id="550"/>
      <w:bookmarkEnd w:id="551"/>
    </w:p>
    <w:p>
      <w:pPr>
        <w:spacing w:line="360" w:lineRule="auto"/>
        <w:ind w:firstLine="642"/>
        <w:jc w:val="both"/>
        <w:rPr>
          <w:rFonts w:hint="eastAsia" w:ascii="仿宋_GB2312" w:eastAsia="仿宋_GB2312"/>
          <w:sz w:val="32"/>
          <w:szCs w:val="32"/>
          <w:lang w:eastAsia="zh-CN"/>
        </w:rPr>
      </w:pPr>
      <w:r>
        <w:rPr>
          <w:rFonts w:hint="eastAsia" w:ascii="仿宋_GB2312" w:eastAsia="仿宋_GB2312"/>
          <w:sz w:val="32"/>
          <w:szCs w:val="32"/>
        </w:rPr>
        <w:t>《财政部 国家税务总局关于企业重组业务企业所得税处理若干问题的通知》（财税〔2009〕 59 号）</w:t>
      </w:r>
    </w:p>
    <w:p>
      <w:pPr>
        <w:spacing w:line="360" w:lineRule="auto"/>
        <w:ind w:firstLine="640" w:firstLineChars="200"/>
        <w:jc w:val="both"/>
        <w:rPr>
          <w:rFonts w:ascii="仿宋_GB2312" w:eastAsia="仿宋_GB2312"/>
          <w:sz w:val="32"/>
          <w:szCs w:val="32"/>
        </w:rPr>
      </w:pPr>
      <w:r>
        <w:rPr>
          <w:rFonts w:hint="eastAsia" w:ascii="仿宋_GB2312" w:eastAsia="仿宋_GB2312"/>
          <w:sz w:val="32"/>
          <w:szCs w:val="32"/>
        </w:rPr>
        <w:t>《国家税务总局关于发布《企业重组业务企业所得税管理办法》的公告》（国家税务总局公告 2010 年第 4 号）</w:t>
      </w:r>
    </w:p>
    <w:p>
      <w:pPr>
        <w:spacing w:line="360" w:lineRule="auto"/>
        <w:ind w:firstLine="642"/>
        <w:jc w:val="both"/>
        <w:rPr>
          <w:rFonts w:hint="eastAsia" w:ascii="仿宋_GB2312" w:eastAsia="仿宋_GB2312"/>
          <w:sz w:val="32"/>
          <w:szCs w:val="32"/>
          <w:lang w:eastAsia="zh-CN"/>
        </w:rPr>
      </w:pPr>
      <w:r>
        <w:rPr>
          <w:rFonts w:hint="eastAsia" w:ascii="仿宋_GB2312" w:eastAsia="仿宋_GB2312"/>
          <w:sz w:val="32"/>
          <w:szCs w:val="32"/>
        </w:rPr>
        <w:t>《财政部 国家税务总局关于促进企业重组有关企业所得税处理问题的通知》（财税〔2014〕 109 号）</w:t>
      </w:r>
    </w:p>
    <w:p>
      <w:pPr>
        <w:spacing w:line="360" w:lineRule="auto"/>
        <w:ind w:firstLine="642"/>
        <w:jc w:val="both"/>
        <w:rPr>
          <w:rFonts w:hint="eastAsia" w:ascii="仿宋_GB2312" w:eastAsia="仿宋_GB2312"/>
          <w:sz w:val="32"/>
          <w:szCs w:val="32"/>
          <w:lang w:eastAsia="zh-CN"/>
        </w:rPr>
      </w:pPr>
      <w:r>
        <w:rPr>
          <w:rFonts w:hint="eastAsia" w:ascii="仿宋_GB2312" w:eastAsia="仿宋_GB2312"/>
          <w:sz w:val="32"/>
          <w:szCs w:val="32"/>
        </w:rPr>
        <w:t>《国家税务总局关于资产（股权）划转企业所得税征管问题的公告》（国家税务总局公告 2015 年第 40 号）</w:t>
      </w:r>
    </w:p>
    <w:p>
      <w:pPr>
        <w:spacing w:line="360" w:lineRule="auto"/>
        <w:ind w:firstLine="642"/>
        <w:jc w:val="both"/>
        <w:rPr>
          <w:rFonts w:hint="eastAsia" w:ascii="仿宋_GB2312" w:eastAsia="仿宋_GB2312"/>
          <w:sz w:val="32"/>
          <w:szCs w:val="32"/>
          <w:lang w:eastAsia="zh-CN"/>
        </w:rPr>
      </w:pPr>
      <w:r>
        <w:rPr>
          <w:rFonts w:hint="eastAsia" w:ascii="仿宋_GB2312" w:eastAsia="仿宋_GB2312"/>
          <w:sz w:val="32"/>
          <w:szCs w:val="32"/>
        </w:rPr>
        <w:t>《国家税务总局关于企业重组业务企业所得税征收管理若干问题的公告》（国家税务总局公告 2015 年第 48 号）</w:t>
      </w:r>
    </w:p>
    <w:p>
      <w:pPr>
        <w:numPr>
          <w:ilvl w:val="0"/>
          <w:numId w:val="0"/>
        </w:numPr>
        <w:spacing w:line="360" w:lineRule="auto"/>
        <w:ind w:firstLine="640" w:firstLineChars="200"/>
        <w:jc w:val="both"/>
        <w:outlineLvl w:val="1"/>
        <w:rPr>
          <w:rFonts w:hint="eastAsia" w:ascii="仿宋_GB2312" w:eastAsia="仿宋_GB2312"/>
          <w:sz w:val="32"/>
          <w:szCs w:val="32"/>
          <w:lang w:val="en-US" w:eastAsia="zh-CN"/>
        </w:rPr>
      </w:pPr>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552" w:name="_Toc10978"/>
      <w:bookmarkStart w:id="553" w:name="_Toc21634"/>
      <w:r>
        <w:rPr>
          <w:rFonts w:hint="eastAsia" w:ascii="仿宋_GB2312" w:hAnsi="仿宋_GB2312" w:eastAsia="仿宋_GB2312" w:cs="仿宋_GB2312"/>
          <w:b/>
          <w:bCs w:val="0"/>
          <w:color w:val="auto"/>
          <w:kern w:val="2"/>
          <w:sz w:val="32"/>
          <w:szCs w:val="32"/>
          <w:lang w:val="en-US" w:eastAsia="zh-CN" w:bidi="ar-SA"/>
        </w:rPr>
        <w:t>50.企业、事业单位改制重组涉及的契税优惠政策</w:t>
      </w:r>
      <w:bookmarkEnd w:id="552"/>
      <w:bookmarkEnd w:id="553"/>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554" w:name="_Toc22828"/>
      <w:bookmarkStart w:id="555" w:name="_Toc31993"/>
      <w:r>
        <w:rPr>
          <w:rFonts w:hint="eastAsia" w:ascii="仿宋_GB2312" w:hAnsi="仿宋_GB2312" w:eastAsia="仿宋_GB2312" w:cs="仿宋_GB2312"/>
          <w:b/>
          <w:bCs w:val="0"/>
          <w:color w:val="auto"/>
          <w:kern w:val="2"/>
          <w:sz w:val="32"/>
          <w:szCs w:val="32"/>
          <w:lang w:val="en-US" w:eastAsia="zh-CN" w:bidi="ar-SA"/>
        </w:rPr>
        <w:t>【政策内容】</w:t>
      </w:r>
      <w:bookmarkEnd w:id="554"/>
      <w:bookmarkEnd w:id="555"/>
    </w:p>
    <w:p>
      <w:pPr>
        <w:spacing w:line="360" w:lineRule="auto"/>
        <w:ind w:firstLine="642"/>
        <w:jc w:val="both"/>
        <w:rPr>
          <w:rFonts w:ascii="仿宋_GB2312" w:eastAsia="仿宋_GB2312"/>
          <w:sz w:val="32"/>
          <w:szCs w:val="32"/>
        </w:rPr>
      </w:pPr>
      <w:r>
        <w:rPr>
          <w:rFonts w:ascii="仿宋_GB2312" w:eastAsia="仿宋_GB2312"/>
          <w:sz w:val="32"/>
          <w:szCs w:val="32"/>
        </w:rPr>
        <w:t>自2021年1月1日起至2023年12月31日</w:t>
      </w:r>
      <w:r>
        <w:rPr>
          <w:rFonts w:hint="eastAsia" w:ascii="仿宋_GB2312" w:eastAsia="仿宋_GB2312"/>
          <w:sz w:val="32"/>
          <w:szCs w:val="32"/>
        </w:rPr>
        <w:t>起：</w:t>
      </w:r>
    </w:p>
    <w:p>
      <w:pPr>
        <w:spacing w:line="360" w:lineRule="auto"/>
        <w:ind w:firstLine="642"/>
        <w:jc w:val="both"/>
        <w:outlineLvl w:val="2"/>
        <w:rPr>
          <w:rFonts w:ascii="仿宋_GB2312" w:eastAsia="仿宋_GB2312"/>
          <w:sz w:val="32"/>
          <w:szCs w:val="32"/>
        </w:rPr>
      </w:pPr>
      <w:bookmarkStart w:id="556" w:name="_Toc22363"/>
      <w:bookmarkStart w:id="557" w:name="_Toc20113"/>
      <w:bookmarkStart w:id="558" w:name="_Toc7929"/>
      <w:bookmarkStart w:id="559" w:name="_Toc18822"/>
      <w:bookmarkStart w:id="560" w:name="_Toc10393"/>
      <w:r>
        <w:rPr>
          <w:rFonts w:hint="eastAsia" w:ascii="仿宋_GB2312" w:eastAsia="仿宋_GB2312"/>
          <w:sz w:val="32"/>
          <w:szCs w:val="32"/>
          <w:lang w:eastAsia="zh-CN"/>
        </w:rPr>
        <w:t>（</w:t>
      </w: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企业改制</w:t>
      </w:r>
      <w:bookmarkEnd w:id="556"/>
      <w:bookmarkEnd w:id="557"/>
      <w:bookmarkEnd w:id="558"/>
      <w:bookmarkEnd w:id="559"/>
      <w:bookmarkEnd w:id="560"/>
    </w:p>
    <w:p>
      <w:pPr>
        <w:spacing w:line="360" w:lineRule="auto"/>
        <w:ind w:firstLine="642"/>
        <w:jc w:val="both"/>
        <w:rPr>
          <w:rFonts w:ascii="仿宋_GB2312" w:eastAsia="仿宋_GB2312"/>
          <w:sz w:val="32"/>
          <w:szCs w:val="32"/>
        </w:rPr>
      </w:pPr>
      <w:r>
        <w:rPr>
          <w:rFonts w:hint="eastAsia" w:ascii="仿宋_GB2312" w:eastAsia="仿宋_GB2312"/>
          <w:sz w:val="32"/>
          <w:szCs w:val="32"/>
        </w:rPr>
        <w:t>企业按照《中华人民共和国公司法》有关规定整体改制，包括非公司制企业改制为有限责任公司或股份有限公司，有限责任公司变更为股份有限公司，股份有限公司变更为有限责任公司，原企业投资主体存续并在改制（变更）后的公司中所持股权（股份）比例超过 75%，且改制（变更）后公司承继原企业权利、义务的，对改制（变更）后公司承受原企业土地、房屋权属，免征契税。</w:t>
      </w:r>
    </w:p>
    <w:p>
      <w:pPr>
        <w:spacing w:line="360" w:lineRule="auto"/>
        <w:ind w:firstLine="642"/>
        <w:jc w:val="both"/>
        <w:outlineLvl w:val="2"/>
        <w:rPr>
          <w:rFonts w:ascii="仿宋_GB2312" w:eastAsia="仿宋_GB2312"/>
          <w:sz w:val="32"/>
          <w:szCs w:val="32"/>
        </w:rPr>
      </w:pPr>
      <w:bookmarkStart w:id="561" w:name="_Toc8249"/>
      <w:bookmarkStart w:id="562" w:name="_Toc27317"/>
      <w:bookmarkStart w:id="563" w:name="_Toc15246"/>
      <w:bookmarkStart w:id="564" w:name="_Toc12021"/>
      <w:bookmarkStart w:id="565" w:name="_Toc24795"/>
      <w:r>
        <w:rPr>
          <w:rFonts w:hint="eastAsia" w:ascii="仿宋_GB2312" w:eastAsia="仿宋_GB2312"/>
          <w:sz w:val="32"/>
          <w:szCs w:val="32"/>
          <w:lang w:eastAsia="zh-CN"/>
        </w:rPr>
        <w:t>（</w:t>
      </w: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事业单位改制</w:t>
      </w:r>
      <w:bookmarkEnd w:id="561"/>
      <w:bookmarkEnd w:id="562"/>
      <w:bookmarkEnd w:id="563"/>
      <w:bookmarkEnd w:id="564"/>
      <w:bookmarkEnd w:id="565"/>
    </w:p>
    <w:p>
      <w:pPr>
        <w:spacing w:line="360" w:lineRule="auto"/>
        <w:ind w:firstLine="642"/>
        <w:jc w:val="both"/>
        <w:rPr>
          <w:rFonts w:ascii="仿宋_GB2312" w:eastAsia="仿宋_GB2312"/>
          <w:sz w:val="32"/>
          <w:szCs w:val="32"/>
        </w:rPr>
      </w:pPr>
      <w:r>
        <w:rPr>
          <w:rFonts w:hint="eastAsia" w:ascii="仿宋_GB2312" w:eastAsia="仿宋_GB2312"/>
          <w:sz w:val="32"/>
          <w:szCs w:val="32"/>
        </w:rPr>
        <w:t>事业单位按照国家有关规定改制为企业，原投资主体存续并在改制后企业中出资（股权、股份）比例超过 50%的，对改制后企业承受原事业单位土地、房屋权属，免征契税。</w:t>
      </w:r>
    </w:p>
    <w:p>
      <w:pPr>
        <w:spacing w:line="360" w:lineRule="auto"/>
        <w:ind w:firstLine="642"/>
        <w:jc w:val="both"/>
        <w:outlineLvl w:val="2"/>
        <w:rPr>
          <w:rFonts w:ascii="仿宋_GB2312" w:eastAsia="仿宋_GB2312"/>
          <w:sz w:val="32"/>
          <w:szCs w:val="32"/>
        </w:rPr>
      </w:pPr>
      <w:bookmarkStart w:id="566" w:name="_Toc3987"/>
      <w:bookmarkStart w:id="567" w:name="_Toc2033"/>
      <w:bookmarkStart w:id="568" w:name="_Toc8862"/>
      <w:bookmarkStart w:id="569" w:name="_Toc5861"/>
      <w:bookmarkStart w:id="570" w:name="_Toc18464"/>
      <w:r>
        <w:rPr>
          <w:rFonts w:hint="eastAsia" w:ascii="仿宋_GB2312" w:eastAsia="仿宋_GB2312"/>
          <w:sz w:val="32"/>
          <w:szCs w:val="32"/>
          <w:lang w:eastAsia="zh-CN"/>
        </w:rPr>
        <w:t>（</w:t>
      </w:r>
      <w:r>
        <w:rPr>
          <w:rFonts w:hint="eastAsia"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公司合并</w:t>
      </w:r>
      <w:bookmarkEnd w:id="566"/>
      <w:bookmarkEnd w:id="567"/>
      <w:bookmarkEnd w:id="568"/>
      <w:bookmarkEnd w:id="569"/>
      <w:bookmarkEnd w:id="570"/>
    </w:p>
    <w:p>
      <w:pPr>
        <w:spacing w:line="360" w:lineRule="auto"/>
        <w:ind w:firstLine="642"/>
        <w:jc w:val="both"/>
        <w:rPr>
          <w:rFonts w:ascii="仿宋_GB2312" w:eastAsia="仿宋_GB2312"/>
          <w:sz w:val="32"/>
          <w:szCs w:val="32"/>
        </w:rPr>
      </w:pPr>
      <w:r>
        <w:rPr>
          <w:rFonts w:hint="eastAsia" w:ascii="仿宋_GB2312" w:eastAsia="仿宋_GB2312"/>
          <w:sz w:val="32"/>
          <w:szCs w:val="32"/>
        </w:rPr>
        <w:t>两个或两个以上的公司，依照法律规定、合同约定，合并为一个公司，且原投资主体存续的，对合并后公司承受原合并各方土地、房屋权属，免征契税。</w:t>
      </w:r>
    </w:p>
    <w:p>
      <w:pPr>
        <w:spacing w:line="360" w:lineRule="auto"/>
        <w:ind w:firstLine="642"/>
        <w:jc w:val="both"/>
        <w:outlineLvl w:val="2"/>
        <w:rPr>
          <w:rFonts w:ascii="仿宋_GB2312" w:eastAsia="仿宋_GB2312"/>
          <w:sz w:val="32"/>
          <w:szCs w:val="32"/>
        </w:rPr>
      </w:pPr>
      <w:bookmarkStart w:id="571" w:name="_Toc5298"/>
      <w:bookmarkStart w:id="572" w:name="_Toc7555"/>
      <w:bookmarkStart w:id="573" w:name="_Toc16959"/>
      <w:bookmarkStart w:id="574" w:name="_Toc9035"/>
      <w:bookmarkStart w:id="575" w:name="_Toc24034"/>
      <w:r>
        <w:rPr>
          <w:rFonts w:hint="eastAsia" w:ascii="仿宋_GB2312" w:eastAsia="仿宋_GB2312"/>
          <w:sz w:val="32"/>
          <w:szCs w:val="32"/>
          <w:lang w:eastAsia="zh-CN"/>
        </w:rPr>
        <w:t>（</w:t>
      </w:r>
      <w:r>
        <w:rPr>
          <w:rFonts w:hint="eastAsia" w:ascii="仿宋_GB2312" w:eastAsia="仿宋_GB2312"/>
          <w:sz w:val="32"/>
          <w:szCs w:val="32"/>
        </w:rPr>
        <w:t>4</w:t>
      </w:r>
      <w:r>
        <w:rPr>
          <w:rFonts w:hint="eastAsia" w:ascii="仿宋_GB2312" w:eastAsia="仿宋_GB2312"/>
          <w:sz w:val="32"/>
          <w:szCs w:val="32"/>
          <w:lang w:eastAsia="zh-CN"/>
        </w:rPr>
        <w:t>）</w:t>
      </w:r>
      <w:r>
        <w:rPr>
          <w:rFonts w:hint="eastAsia" w:ascii="仿宋_GB2312" w:eastAsia="仿宋_GB2312"/>
          <w:sz w:val="32"/>
          <w:szCs w:val="32"/>
        </w:rPr>
        <w:t>公司分立</w:t>
      </w:r>
      <w:bookmarkEnd w:id="571"/>
      <w:bookmarkEnd w:id="572"/>
      <w:bookmarkEnd w:id="573"/>
      <w:bookmarkEnd w:id="574"/>
      <w:bookmarkEnd w:id="575"/>
    </w:p>
    <w:p>
      <w:pPr>
        <w:spacing w:line="360" w:lineRule="auto"/>
        <w:ind w:firstLine="642"/>
        <w:jc w:val="both"/>
        <w:rPr>
          <w:rFonts w:ascii="仿宋_GB2312" w:eastAsia="仿宋_GB2312"/>
          <w:sz w:val="32"/>
          <w:szCs w:val="32"/>
        </w:rPr>
      </w:pPr>
      <w:r>
        <w:rPr>
          <w:rFonts w:hint="eastAsia" w:ascii="仿宋_GB2312" w:eastAsia="仿宋_GB2312"/>
          <w:sz w:val="32"/>
          <w:szCs w:val="32"/>
        </w:rPr>
        <w:t>公司依照法律规定、合同约定分立为两个或两个以上与原公司投资主体相同的公司，对分立后公司承受原公司土地、房屋权属，免征契税。</w:t>
      </w:r>
    </w:p>
    <w:p>
      <w:pPr>
        <w:spacing w:line="360" w:lineRule="auto"/>
        <w:ind w:firstLine="642"/>
        <w:jc w:val="both"/>
        <w:outlineLvl w:val="2"/>
        <w:rPr>
          <w:rFonts w:ascii="仿宋_GB2312" w:eastAsia="仿宋_GB2312"/>
          <w:sz w:val="32"/>
          <w:szCs w:val="32"/>
        </w:rPr>
      </w:pPr>
      <w:bookmarkStart w:id="576" w:name="_Toc11781"/>
      <w:bookmarkStart w:id="577" w:name="_Toc21925"/>
      <w:bookmarkStart w:id="578" w:name="_Toc18010"/>
      <w:bookmarkStart w:id="579" w:name="_Toc19115"/>
      <w:bookmarkStart w:id="580" w:name="_Toc1761"/>
      <w:r>
        <w:rPr>
          <w:rFonts w:hint="eastAsia" w:ascii="仿宋_GB2312" w:eastAsia="仿宋_GB2312"/>
          <w:sz w:val="32"/>
          <w:szCs w:val="32"/>
          <w:lang w:eastAsia="zh-CN"/>
        </w:rPr>
        <w:t>（</w:t>
      </w:r>
      <w:r>
        <w:rPr>
          <w:rFonts w:hint="eastAsia" w:ascii="仿宋_GB2312" w:eastAsia="仿宋_GB2312"/>
          <w:sz w:val="32"/>
          <w:szCs w:val="32"/>
        </w:rPr>
        <w:t>5</w:t>
      </w:r>
      <w:r>
        <w:rPr>
          <w:rFonts w:hint="eastAsia" w:ascii="仿宋_GB2312" w:eastAsia="仿宋_GB2312"/>
          <w:sz w:val="32"/>
          <w:szCs w:val="32"/>
          <w:lang w:eastAsia="zh-CN"/>
        </w:rPr>
        <w:t>）</w:t>
      </w:r>
      <w:r>
        <w:rPr>
          <w:rFonts w:hint="eastAsia" w:ascii="仿宋_GB2312" w:eastAsia="仿宋_GB2312"/>
          <w:sz w:val="32"/>
          <w:szCs w:val="32"/>
        </w:rPr>
        <w:t>企业破产</w:t>
      </w:r>
      <w:bookmarkEnd w:id="576"/>
      <w:bookmarkEnd w:id="577"/>
      <w:bookmarkEnd w:id="578"/>
      <w:bookmarkEnd w:id="579"/>
      <w:bookmarkEnd w:id="580"/>
    </w:p>
    <w:p>
      <w:pPr>
        <w:spacing w:line="360" w:lineRule="auto"/>
        <w:ind w:firstLine="642"/>
        <w:jc w:val="both"/>
        <w:rPr>
          <w:rFonts w:ascii="仿宋_GB2312" w:eastAsia="仿宋_GB2312"/>
          <w:sz w:val="32"/>
          <w:szCs w:val="32"/>
        </w:rPr>
      </w:pPr>
      <w:r>
        <w:rPr>
          <w:rFonts w:hint="eastAsia" w:ascii="仿宋_GB2312" w:eastAsia="仿宋_GB2312"/>
          <w:sz w:val="32"/>
          <w:szCs w:val="32"/>
        </w:rPr>
        <w:t>企业依照有关法律法规规定实施破产，债权人（包括破产企业职工）承受破产企业抵偿债务的土地、房屋权属，免征契税；对非债权人承受破产企业土地、房屋权属，凡按照《中华人民共和国劳动法》等国家有关法律法规政策妥善安置原企业全部职工规定，与原企业全部职工签订服务年限不少于三年的劳动用工合同的，对其承受所购企业土地、房屋权属，免征契税；与原企业超过 30%的职工签订服务年限不少于三年的劳动用工合同的，减半征收契税。</w:t>
      </w:r>
    </w:p>
    <w:p>
      <w:pPr>
        <w:spacing w:line="360" w:lineRule="auto"/>
        <w:ind w:firstLine="642"/>
        <w:jc w:val="both"/>
        <w:outlineLvl w:val="2"/>
        <w:rPr>
          <w:rFonts w:ascii="仿宋_GB2312" w:eastAsia="仿宋_GB2312"/>
          <w:sz w:val="32"/>
          <w:szCs w:val="32"/>
        </w:rPr>
      </w:pPr>
      <w:bookmarkStart w:id="581" w:name="_Toc1185"/>
      <w:bookmarkStart w:id="582" w:name="_Toc22983"/>
      <w:bookmarkStart w:id="583" w:name="_Toc20600"/>
      <w:bookmarkStart w:id="584" w:name="_Toc25410"/>
      <w:bookmarkStart w:id="585" w:name="_Toc9798"/>
      <w:r>
        <w:rPr>
          <w:rFonts w:hint="eastAsia" w:ascii="仿宋_GB2312" w:eastAsia="仿宋_GB2312"/>
          <w:sz w:val="32"/>
          <w:szCs w:val="32"/>
          <w:lang w:eastAsia="zh-CN"/>
        </w:rPr>
        <w:t>（</w:t>
      </w:r>
      <w:r>
        <w:rPr>
          <w:rFonts w:hint="eastAsia" w:ascii="仿宋_GB2312" w:eastAsia="仿宋_GB2312"/>
          <w:sz w:val="32"/>
          <w:szCs w:val="32"/>
        </w:rPr>
        <w:t>6</w:t>
      </w:r>
      <w:r>
        <w:rPr>
          <w:rFonts w:hint="eastAsia" w:ascii="仿宋_GB2312" w:eastAsia="仿宋_GB2312"/>
          <w:sz w:val="32"/>
          <w:szCs w:val="32"/>
          <w:lang w:eastAsia="zh-CN"/>
        </w:rPr>
        <w:t>）</w:t>
      </w:r>
      <w:r>
        <w:rPr>
          <w:rFonts w:hint="eastAsia" w:ascii="仿宋_GB2312" w:eastAsia="仿宋_GB2312"/>
          <w:sz w:val="32"/>
          <w:szCs w:val="32"/>
        </w:rPr>
        <w:t>资产划转</w:t>
      </w:r>
      <w:bookmarkEnd w:id="581"/>
      <w:bookmarkEnd w:id="582"/>
      <w:bookmarkEnd w:id="583"/>
      <w:bookmarkEnd w:id="584"/>
      <w:bookmarkEnd w:id="585"/>
    </w:p>
    <w:p>
      <w:pPr>
        <w:spacing w:line="360" w:lineRule="auto"/>
        <w:ind w:firstLine="642"/>
        <w:jc w:val="both"/>
        <w:rPr>
          <w:rFonts w:ascii="仿宋_GB2312" w:eastAsia="仿宋_GB2312"/>
          <w:sz w:val="32"/>
          <w:szCs w:val="32"/>
        </w:rPr>
      </w:pPr>
      <w:r>
        <w:rPr>
          <w:rFonts w:hint="eastAsia" w:ascii="仿宋_GB2312" w:eastAsia="仿宋_GB2312"/>
          <w:sz w:val="32"/>
          <w:szCs w:val="32"/>
        </w:rPr>
        <w:t>对承受县级以上人民政府或国有资产管理部门按规定进行行政性调整、划转国有土地、房屋权属的单位，免征契税。</w:t>
      </w:r>
    </w:p>
    <w:p>
      <w:pPr>
        <w:spacing w:line="360" w:lineRule="auto"/>
        <w:ind w:firstLine="642"/>
        <w:jc w:val="both"/>
        <w:rPr>
          <w:rFonts w:ascii="仿宋_GB2312" w:eastAsia="仿宋_GB2312"/>
          <w:sz w:val="32"/>
          <w:szCs w:val="32"/>
        </w:rPr>
      </w:pPr>
      <w:r>
        <w:rPr>
          <w:rFonts w:hint="eastAsia" w:ascii="仿宋_GB2312" w:eastAsia="仿宋_GB2312"/>
          <w:sz w:val="32"/>
          <w:szCs w:val="32"/>
        </w:rPr>
        <w:t>同一投资主体内部所属企业之间土地、房屋权属的划转，包括母公司与其全资子公司之间，同一公司所属全资子公司之间，同一自然人与其设立的个人独资企业、一人有限公司之间土地、房屋权属的划转，免征契税。</w:t>
      </w:r>
    </w:p>
    <w:p>
      <w:pPr>
        <w:spacing w:line="360" w:lineRule="auto"/>
        <w:ind w:firstLine="642"/>
        <w:jc w:val="both"/>
        <w:rPr>
          <w:rFonts w:ascii="仿宋_GB2312" w:eastAsia="仿宋_GB2312"/>
          <w:sz w:val="32"/>
          <w:szCs w:val="32"/>
        </w:rPr>
      </w:pPr>
      <w:r>
        <w:rPr>
          <w:rFonts w:hint="eastAsia" w:ascii="仿宋_GB2312" w:eastAsia="仿宋_GB2312"/>
          <w:sz w:val="32"/>
          <w:szCs w:val="32"/>
        </w:rPr>
        <w:t>母公司以土地、房屋权属向其全资子公司增资，视同划转，免征契税。</w:t>
      </w:r>
    </w:p>
    <w:p>
      <w:pPr>
        <w:spacing w:line="360" w:lineRule="auto"/>
        <w:ind w:firstLine="642"/>
        <w:jc w:val="both"/>
        <w:outlineLvl w:val="2"/>
        <w:rPr>
          <w:rFonts w:ascii="仿宋_GB2312" w:eastAsia="仿宋_GB2312"/>
          <w:sz w:val="32"/>
          <w:szCs w:val="32"/>
        </w:rPr>
      </w:pPr>
      <w:bookmarkStart w:id="586" w:name="_Toc9221"/>
      <w:bookmarkStart w:id="587" w:name="_Toc3358"/>
      <w:bookmarkStart w:id="588" w:name="_Toc1366"/>
      <w:bookmarkStart w:id="589" w:name="_Toc20483"/>
      <w:bookmarkStart w:id="590" w:name="_Toc11616"/>
      <w:r>
        <w:rPr>
          <w:rFonts w:hint="eastAsia" w:ascii="仿宋_GB2312" w:eastAsia="仿宋_GB2312"/>
          <w:sz w:val="32"/>
          <w:szCs w:val="32"/>
          <w:lang w:eastAsia="zh-CN"/>
        </w:rPr>
        <w:t>（</w:t>
      </w:r>
      <w:r>
        <w:rPr>
          <w:rFonts w:hint="eastAsia" w:ascii="仿宋_GB2312" w:eastAsia="仿宋_GB2312"/>
          <w:sz w:val="32"/>
          <w:szCs w:val="32"/>
        </w:rPr>
        <w:t>7</w:t>
      </w:r>
      <w:r>
        <w:rPr>
          <w:rFonts w:hint="eastAsia" w:ascii="仿宋_GB2312" w:eastAsia="仿宋_GB2312"/>
          <w:sz w:val="32"/>
          <w:szCs w:val="32"/>
          <w:lang w:eastAsia="zh-CN"/>
        </w:rPr>
        <w:t>）</w:t>
      </w:r>
      <w:r>
        <w:rPr>
          <w:rFonts w:hint="eastAsia" w:ascii="仿宋_GB2312" w:eastAsia="仿宋_GB2312"/>
          <w:sz w:val="32"/>
          <w:szCs w:val="32"/>
        </w:rPr>
        <w:t>债权转股权</w:t>
      </w:r>
      <w:bookmarkEnd w:id="586"/>
      <w:bookmarkEnd w:id="587"/>
      <w:bookmarkEnd w:id="588"/>
      <w:bookmarkEnd w:id="589"/>
      <w:bookmarkEnd w:id="590"/>
    </w:p>
    <w:p>
      <w:pPr>
        <w:spacing w:line="360" w:lineRule="auto"/>
        <w:ind w:firstLine="642"/>
        <w:jc w:val="both"/>
        <w:rPr>
          <w:rFonts w:ascii="仿宋_GB2312" w:eastAsia="仿宋_GB2312"/>
          <w:sz w:val="32"/>
          <w:szCs w:val="32"/>
        </w:rPr>
      </w:pPr>
      <w:r>
        <w:rPr>
          <w:rFonts w:hint="eastAsia" w:ascii="仿宋_GB2312" w:eastAsia="仿宋_GB2312"/>
          <w:sz w:val="32"/>
          <w:szCs w:val="32"/>
        </w:rPr>
        <w:t>经国务院批准实施债权转股权的企业，对债权转股权后新设立的公司承受原企业的土地、房屋权属，免征契税。</w:t>
      </w:r>
    </w:p>
    <w:p>
      <w:pPr>
        <w:spacing w:line="360" w:lineRule="auto"/>
        <w:ind w:firstLine="642"/>
        <w:jc w:val="both"/>
        <w:outlineLvl w:val="2"/>
        <w:rPr>
          <w:rFonts w:ascii="仿宋_GB2312" w:eastAsia="仿宋_GB2312"/>
          <w:sz w:val="32"/>
          <w:szCs w:val="32"/>
        </w:rPr>
      </w:pPr>
      <w:bookmarkStart w:id="591" w:name="_Toc24267"/>
      <w:bookmarkStart w:id="592" w:name="_Toc32428"/>
      <w:bookmarkStart w:id="593" w:name="_Toc11066"/>
      <w:bookmarkStart w:id="594" w:name="_Toc32290"/>
      <w:bookmarkStart w:id="595" w:name="_Toc2791"/>
      <w:r>
        <w:rPr>
          <w:rFonts w:hint="eastAsia" w:ascii="仿宋_GB2312" w:eastAsia="仿宋_GB2312"/>
          <w:sz w:val="32"/>
          <w:szCs w:val="32"/>
          <w:lang w:eastAsia="zh-CN"/>
        </w:rPr>
        <w:t>（</w:t>
      </w:r>
      <w:r>
        <w:rPr>
          <w:rFonts w:hint="eastAsia" w:ascii="仿宋_GB2312" w:eastAsia="仿宋_GB2312"/>
          <w:sz w:val="32"/>
          <w:szCs w:val="32"/>
          <w:lang w:val="en-US" w:eastAsia="zh-CN"/>
        </w:rPr>
        <w:t>8</w:t>
      </w:r>
      <w:r>
        <w:rPr>
          <w:rFonts w:hint="eastAsia" w:ascii="仿宋_GB2312" w:eastAsia="仿宋_GB2312"/>
          <w:sz w:val="32"/>
          <w:szCs w:val="32"/>
          <w:lang w:eastAsia="zh-CN"/>
        </w:rPr>
        <w:t>）</w:t>
      </w:r>
      <w:r>
        <w:rPr>
          <w:rFonts w:hint="eastAsia" w:ascii="仿宋_GB2312" w:eastAsia="仿宋_GB2312"/>
          <w:sz w:val="32"/>
          <w:szCs w:val="32"/>
        </w:rPr>
        <w:t>划拨用地出让或作价出资</w:t>
      </w:r>
      <w:bookmarkEnd w:id="591"/>
      <w:bookmarkEnd w:id="592"/>
      <w:bookmarkEnd w:id="593"/>
      <w:bookmarkEnd w:id="594"/>
      <w:bookmarkEnd w:id="595"/>
    </w:p>
    <w:p>
      <w:pPr>
        <w:spacing w:line="360" w:lineRule="auto"/>
        <w:ind w:firstLine="642"/>
        <w:jc w:val="both"/>
        <w:rPr>
          <w:rFonts w:ascii="仿宋_GB2312" w:eastAsia="仿宋_GB2312"/>
          <w:sz w:val="32"/>
          <w:szCs w:val="32"/>
        </w:rPr>
      </w:pPr>
      <w:r>
        <w:rPr>
          <w:rFonts w:hint="eastAsia" w:ascii="仿宋_GB2312" w:eastAsia="仿宋_GB2312"/>
          <w:sz w:val="32"/>
          <w:szCs w:val="32"/>
        </w:rPr>
        <w:t>以出让方式或国家作价出资（入股）方式承受原改制重组企业、事业单位划拨用地的，不属上述规定的免税范围，对承受方应按规定征收契税。</w:t>
      </w:r>
    </w:p>
    <w:p>
      <w:pPr>
        <w:spacing w:line="360" w:lineRule="auto"/>
        <w:ind w:firstLine="642"/>
        <w:jc w:val="both"/>
        <w:outlineLvl w:val="2"/>
        <w:rPr>
          <w:rFonts w:ascii="仿宋_GB2312" w:eastAsia="仿宋_GB2312"/>
          <w:sz w:val="32"/>
          <w:szCs w:val="32"/>
        </w:rPr>
      </w:pPr>
      <w:bookmarkStart w:id="596" w:name="_Toc11715"/>
      <w:bookmarkStart w:id="597" w:name="_Toc615"/>
      <w:bookmarkStart w:id="598" w:name="_Toc17434"/>
      <w:bookmarkStart w:id="599" w:name="_Toc3794"/>
      <w:bookmarkStart w:id="600" w:name="_Toc29121"/>
      <w:r>
        <w:rPr>
          <w:rFonts w:hint="eastAsia" w:ascii="仿宋_GB2312" w:eastAsia="仿宋_GB2312"/>
          <w:sz w:val="32"/>
          <w:szCs w:val="32"/>
          <w:lang w:eastAsia="zh-CN"/>
        </w:rPr>
        <w:t>（</w:t>
      </w:r>
      <w:r>
        <w:rPr>
          <w:rFonts w:hint="eastAsia" w:ascii="仿宋_GB2312" w:eastAsia="仿宋_GB2312"/>
          <w:sz w:val="32"/>
          <w:szCs w:val="32"/>
          <w:lang w:val="en-US" w:eastAsia="zh-CN"/>
        </w:rPr>
        <w:t>9</w:t>
      </w:r>
      <w:r>
        <w:rPr>
          <w:rFonts w:hint="eastAsia" w:ascii="仿宋_GB2312" w:eastAsia="仿宋_GB2312"/>
          <w:sz w:val="32"/>
          <w:szCs w:val="32"/>
          <w:lang w:eastAsia="zh-CN"/>
        </w:rPr>
        <w:t>）</w:t>
      </w:r>
      <w:r>
        <w:rPr>
          <w:rFonts w:hint="eastAsia" w:ascii="仿宋_GB2312" w:eastAsia="仿宋_GB2312"/>
          <w:sz w:val="32"/>
          <w:szCs w:val="32"/>
        </w:rPr>
        <w:t>公司股权（股份）转让</w:t>
      </w:r>
      <w:bookmarkEnd w:id="596"/>
      <w:bookmarkEnd w:id="597"/>
      <w:bookmarkEnd w:id="598"/>
      <w:bookmarkEnd w:id="599"/>
      <w:bookmarkEnd w:id="600"/>
    </w:p>
    <w:p>
      <w:pPr>
        <w:spacing w:line="360" w:lineRule="auto"/>
        <w:ind w:firstLine="642"/>
        <w:jc w:val="both"/>
        <w:rPr>
          <w:rFonts w:ascii="仿宋_GB2312" w:eastAsia="仿宋_GB2312"/>
          <w:sz w:val="32"/>
          <w:szCs w:val="32"/>
        </w:rPr>
      </w:pPr>
      <w:r>
        <w:rPr>
          <w:rFonts w:hint="eastAsia" w:ascii="仿宋_GB2312" w:eastAsia="仿宋_GB2312"/>
          <w:sz w:val="32"/>
          <w:szCs w:val="32"/>
        </w:rPr>
        <w:t>在股权（股份）转让中，单位、个人承受公司股权（股份），公司土地、房屋权属不发生转移，不征收契税。</w:t>
      </w:r>
    </w:p>
    <w:p>
      <w:pPr>
        <w:spacing w:line="360" w:lineRule="auto"/>
        <w:ind w:firstLine="642"/>
        <w:jc w:val="both"/>
        <w:outlineLvl w:val="2"/>
        <w:rPr>
          <w:rFonts w:hint="eastAsia" w:ascii="仿宋_GB2312" w:eastAsia="仿宋_GB2312"/>
          <w:sz w:val="28"/>
          <w:szCs w:val="28"/>
          <w:lang w:eastAsia="zh-CN"/>
        </w:rPr>
      </w:pPr>
      <w:bookmarkStart w:id="601" w:name="_Toc25350"/>
      <w:bookmarkStart w:id="602" w:name="_Toc30484"/>
      <w:r>
        <w:rPr>
          <w:rFonts w:hint="eastAsia" w:ascii="仿宋_GB2312" w:eastAsia="仿宋_GB2312"/>
          <w:b/>
          <w:sz w:val="32"/>
          <w:szCs w:val="28"/>
          <w:lang w:eastAsia="zh-CN"/>
        </w:rPr>
        <w:t>【政策依据】</w:t>
      </w:r>
      <w:bookmarkEnd w:id="601"/>
      <w:bookmarkEnd w:id="602"/>
    </w:p>
    <w:p>
      <w:pPr>
        <w:spacing w:line="360" w:lineRule="auto"/>
        <w:ind w:firstLine="642"/>
        <w:jc w:val="both"/>
        <w:rPr>
          <w:rFonts w:hint="eastAsia" w:ascii="仿宋_GB2312" w:eastAsia="仿宋_GB2312"/>
          <w:sz w:val="32"/>
          <w:szCs w:val="32"/>
          <w:lang w:eastAsia="zh-CN"/>
        </w:rPr>
      </w:pPr>
      <w:r>
        <w:rPr>
          <w:rFonts w:hint="eastAsia" w:ascii="仿宋_GB2312" w:eastAsia="仿宋_GB2312"/>
          <w:sz w:val="32"/>
          <w:szCs w:val="32"/>
        </w:rPr>
        <w:t>《财政部 税务总局关于继续执行企业 事业单位改制重组有关契税政策的公告》（财政部 税务总局公告2021年第17号）</w:t>
      </w:r>
    </w:p>
    <w:p>
      <w:pPr>
        <w:spacing w:line="360" w:lineRule="auto"/>
        <w:ind w:firstLine="642"/>
        <w:jc w:val="both"/>
        <w:rPr>
          <w:rFonts w:hint="eastAsia" w:ascii="仿宋_GB2312" w:eastAsia="仿宋_GB2312"/>
          <w:sz w:val="32"/>
          <w:szCs w:val="32"/>
          <w:lang w:eastAsia="zh-CN"/>
        </w:rPr>
      </w:pPr>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603" w:name="_Toc8014"/>
      <w:bookmarkStart w:id="604" w:name="_Toc20717"/>
      <w:r>
        <w:rPr>
          <w:rFonts w:hint="eastAsia" w:ascii="仿宋_GB2312" w:hAnsi="仿宋_GB2312" w:eastAsia="仿宋_GB2312" w:cs="仿宋_GB2312"/>
          <w:b/>
          <w:bCs w:val="0"/>
          <w:color w:val="auto"/>
          <w:kern w:val="2"/>
          <w:sz w:val="32"/>
          <w:szCs w:val="32"/>
          <w:lang w:val="en-US" w:eastAsia="zh-CN" w:bidi="ar-SA"/>
        </w:rPr>
        <w:t>51.企业改制重组有关土地增值税政策</w:t>
      </w:r>
      <w:bookmarkEnd w:id="603"/>
      <w:bookmarkEnd w:id="604"/>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605" w:name="_Toc11432"/>
      <w:bookmarkStart w:id="606" w:name="_Toc32665"/>
      <w:r>
        <w:rPr>
          <w:rFonts w:hint="eastAsia" w:ascii="仿宋_GB2312" w:hAnsi="仿宋_GB2312" w:eastAsia="仿宋_GB2312" w:cs="仿宋_GB2312"/>
          <w:b/>
          <w:bCs w:val="0"/>
          <w:color w:val="auto"/>
          <w:kern w:val="2"/>
          <w:sz w:val="32"/>
          <w:szCs w:val="32"/>
          <w:lang w:val="en-US" w:eastAsia="zh-CN" w:bidi="ar-SA"/>
        </w:rPr>
        <w:t>【政策内容】</w:t>
      </w:r>
      <w:bookmarkEnd w:id="605"/>
      <w:bookmarkEnd w:id="606"/>
    </w:p>
    <w:p>
      <w:pPr>
        <w:spacing w:line="360" w:lineRule="auto"/>
        <w:ind w:firstLine="642"/>
        <w:jc w:val="both"/>
        <w:rPr>
          <w:rFonts w:ascii="仿宋_GB2312" w:eastAsia="仿宋_GB2312"/>
          <w:sz w:val="32"/>
          <w:szCs w:val="32"/>
        </w:rPr>
      </w:pPr>
      <w:r>
        <w:rPr>
          <w:rFonts w:hint="eastAsia" w:ascii="仿宋_GB2312" w:eastAsia="仿宋_GB2312"/>
          <w:sz w:val="32"/>
          <w:szCs w:val="32"/>
        </w:rPr>
        <w:t>2021年1月1日至2023年12月31日：</w:t>
      </w:r>
    </w:p>
    <w:p>
      <w:pPr>
        <w:spacing w:line="360" w:lineRule="auto"/>
        <w:ind w:firstLine="642"/>
        <w:jc w:val="both"/>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企业按照《中华人民共和国公司法》有关规定整体改制，包括非公司制企业改制为有限责任公司或股份有限公司，有限责任公司变更为股份有限公司，股份有限公司变更为有限责任公司，对改制前的企业将国有土地使用权、地上的</w:t>
      </w:r>
      <w:r>
        <w:rPr>
          <w:rFonts w:hint="eastAsia" w:ascii="仿宋_GB2312" w:eastAsia="仿宋_GB2312"/>
          <w:sz w:val="32"/>
          <w:szCs w:val="32"/>
          <w:lang w:eastAsia="zh-CN"/>
        </w:rPr>
        <w:t>建材</w:t>
      </w:r>
      <w:r>
        <w:rPr>
          <w:rFonts w:hint="eastAsia" w:ascii="仿宋_GB2312" w:eastAsia="仿宋_GB2312"/>
          <w:sz w:val="32"/>
          <w:szCs w:val="32"/>
        </w:rPr>
        <w:t>物及其附着物（以下称房地产）转移、变更到改制后的企业，暂不征土地增值税。</w:t>
      </w:r>
    </w:p>
    <w:p>
      <w:pPr>
        <w:spacing w:line="360" w:lineRule="auto"/>
        <w:ind w:firstLine="642"/>
        <w:jc w:val="both"/>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按照法律规定或者合同约定，两个或两个以上企业合并为一个企业，且原企业投资主体存续的，对原企业将房地产转移、变更到合并后的企业，暂不征土地增值税。</w:t>
      </w:r>
    </w:p>
    <w:p>
      <w:pPr>
        <w:spacing w:line="360" w:lineRule="auto"/>
        <w:ind w:firstLine="642"/>
        <w:jc w:val="both"/>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按照法律规定或者合同约定，企业分设为两个或两个以上与原企业投资主体相同的企业，对原企业将房地产转移、变更到分立后的企业，暂不征土地增值税。</w:t>
      </w:r>
    </w:p>
    <w:p>
      <w:pPr>
        <w:spacing w:line="360" w:lineRule="auto"/>
        <w:ind w:firstLine="642"/>
        <w:jc w:val="both"/>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4</w:t>
      </w:r>
      <w:r>
        <w:rPr>
          <w:rFonts w:hint="eastAsia" w:ascii="仿宋_GB2312" w:eastAsia="仿宋_GB2312"/>
          <w:sz w:val="32"/>
          <w:szCs w:val="32"/>
          <w:lang w:eastAsia="zh-CN"/>
        </w:rPr>
        <w:t>）</w:t>
      </w:r>
      <w:r>
        <w:rPr>
          <w:rFonts w:hint="eastAsia" w:ascii="仿宋_GB2312" w:eastAsia="仿宋_GB2312"/>
          <w:sz w:val="32"/>
          <w:szCs w:val="32"/>
        </w:rPr>
        <w:t>单位、个人在改制重组时以房地产作价入股进行投资，对其将房地产转移、变更到被投资的企业，暂不征土地增值税。</w:t>
      </w:r>
    </w:p>
    <w:p>
      <w:pPr>
        <w:spacing w:line="360" w:lineRule="auto"/>
        <w:ind w:firstLine="642"/>
        <w:jc w:val="both"/>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5</w:t>
      </w:r>
      <w:r>
        <w:rPr>
          <w:rFonts w:hint="eastAsia" w:ascii="仿宋_GB2312" w:eastAsia="仿宋_GB2312"/>
          <w:sz w:val="32"/>
          <w:szCs w:val="32"/>
          <w:lang w:eastAsia="zh-CN"/>
        </w:rPr>
        <w:t>）</w:t>
      </w:r>
      <w:r>
        <w:rPr>
          <w:rFonts w:hint="eastAsia" w:ascii="仿宋_GB2312" w:eastAsia="仿宋_GB2312"/>
          <w:sz w:val="32"/>
          <w:szCs w:val="32"/>
        </w:rPr>
        <w:t>上述改制重组有关土地增值税政策不适用于房地产转移任意一方为房地产开发企业的情形。</w:t>
      </w:r>
    </w:p>
    <w:p>
      <w:pPr>
        <w:spacing w:line="360" w:lineRule="auto"/>
        <w:ind w:firstLine="642"/>
        <w:jc w:val="both"/>
        <w:outlineLvl w:val="2"/>
        <w:rPr>
          <w:rFonts w:hint="eastAsia" w:ascii="仿宋_GB2312" w:eastAsia="仿宋_GB2312"/>
          <w:sz w:val="28"/>
          <w:szCs w:val="28"/>
          <w:lang w:eastAsia="zh-CN"/>
        </w:rPr>
      </w:pPr>
      <w:bookmarkStart w:id="607" w:name="_Toc31532"/>
      <w:bookmarkStart w:id="608" w:name="_Toc4573"/>
      <w:r>
        <w:rPr>
          <w:rFonts w:hint="eastAsia" w:ascii="仿宋_GB2312" w:eastAsia="仿宋_GB2312"/>
          <w:b/>
          <w:sz w:val="32"/>
          <w:szCs w:val="28"/>
          <w:lang w:eastAsia="zh-CN"/>
        </w:rPr>
        <w:t>【政策依据】</w:t>
      </w:r>
      <w:bookmarkEnd w:id="607"/>
      <w:bookmarkEnd w:id="608"/>
    </w:p>
    <w:p>
      <w:pPr>
        <w:spacing w:line="360" w:lineRule="auto"/>
        <w:ind w:firstLine="642"/>
        <w:jc w:val="both"/>
        <w:rPr>
          <w:rFonts w:hint="eastAsia" w:ascii="仿宋_GB2312" w:eastAsia="仿宋_GB2312"/>
          <w:sz w:val="32"/>
          <w:szCs w:val="32"/>
          <w:lang w:eastAsia="zh-CN"/>
        </w:rPr>
      </w:pPr>
      <w:r>
        <w:rPr>
          <w:rFonts w:hint="eastAsia" w:ascii="仿宋_GB2312" w:eastAsia="仿宋_GB2312"/>
          <w:sz w:val="32"/>
          <w:szCs w:val="32"/>
        </w:rPr>
        <w:t>《财政部 税务总局关于继续实施企业改制重组有关土地增值税政策的公告》（财政部 税务总局公告2021年第21号）</w:t>
      </w:r>
    </w:p>
    <w:p>
      <w:pPr>
        <w:spacing w:line="360" w:lineRule="auto"/>
        <w:ind w:firstLine="642"/>
        <w:jc w:val="both"/>
        <w:rPr>
          <w:rFonts w:hint="eastAsia" w:ascii="仿宋_GB2312" w:eastAsia="仿宋_GB2312"/>
          <w:sz w:val="32"/>
          <w:szCs w:val="32"/>
          <w:lang w:val="en-US" w:eastAsia="zh-CN"/>
        </w:rPr>
      </w:pPr>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609" w:name="_Toc31874"/>
      <w:bookmarkStart w:id="610" w:name="_Toc18281"/>
      <w:r>
        <w:rPr>
          <w:rFonts w:hint="eastAsia" w:ascii="仿宋_GB2312" w:hAnsi="仿宋_GB2312" w:eastAsia="仿宋_GB2312" w:cs="仿宋_GB2312"/>
          <w:b/>
          <w:bCs w:val="0"/>
          <w:color w:val="auto"/>
          <w:kern w:val="2"/>
          <w:sz w:val="32"/>
          <w:szCs w:val="32"/>
          <w:lang w:val="en-US" w:eastAsia="zh-CN" w:bidi="ar-SA"/>
        </w:rPr>
        <w:t>52.企业改制过程中有关印花税优惠政策</w:t>
      </w:r>
      <w:bookmarkEnd w:id="609"/>
      <w:bookmarkEnd w:id="610"/>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611" w:name="_Toc23230"/>
      <w:bookmarkStart w:id="612" w:name="_Toc19502"/>
      <w:r>
        <w:rPr>
          <w:rFonts w:hint="eastAsia" w:ascii="仿宋_GB2312" w:hAnsi="仿宋_GB2312" w:eastAsia="仿宋_GB2312" w:cs="仿宋_GB2312"/>
          <w:b/>
          <w:bCs w:val="0"/>
          <w:color w:val="auto"/>
          <w:kern w:val="2"/>
          <w:sz w:val="32"/>
          <w:szCs w:val="32"/>
          <w:lang w:val="en-US" w:eastAsia="zh-CN" w:bidi="ar-SA"/>
        </w:rPr>
        <w:t>【政策内容】</w:t>
      </w:r>
      <w:bookmarkEnd w:id="611"/>
      <w:bookmarkEnd w:id="612"/>
    </w:p>
    <w:p>
      <w:pPr>
        <w:spacing w:line="360" w:lineRule="auto"/>
        <w:ind w:firstLine="642"/>
        <w:jc w:val="both"/>
        <w:rPr>
          <w:rFonts w:hint="eastAsia" w:ascii="仿宋_GB2312" w:eastAsia="仿宋_GB2312"/>
          <w:sz w:val="32"/>
          <w:szCs w:val="32"/>
        </w:rPr>
      </w:pPr>
      <w:r>
        <w:rPr>
          <w:rFonts w:hint="eastAsia" w:ascii="仿宋_GB2312" w:eastAsia="仿宋_GB2312"/>
          <w:sz w:val="32"/>
          <w:szCs w:val="32"/>
        </w:rPr>
        <w:t>以合并或分立方式成立的新企业，其新启用的资金账簿记载的资金，凡原已贴花的部分可不再贴花，未贴花的部分和以后新增加的资金按规定贴花。合并包括吸收合并和新设合并。分立包括存续分立和新设分立。</w:t>
      </w:r>
    </w:p>
    <w:p>
      <w:pPr>
        <w:spacing w:line="360" w:lineRule="auto"/>
        <w:ind w:firstLine="642"/>
        <w:jc w:val="both"/>
        <w:rPr>
          <w:rFonts w:hint="eastAsia" w:ascii="仿宋_GB2312" w:eastAsia="仿宋_GB2312"/>
          <w:sz w:val="32"/>
          <w:szCs w:val="32"/>
        </w:rPr>
      </w:pPr>
      <w:r>
        <w:rPr>
          <w:rFonts w:hint="eastAsia" w:ascii="仿宋_GB2312" w:eastAsia="仿宋_GB2312"/>
          <w:sz w:val="32"/>
          <w:szCs w:val="32"/>
        </w:rPr>
        <w:t>企业改制前签订但尚未履行完的各类应税合同，改制后需要变更执行主体的，对仅改变执行主体、其余条款未作变动且改制前已贴花的，不再贴花。</w:t>
      </w:r>
    </w:p>
    <w:p>
      <w:pPr>
        <w:spacing w:line="360" w:lineRule="auto"/>
        <w:ind w:firstLine="642"/>
        <w:jc w:val="both"/>
        <w:rPr>
          <w:rFonts w:hint="eastAsia" w:ascii="仿宋_GB2312" w:eastAsia="仿宋_GB2312"/>
          <w:sz w:val="32"/>
          <w:szCs w:val="32"/>
        </w:rPr>
      </w:pPr>
      <w:r>
        <w:rPr>
          <w:rFonts w:hint="eastAsia" w:ascii="仿宋_GB2312" w:eastAsia="仿宋_GB2312"/>
          <w:sz w:val="32"/>
          <w:szCs w:val="32"/>
        </w:rPr>
        <w:t>企业因改制签订的产权转移书据免予贴花。</w:t>
      </w:r>
    </w:p>
    <w:p>
      <w:pPr>
        <w:spacing w:line="360" w:lineRule="auto"/>
        <w:ind w:firstLine="642"/>
        <w:jc w:val="both"/>
        <w:outlineLvl w:val="2"/>
        <w:rPr>
          <w:rFonts w:hint="eastAsia" w:ascii="仿宋_GB2312" w:eastAsia="仿宋_GB2312"/>
          <w:sz w:val="28"/>
          <w:szCs w:val="28"/>
          <w:lang w:eastAsia="zh-CN"/>
        </w:rPr>
      </w:pPr>
      <w:bookmarkStart w:id="613" w:name="_Toc28516"/>
      <w:bookmarkStart w:id="614" w:name="_Toc20052"/>
      <w:r>
        <w:rPr>
          <w:rFonts w:hint="eastAsia" w:ascii="仿宋_GB2312" w:eastAsia="仿宋_GB2312"/>
          <w:b/>
          <w:sz w:val="32"/>
          <w:szCs w:val="28"/>
          <w:lang w:eastAsia="zh-CN"/>
        </w:rPr>
        <w:t>【政策依据】</w:t>
      </w:r>
      <w:bookmarkEnd w:id="613"/>
      <w:bookmarkEnd w:id="614"/>
    </w:p>
    <w:p>
      <w:pPr>
        <w:spacing w:line="360" w:lineRule="auto"/>
        <w:ind w:firstLine="642"/>
        <w:jc w:val="both"/>
        <w:rPr>
          <w:rFonts w:hint="eastAsia" w:ascii="仿宋_GB2312" w:eastAsia="仿宋_GB2312"/>
          <w:sz w:val="32"/>
          <w:szCs w:val="32"/>
          <w:lang w:eastAsia="zh-CN"/>
        </w:rPr>
      </w:pPr>
      <w:r>
        <w:rPr>
          <w:rFonts w:hint="eastAsia" w:ascii="仿宋_GB2312" w:eastAsia="仿宋_GB2312"/>
          <w:sz w:val="32"/>
          <w:szCs w:val="32"/>
        </w:rPr>
        <w:t>《财政部 国家税务总局关于企业改制过程中有关印花税政策的通知》（财税〔2003〕 183 号）</w:t>
      </w:r>
    </w:p>
    <w:p>
      <w:pPr>
        <w:spacing w:line="360" w:lineRule="auto"/>
        <w:ind w:firstLine="642"/>
        <w:jc w:val="both"/>
        <w:rPr>
          <w:rFonts w:hint="eastAsia" w:ascii="仿宋_GB2312" w:eastAsia="仿宋_GB2312"/>
          <w:sz w:val="32"/>
          <w:szCs w:val="32"/>
          <w:lang w:eastAsia="zh-CN"/>
        </w:rPr>
      </w:pPr>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615" w:name="_Toc14234"/>
      <w:bookmarkStart w:id="616" w:name="_Toc21616"/>
      <w:r>
        <w:rPr>
          <w:rFonts w:hint="eastAsia" w:ascii="仿宋_GB2312" w:hAnsi="仿宋_GB2312" w:eastAsia="仿宋_GB2312" w:cs="仿宋_GB2312"/>
          <w:b/>
          <w:bCs w:val="0"/>
          <w:color w:val="auto"/>
          <w:kern w:val="2"/>
          <w:sz w:val="32"/>
          <w:szCs w:val="32"/>
          <w:lang w:val="en-US" w:eastAsia="zh-CN" w:bidi="ar-SA"/>
        </w:rPr>
        <w:t>53.企业所得税非货币性资产投资可递延纳税</w:t>
      </w:r>
      <w:bookmarkEnd w:id="615"/>
      <w:bookmarkEnd w:id="616"/>
    </w:p>
    <w:p>
      <w:pPr>
        <w:numPr>
          <w:ilvl w:val="0"/>
          <w:numId w:val="0"/>
        </w:numPr>
        <w:spacing w:line="360" w:lineRule="auto"/>
        <w:ind w:firstLine="643" w:firstLineChars="200"/>
        <w:jc w:val="both"/>
        <w:outlineLvl w:val="1"/>
        <w:rPr>
          <w:rFonts w:hint="eastAsia" w:ascii="仿宋_GB2312" w:hAnsi="仿宋_GB2312" w:eastAsia="仿宋_GB2312" w:cs="仿宋_GB2312"/>
          <w:b/>
          <w:bCs w:val="0"/>
          <w:color w:val="auto"/>
          <w:kern w:val="2"/>
          <w:sz w:val="32"/>
          <w:szCs w:val="32"/>
          <w:lang w:val="en-US" w:eastAsia="zh-CN" w:bidi="ar-SA"/>
        </w:rPr>
      </w:pPr>
      <w:bookmarkStart w:id="617" w:name="_Toc27146"/>
      <w:bookmarkStart w:id="618" w:name="_Toc8872"/>
      <w:r>
        <w:rPr>
          <w:rFonts w:hint="eastAsia" w:ascii="仿宋_GB2312" w:hAnsi="仿宋_GB2312" w:eastAsia="仿宋_GB2312" w:cs="仿宋_GB2312"/>
          <w:b/>
          <w:bCs w:val="0"/>
          <w:color w:val="auto"/>
          <w:kern w:val="2"/>
          <w:sz w:val="32"/>
          <w:szCs w:val="32"/>
          <w:lang w:val="en-US" w:eastAsia="zh-CN" w:bidi="ar-SA"/>
        </w:rPr>
        <w:t>【政策内容】</w:t>
      </w:r>
      <w:bookmarkEnd w:id="617"/>
      <w:bookmarkEnd w:id="618"/>
    </w:p>
    <w:p>
      <w:pPr>
        <w:spacing w:line="360" w:lineRule="auto"/>
        <w:ind w:firstLine="642"/>
        <w:jc w:val="both"/>
        <w:rPr>
          <w:rFonts w:hint="eastAsia" w:ascii="仿宋_GB2312" w:eastAsia="仿宋_GB2312"/>
          <w:sz w:val="32"/>
          <w:szCs w:val="32"/>
        </w:rPr>
      </w:pPr>
      <w:r>
        <w:rPr>
          <w:rFonts w:hint="eastAsia" w:ascii="仿宋_GB2312" w:eastAsia="仿宋_GB2312"/>
          <w:sz w:val="32"/>
          <w:szCs w:val="32"/>
        </w:rPr>
        <w:t>居民企业以非货币性资产对外投资确认的非货币性资产转让所得，可在不超过5年期限内，分期均匀计入相应年度的应纳税所得额，按规定计算缴纳企业所得税。</w:t>
      </w:r>
    </w:p>
    <w:p>
      <w:pPr>
        <w:spacing w:line="360" w:lineRule="auto"/>
        <w:ind w:firstLine="642"/>
        <w:jc w:val="both"/>
        <w:outlineLvl w:val="2"/>
        <w:rPr>
          <w:rFonts w:hint="eastAsia" w:ascii="仿宋_GB2312" w:eastAsia="仿宋_GB2312"/>
          <w:sz w:val="28"/>
          <w:szCs w:val="28"/>
          <w:lang w:eastAsia="zh-CN"/>
        </w:rPr>
      </w:pPr>
      <w:bookmarkStart w:id="619" w:name="_Toc11384"/>
      <w:bookmarkStart w:id="620" w:name="_Toc17354"/>
      <w:r>
        <w:rPr>
          <w:rFonts w:hint="eastAsia" w:ascii="仿宋_GB2312" w:eastAsia="仿宋_GB2312"/>
          <w:b/>
          <w:sz w:val="32"/>
          <w:szCs w:val="28"/>
          <w:lang w:eastAsia="zh-CN"/>
        </w:rPr>
        <w:t>【政策依据】</w:t>
      </w:r>
      <w:bookmarkEnd w:id="619"/>
      <w:bookmarkEnd w:id="620"/>
    </w:p>
    <w:p>
      <w:pPr>
        <w:spacing w:line="360" w:lineRule="auto"/>
        <w:ind w:firstLine="642"/>
        <w:jc w:val="both"/>
        <w:rPr>
          <w:rFonts w:hint="eastAsia" w:ascii="仿宋_GB2312" w:eastAsia="仿宋_GB2312"/>
          <w:sz w:val="32"/>
          <w:szCs w:val="32"/>
          <w:lang w:eastAsia="zh-CN"/>
        </w:rPr>
      </w:pPr>
      <w:r>
        <w:rPr>
          <w:rFonts w:hint="eastAsia" w:ascii="仿宋_GB2312" w:eastAsia="仿宋_GB2312"/>
          <w:sz w:val="32"/>
          <w:szCs w:val="32"/>
        </w:rPr>
        <w:t>《财政部 国家税务总局关于非货币性资产投资企业所得税政策问题的通知》（财税〔2014〕 116 号）</w:t>
      </w:r>
    </w:p>
    <w:p>
      <w:pPr>
        <w:spacing w:line="360" w:lineRule="auto"/>
        <w:ind w:firstLine="640" w:firstLineChars="200"/>
        <w:jc w:val="both"/>
        <w:rPr>
          <w:rFonts w:hint="eastAsia" w:ascii="黑体" w:hAnsi="黑体" w:eastAsia="黑体" w:cs="黑体"/>
          <w:b w:val="0"/>
          <w:bCs/>
          <w:color w:val="auto"/>
          <w:sz w:val="36"/>
          <w:szCs w:val="36"/>
          <w:lang w:eastAsia="zh-CN"/>
        </w:rPr>
      </w:pPr>
      <w:r>
        <w:rPr>
          <w:rFonts w:hint="eastAsia" w:ascii="仿宋_GB2312" w:eastAsia="仿宋_GB2312"/>
          <w:sz w:val="32"/>
          <w:szCs w:val="32"/>
        </w:rPr>
        <w:t>《国家税务总局关于非货币性资产投资企业所得税有关征管问题的公告》（国家税务总局公告 2015 年第 33 号）</w:t>
      </w:r>
      <w:bookmarkEnd w:id="537"/>
      <w:bookmarkEnd w:id="538"/>
      <w:bookmarkEnd w:id="539"/>
    </w:p>
    <w:sectPr>
      <w:footerReference r:id="rId4" w:type="default"/>
      <w:pgSz w:w="11906" w:h="16838"/>
      <w:pgMar w:top="1440" w:right="1800" w:bottom="1440" w:left="1800" w:header="851" w:footer="992" w:gutter="0"/>
      <w:lnNumType w:countBy="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楷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35</w:t>
                          </w:r>
                          <w:r>
                            <w:fldChar w:fldCharType="end"/>
                          </w:r>
                        </w:p>
                      </w:txbxContent>
                    </wps:txbx>
                    <wps:bodyPr wrap="none" lIns="0" tIns="0" rIns="0" bIns="0" upright="1">
                      <a:spAutoFit/>
                    </wps:bodyPr>
                  </wps:wsp>
                </a:graphicData>
              </a:graphic>
            </wp:anchor>
          </w:drawing>
        </mc:Choice>
        <mc:Fallback>
          <w:pict>
            <v:rect id="矩形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j8vIxvwEAAIwDAAAOAAAAAAAAAAEAIAAAAB8BAABkcnMvZTJvRG9jLnhtbFBLBQYA&#10;AAAABgAGAFkBAABQ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35</w:t>
                    </w:r>
                    <w:r>
                      <w:fldChar w:fldCharType="end"/>
                    </w:r>
                  </w:p>
                </w:txbxContent>
              </v:textbox>
            </v:rect>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CEB0EB"/>
    <w:multiLevelType w:val="singleLevel"/>
    <w:tmpl w:val="7BCEB0E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859"/>
    <w:rsid w:val="00162859"/>
    <w:rsid w:val="001631F8"/>
    <w:rsid w:val="002B405D"/>
    <w:rsid w:val="006F53A4"/>
    <w:rsid w:val="008819F6"/>
    <w:rsid w:val="00C047D0"/>
    <w:rsid w:val="00D00AAC"/>
    <w:rsid w:val="00E25E5E"/>
    <w:rsid w:val="00E720D7"/>
    <w:rsid w:val="014E43B4"/>
    <w:rsid w:val="02101834"/>
    <w:rsid w:val="024A0488"/>
    <w:rsid w:val="03593A17"/>
    <w:rsid w:val="03D24827"/>
    <w:rsid w:val="0438182F"/>
    <w:rsid w:val="046C7209"/>
    <w:rsid w:val="058A6FAF"/>
    <w:rsid w:val="05DB430A"/>
    <w:rsid w:val="05DD3429"/>
    <w:rsid w:val="069B055D"/>
    <w:rsid w:val="06A90223"/>
    <w:rsid w:val="06C7520C"/>
    <w:rsid w:val="06EC7A31"/>
    <w:rsid w:val="06F3189E"/>
    <w:rsid w:val="06FE286E"/>
    <w:rsid w:val="0743657F"/>
    <w:rsid w:val="07525DA5"/>
    <w:rsid w:val="0762056A"/>
    <w:rsid w:val="07A05AF4"/>
    <w:rsid w:val="07E4142D"/>
    <w:rsid w:val="08C409D4"/>
    <w:rsid w:val="09963A0A"/>
    <w:rsid w:val="09F20294"/>
    <w:rsid w:val="0A094731"/>
    <w:rsid w:val="0B193342"/>
    <w:rsid w:val="0B352404"/>
    <w:rsid w:val="0B992ABA"/>
    <w:rsid w:val="0C460A68"/>
    <w:rsid w:val="0C7E0074"/>
    <w:rsid w:val="0D4F3FFB"/>
    <w:rsid w:val="0D8C05D4"/>
    <w:rsid w:val="0DD5365F"/>
    <w:rsid w:val="0DDD387F"/>
    <w:rsid w:val="0DF016AA"/>
    <w:rsid w:val="0E243266"/>
    <w:rsid w:val="0E644DB6"/>
    <w:rsid w:val="0EA326C3"/>
    <w:rsid w:val="0EC77FC4"/>
    <w:rsid w:val="0EDC7727"/>
    <w:rsid w:val="0FE657C9"/>
    <w:rsid w:val="102F6EA5"/>
    <w:rsid w:val="10AF5F2C"/>
    <w:rsid w:val="10BE7D74"/>
    <w:rsid w:val="10FD0E4F"/>
    <w:rsid w:val="11875D34"/>
    <w:rsid w:val="11A50D80"/>
    <w:rsid w:val="125B7D46"/>
    <w:rsid w:val="128423D4"/>
    <w:rsid w:val="12A94204"/>
    <w:rsid w:val="12B409AA"/>
    <w:rsid w:val="14373C72"/>
    <w:rsid w:val="147B4867"/>
    <w:rsid w:val="1557113B"/>
    <w:rsid w:val="155F00DC"/>
    <w:rsid w:val="156F6924"/>
    <w:rsid w:val="162927A8"/>
    <w:rsid w:val="166D6101"/>
    <w:rsid w:val="16897D7A"/>
    <w:rsid w:val="16997078"/>
    <w:rsid w:val="16A4259D"/>
    <w:rsid w:val="17A12F23"/>
    <w:rsid w:val="17E84F16"/>
    <w:rsid w:val="17F85272"/>
    <w:rsid w:val="18A2695E"/>
    <w:rsid w:val="18D01CD1"/>
    <w:rsid w:val="19107499"/>
    <w:rsid w:val="19262249"/>
    <w:rsid w:val="193A6B0A"/>
    <w:rsid w:val="1A377398"/>
    <w:rsid w:val="1A4B4E0E"/>
    <w:rsid w:val="1A6655DF"/>
    <w:rsid w:val="1A89542F"/>
    <w:rsid w:val="1B0958FA"/>
    <w:rsid w:val="1B3D6318"/>
    <w:rsid w:val="1BEE72D2"/>
    <w:rsid w:val="1C3D2707"/>
    <w:rsid w:val="1C7601C2"/>
    <w:rsid w:val="1CB2479D"/>
    <w:rsid w:val="1CEC36E0"/>
    <w:rsid w:val="1D063AD2"/>
    <w:rsid w:val="1D65794D"/>
    <w:rsid w:val="1D88263E"/>
    <w:rsid w:val="1DB514BB"/>
    <w:rsid w:val="1DC53552"/>
    <w:rsid w:val="1DE83FE5"/>
    <w:rsid w:val="1DEF59DA"/>
    <w:rsid w:val="1E5043CE"/>
    <w:rsid w:val="1EB14C04"/>
    <w:rsid w:val="1F9D0797"/>
    <w:rsid w:val="1FEF3F53"/>
    <w:rsid w:val="20F659EF"/>
    <w:rsid w:val="210213B6"/>
    <w:rsid w:val="21937AE8"/>
    <w:rsid w:val="2248427B"/>
    <w:rsid w:val="228C5147"/>
    <w:rsid w:val="22AA3D54"/>
    <w:rsid w:val="22C55403"/>
    <w:rsid w:val="22E3413F"/>
    <w:rsid w:val="240C18BB"/>
    <w:rsid w:val="241C208A"/>
    <w:rsid w:val="24436CCA"/>
    <w:rsid w:val="24471935"/>
    <w:rsid w:val="24525F4E"/>
    <w:rsid w:val="24712B7E"/>
    <w:rsid w:val="24724C60"/>
    <w:rsid w:val="24BB6606"/>
    <w:rsid w:val="250610BD"/>
    <w:rsid w:val="25C44D40"/>
    <w:rsid w:val="262C51C1"/>
    <w:rsid w:val="263647E0"/>
    <w:rsid w:val="26DB2141"/>
    <w:rsid w:val="272B5E85"/>
    <w:rsid w:val="272D2D8B"/>
    <w:rsid w:val="277C1C98"/>
    <w:rsid w:val="279012CE"/>
    <w:rsid w:val="27CC3350"/>
    <w:rsid w:val="27DC3722"/>
    <w:rsid w:val="281E407E"/>
    <w:rsid w:val="28500638"/>
    <w:rsid w:val="285137A4"/>
    <w:rsid w:val="28692D15"/>
    <w:rsid w:val="290E0FE6"/>
    <w:rsid w:val="29487DC1"/>
    <w:rsid w:val="29840BDE"/>
    <w:rsid w:val="2A881624"/>
    <w:rsid w:val="2AB00CC3"/>
    <w:rsid w:val="2AEA7329"/>
    <w:rsid w:val="2AF24AF4"/>
    <w:rsid w:val="2BC67BAB"/>
    <w:rsid w:val="2C897ED1"/>
    <w:rsid w:val="2CB2533E"/>
    <w:rsid w:val="2CDC3E44"/>
    <w:rsid w:val="2D890419"/>
    <w:rsid w:val="2DA21158"/>
    <w:rsid w:val="2DD30BC8"/>
    <w:rsid w:val="2E197C6E"/>
    <w:rsid w:val="2EA11DC9"/>
    <w:rsid w:val="2EB46F80"/>
    <w:rsid w:val="2EF93D7F"/>
    <w:rsid w:val="2F1078E0"/>
    <w:rsid w:val="2F554527"/>
    <w:rsid w:val="2F575695"/>
    <w:rsid w:val="2F6F3C63"/>
    <w:rsid w:val="2F941DE9"/>
    <w:rsid w:val="30391DD0"/>
    <w:rsid w:val="30877DD7"/>
    <w:rsid w:val="30B0510F"/>
    <w:rsid w:val="30B92FB7"/>
    <w:rsid w:val="32AE1F76"/>
    <w:rsid w:val="32D92B71"/>
    <w:rsid w:val="32D93AB0"/>
    <w:rsid w:val="33CD06BD"/>
    <w:rsid w:val="340E24CE"/>
    <w:rsid w:val="342B17BE"/>
    <w:rsid w:val="3468654D"/>
    <w:rsid w:val="34B70A5D"/>
    <w:rsid w:val="34C16F44"/>
    <w:rsid w:val="35324668"/>
    <w:rsid w:val="357F5D57"/>
    <w:rsid w:val="35DC1B79"/>
    <w:rsid w:val="35EA2C33"/>
    <w:rsid w:val="35EE31D5"/>
    <w:rsid w:val="36643DCC"/>
    <w:rsid w:val="366F5FEC"/>
    <w:rsid w:val="368A0E67"/>
    <w:rsid w:val="36CC0D45"/>
    <w:rsid w:val="36FF7F6B"/>
    <w:rsid w:val="37D3623F"/>
    <w:rsid w:val="37D36F3C"/>
    <w:rsid w:val="37D708DE"/>
    <w:rsid w:val="38173147"/>
    <w:rsid w:val="382471D8"/>
    <w:rsid w:val="3875236D"/>
    <w:rsid w:val="39882041"/>
    <w:rsid w:val="39D02D7B"/>
    <w:rsid w:val="39DC41BF"/>
    <w:rsid w:val="3A416DF4"/>
    <w:rsid w:val="3AAA0B70"/>
    <w:rsid w:val="3B0E4198"/>
    <w:rsid w:val="3B3478C9"/>
    <w:rsid w:val="3B590624"/>
    <w:rsid w:val="3BB17FAA"/>
    <w:rsid w:val="3BF57844"/>
    <w:rsid w:val="3C0003A8"/>
    <w:rsid w:val="3CD02685"/>
    <w:rsid w:val="3CFA7724"/>
    <w:rsid w:val="3D443AF1"/>
    <w:rsid w:val="3D9A50E6"/>
    <w:rsid w:val="3DB54C17"/>
    <w:rsid w:val="3DC457B0"/>
    <w:rsid w:val="3DD8404A"/>
    <w:rsid w:val="3E9155B8"/>
    <w:rsid w:val="3F5C4E8F"/>
    <w:rsid w:val="3FFF58C4"/>
    <w:rsid w:val="40AA74E2"/>
    <w:rsid w:val="40E97FDE"/>
    <w:rsid w:val="411722C5"/>
    <w:rsid w:val="41287890"/>
    <w:rsid w:val="41510338"/>
    <w:rsid w:val="41614DE9"/>
    <w:rsid w:val="421E1B7E"/>
    <w:rsid w:val="42563BA1"/>
    <w:rsid w:val="43513E9A"/>
    <w:rsid w:val="43780A54"/>
    <w:rsid w:val="4402678D"/>
    <w:rsid w:val="440944DA"/>
    <w:rsid w:val="44631132"/>
    <w:rsid w:val="4477561D"/>
    <w:rsid w:val="449053EB"/>
    <w:rsid w:val="449A3C48"/>
    <w:rsid w:val="44C35AE4"/>
    <w:rsid w:val="45364C91"/>
    <w:rsid w:val="45733E87"/>
    <w:rsid w:val="45972DA2"/>
    <w:rsid w:val="45F71912"/>
    <w:rsid w:val="463909E0"/>
    <w:rsid w:val="464717C9"/>
    <w:rsid w:val="4667798C"/>
    <w:rsid w:val="470D2D86"/>
    <w:rsid w:val="4780387F"/>
    <w:rsid w:val="47916398"/>
    <w:rsid w:val="47CD5320"/>
    <w:rsid w:val="486C4F86"/>
    <w:rsid w:val="48C318BA"/>
    <w:rsid w:val="49023FF1"/>
    <w:rsid w:val="49530324"/>
    <w:rsid w:val="499D1E7F"/>
    <w:rsid w:val="499D2F1E"/>
    <w:rsid w:val="49B26BE7"/>
    <w:rsid w:val="4A3C30B9"/>
    <w:rsid w:val="4AC11869"/>
    <w:rsid w:val="4B222D35"/>
    <w:rsid w:val="4B680D79"/>
    <w:rsid w:val="4B862FB1"/>
    <w:rsid w:val="4C3757CA"/>
    <w:rsid w:val="4C5227D6"/>
    <w:rsid w:val="4CB86611"/>
    <w:rsid w:val="4D1E3FC8"/>
    <w:rsid w:val="4D536D68"/>
    <w:rsid w:val="4D584B00"/>
    <w:rsid w:val="4D5A79BA"/>
    <w:rsid w:val="4D8D6DB0"/>
    <w:rsid w:val="4DA34344"/>
    <w:rsid w:val="4DBB7254"/>
    <w:rsid w:val="4DE56882"/>
    <w:rsid w:val="4DED0E5E"/>
    <w:rsid w:val="4E623C44"/>
    <w:rsid w:val="4EBF0D87"/>
    <w:rsid w:val="4FE70419"/>
    <w:rsid w:val="4FE912AB"/>
    <w:rsid w:val="502B78AF"/>
    <w:rsid w:val="50634DA5"/>
    <w:rsid w:val="512C7761"/>
    <w:rsid w:val="51802646"/>
    <w:rsid w:val="52984DDD"/>
    <w:rsid w:val="52D2098E"/>
    <w:rsid w:val="532D7B0F"/>
    <w:rsid w:val="53437614"/>
    <w:rsid w:val="53C63258"/>
    <w:rsid w:val="53E042BF"/>
    <w:rsid w:val="53E04743"/>
    <w:rsid w:val="542A51E2"/>
    <w:rsid w:val="54595BD2"/>
    <w:rsid w:val="55192AB2"/>
    <w:rsid w:val="556B1673"/>
    <w:rsid w:val="55E22177"/>
    <w:rsid w:val="55F076FE"/>
    <w:rsid w:val="56351BA1"/>
    <w:rsid w:val="56EC4196"/>
    <w:rsid w:val="572A48D2"/>
    <w:rsid w:val="58716291"/>
    <w:rsid w:val="588C3361"/>
    <w:rsid w:val="58981C86"/>
    <w:rsid w:val="59676EC0"/>
    <w:rsid w:val="596F283F"/>
    <w:rsid w:val="59732026"/>
    <w:rsid w:val="599376A0"/>
    <w:rsid w:val="59C3507D"/>
    <w:rsid w:val="5AE23F84"/>
    <w:rsid w:val="5BDC2312"/>
    <w:rsid w:val="5C6C0FE3"/>
    <w:rsid w:val="5C8E58C8"/>
    <w:rsid w:val="5CEB7AA1"/>
    <w:rsid w:val="5D2C6643"/>
    <w:rsid w:val="5D3A2063"/>
    <w:rsid w:val="5DA557B0"/>
    <w:rsid w:val="5DD52E68"/>
    <w:rsid w:val="5E5A2702"/>
    <w:rsid w:val="5E5A6A09"/>
    <w:rsid w:val="5E626536"/>
    <w:rsid w:val="5EA144AE"/>
    <w:rsid w:val="5EC418C4"/>
    <w:rsid w:val="5FCF43F0"/>
    <w:rsid w:val="5FEC4735"/>
    <w:rsid w:val="60415200"/>
    <w:rsid w:val="60A80F87"/>
    <w:rsid w:val="60B32368"/>
    <w:rsid w:val="60DF5AC3"/>
    <w:rsid w:val="610F5FE7"/>
    <w:rsid w:val="61371A7E"/>
    <w:rsid w:val="61766673"/>
    <w:rsid w:val="61A978D8"/>
    <w:rsid w:val="621C0C7A"/>
    <w:rsid w:val="62DD7978"/>
    <w:rsid w:val="630B3269"/>
    <w:rsid w:val="630F34DB"/>
    <w:rsid w:val="636D5D54"/>
    <w:rsid w:val="637B73C6"/>
    <w:rsid w:val="63930B8A"/>
    <w:rsid w:val="63A934B6"/>
    <w:rsid w:val="6475262C"/>
    <w:rsid w:val="6495511A"/>
    <w:rsid w:val="64CB7CB9"/>
    <w:rsid w:val="64D92FD6"/>
    <w:rsid w:val="64DF12E0"/>
    <w:rsid w:val="65A06320"/>
    <w:rsid w:val="65A33BAD"/>
    <w:rsid w:val="65AD61A7"/>
    <w:rsid w:val="66826EE7"/>
    <w:rsid w:val="675B454A"/>
    <w:rsid w:val="67AF5549"/>
    <w:rsid w:val="67DF33CE"/>
    <w:rsid w:val="67E46C83"/>
    <w:rsid w:val="67EC5D9C"/>
    <w:rsid w:val="681540A7"/>
    <w:rsid w:val="68D70ABD"/>
    <w:rsid w:val="68F15B23"/>
    <w:rsid w:val="696669A3"/>
    <w:rsid w:val="69CF53E8"/>
    <w:rsid w:val="69DD5DE6"/>
    <w:rsid w:val="69EF61B7"/>
    <w:rsid w:val="6A3E2D04"/>
    <w:rsid w:val="6A8B4D74"/>
    <w:rsid w:val="6AAE5E22"/>
    <w:rsid w:val="6AC60948"/>
    <w:rsid w:val="6AD6531B"/>
    <w:rsid w:val="6AE44E65"/>
    <w:rsid w:val="6B156987"/>
    <w:rsid w:val="6B282A13"/>
    <w:rsid w:val="6C1B3F2B"/>
    <w:rsid w:val="6C38556E"/>
    <w:rsid w:val="6C6A411D"/>
    <w:rsid w:val="6C6C1349"/>
    <w:rsid w:val="6C8669EF"/>
    <w:rsid w:val="6CDE1747"/>
    <w:rsid w:val="6CFF2142"/>
    <w:rsid w:val="6D2307DE"/>
    <w:rsid w:val="6D272ABE"/>
    <w:rsid w:val="6D4B7D2C"/>
    <w:rsid w:val="6E6C1051"/>
    <w:rsid w:val="6E930B88"/>
    <w:rsid w:val="6EE112C0"/>
    <w:rsid w:val="6EF95381"/>
    <w:rsid w:val="6F9A0075"/>
    <w:rsid w:val="6FA028AC"/>
    <w:rsid w:val="6FCA4CF6"/>
    <w:rsid w:val="6FE440A6"/>
    <w:rsid w:val="70143DE1"/>
    <w:rsid w:val="703A4633"/>
    <w:rsid w:val="70962E9D"/>
    <w:rsid w:val="70A43F38"/>
    <w:rsid w:val="70B639C9"/>
    <w:rsid w:val="70C67603"/>
    <w:rsid w:val="712F6268"/>
    <w:rsid w:val="715F700B"/>
    <w:rsid w:val="71DB20DB"/>
    <w:rsid w:val="7221156B"/>
    <w:rsid w:val="72381B71"/>
    <w:rsid w:val="72F6255C"/>
    <w:rsid w:val="732B3926"/>
    <w:rsid w:val="732B44D7"/>
    <w:rsid w:val="73B478EB"/>
    <w:rsid w:val="742A54AD"/>
    <w:rsid w:val="745B099C"/>
    <w:rsid w:val="745C5E29"/>
    <w:rsid w:val="74875D53"/>
    <w:rsid w:val="749E6AD7"/>
    <w:rsid w:val="75183BE8"/>
    <w:rsid w:val="753744D9"/>
    <w:rsid w:val="755449CC"/>
    <w:rsid w:val="75F06102"/>
    <w:rsid w:val="76905772"/>
    <w:rsid w:val="7704664D"/>
    <w:rsid w:val="77511847"/>
    <w:rsid w:val="77745001"/>
    <w:rsid w:val="79A115A1"/>
    <w:rsid w:val="79DD3C15"/>
    <w:rsid w:val="79F60B47"/>
    <w:rsid w:val="7A527CB8"/>
    <w:rsid w:val="7A681698"/>
    <w:rsid w:val="7A68455C"/>
    <w:rsid w:val="7AB930F2"/>
    <w:rsid w:val="7AF23626"/>
    <w:rsid w:val="7B2C41D5"/>
    <w:rsid w:val="7BC85625"/>
    <w:rsid w:val="7C1042E0"/>
    <w:rsid w:val="7C5A6E70"/>
    <w:rsid w:val="7CAA6D40"/>
    <w:rsid w:val="7CC34E0F"/>
    <w:rsid w:val="7CE135D8"/>
    <w:rsid w:val="7CEE7F41"/>
    <w:rsid w:val="7CF66A54"/>
    <w:rsid w:val="7D093795"/>
    <w:rsid w:val="7D363715"/>
    <w:rsid w:val="7D5831FA"/>
    <w:rsid w:val="7DF25E9B"/>
    <w:rsid w:val="7EC41C82"/>
    <w:rsid w:val="7EDD5470"/>
    <w:rsid w:val="7F2632FE"/>
    <w:rsid w:val="7F6F5CB7"/>
    <w:rsid w:val="7F710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24"/>
      <w:szCs w:val="24"/>
      <w:lang w:val="en-US" w:eastAsia="zh-CN" w:bidi="ar"/>
    </w:rPr>
  </w:style>
  <w:style w:type="paragraph" w:styleId="3">
    <w:name w:val="heading 2"/>
    <w:basedOn w:val="1"/>
    <w:next w:val="1"/>
    <w:qFormat/>
    <w:uiPriority w:val="9"/>
    <w:pPr>
      <w:jc w:val="left"/>
      <w:outlineLvl w:val="1"/>
    </w:pPr>
    <w:rPr>
      <w:rFonts w:hint="eastAsia" w:ascii="宋体" w:hAnsi="宋体"/>
      <w:b/>
      <w:bCs/>
      <w:color w:val="000000"/>
      <w:kern w:val="0"/>
      <w:sz w:val="16"/>
      <w:szCs w:val="16"/>
    </w:rPr>
  </w:style>
  <w:style w:type="paragraph" w:styleId="4">
    <w:name w:val="heading 3"/>
    <w:basedOn w:val="1"/>
    <w:next w:val="1"/>
    <w:qFormat/>
    <w:uiPriority w:val="0"/>
    <w:pPr>
      <w:keepNext/>
      <w:keepLines/>
      <w:spacing w:before="260" w:after="260" w:line="416" w:lineRule="auto"/>
      <w:outlineLvl w:val="2"/>
    </w:pPr>
    <w:rPr>
      <w:rFonts w:ascii="Times New Roman" w:hAnsi="Times New Roman"/>
      <w:b/>
      <w:bCs/>
      <w:kern w:val="0"/>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1"/>
    <w:pPr>
      <w:spacing w:before="205"/>
      <w:ind w:left="120"/>
    </w:pPr>
    <w:rPr>
      <w:rFonts w:ascii="仿宋_GB2312" w:hAnsi="仿宋_GB2312" w:eastAsia="仿宋_GB2312" w:cs="仿宋_GB2312"/>
      <w:sz w:val="32"/>
      <w:szCs w:val="32"/>
    </w:rPr>
  </w:style>
  <w:style w:type="paragraph" w:styleId="7">
    <w:name w:val="Body Text Indent"/>
    <w:basedOn w:val="1"/>
    <w:unhideWhenUsed/>
    <w:qFormat/>
    <w:uiPriority w:val="99"/>
    <w:pPr>
      <w:spacing w:after="120"/>
      <w:ind w:left="420" w:leftChars="200"/>
    </w:pPr>
  </w:style>
  <w:style w:type="paragraph" w:styleId="8">
    <w:name w:val="toc 3"/>
    <w:basedOn w:val="1"/>
    <w:next w:val="1"/>
    <w:qFormat/>
    <w:uiPriority w:val="0"/>
    <w:pPr>
      <w:ind w:left="840" w:leftChars="400"/>
    </w:pPr>
  </w:style>
  <w:style w:type="paragraph" w:styleId="9">
    <w:name w:val="Balloon Text"/>
    <w:basedOn w:val="1"/>
    <w:link w:val="50"/>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Title"/>
    <w:basedOn w:val="1"/>
    <w:next w:val="1"/>
    <w:qFormat/>
    <w:uiPriority w:val="10"/>
    <w:pPr>
      <w:spacing w:before="240" w:after="60"/>
      <w:jc w:val="center"/>
      <w:outlineLvl w:val="0"/>
    </w:pPr>
    <w:rPr>
      <w:rFonts w:ascii="Cambria" w:hAnsi="Cambria" w:cs="Times New Roman"/>
      <w:b/>
      <w:bCs/>
      <w:sz w:val="32"/>
      <w:szCs w:val="32"/>
    </w:rPr>
  </w:style>
  <w:style w:type="character" w:styleId="18">
    <w:name w:val="Strong"/>
    <w:basedOn w:val="17"/>
    <w:qFormat/>
    <w:uiPriority w:val="22"/>
  </w:style>
  <w:style w:type="character" w:styleId="19">
    <w:name w:val="FollowedHyperlink"/>
    <w:basedOn w:val="17"/>
    <w:qFormat/>
    <w:uiPriority w:val="0"/>
    <w:rPr>
      <w:color w:val="333333"/>
      <w:u w:val="none"/>
    </w:rPr>
  </w:style>
  <w:style w:type="character" w:styleId="20">
    <w:name w:val="HTML Definition"/>
    <w:basedOn w:val="17"/>
    <w:qFormat/>
    <w:uiPriority w:val="0"/>
  </w:style>
  <w:style w:type="character" w:styleId="21">
    <w:name w:val="HTML Variable"/>
    <w:basedOn w:val="17"/>
    <w:qFormat/>
    <w:uiPriority w:val="0"/>
  </w:style>
  <w:style w:type="character" w:styleId="22">
    <w:name w:val="Hyperlink"/>
    <w:basedOn w:val="17"/>
    <w:qFormat/>
    <w:uiPriority w:val="99"/>
    <w:rPr>
      <w:color w:val="0000FF"/>
      <w:u w:val="none"/>
    </w:rPr>
  </w:style>
  <w:style w:type="character" w:styleId="23">
    <w:name w:val="HTML Code"/>
    <w:basedOn w:val="17"/>
    <w:qFormat/>
    <w:uiPriority w:val="0"/>
    <w:rPr>
      <w:rFonts w:ascii="Courier New" w:hAnsi="Courier New"/>
      <w:sz w:val="20"/>
    </w:rPr>
  </w:style>
  <w:style w:type="character" w:styleId="24">
    <w:name w:val="HTML Cite"/>
    <w:basedOn w:val="17"/>
    <w:qFormat/>
    <w:uiPriority w:val="0"/>
  </w:style>
  <w:style w:type="character" w:customStyle="1" w:styleId="25">
    <w:name w:val="txt"/>
    <w:basedOn w:val="17"/>
    <w:qFormat/>
    <w:uiPriority w:val="0"/>
    <w:rPr>
      <w:color w:val="F1F1F1"/>
    </w:rPr>
  </w:style>
  <w:style w:type="character" w:customStyle="1" w:styleId="26">
    <w:name w:val="txt1"/>
    <w:basedOn w:val="17"/>
    <w:qFormat/>
    <w:uiPriority w:val="0"/>
    <w:rPr>
      <w:color w:val="F1F1F1"/>
    </w:rPr>
  </w:style>
  <w:style w:type="character" w:customStyle="1" w:styleId="27">
    <w:name w:val="txtbg"/>
    <w:basedOn w:val="17"/>
    <w:qFormat/>
    <w:uiPriority w:val="0"/>
    <w:rPr>
      <w:shd w:val="clear" w:color="auto" w:fill="000000"/>
    </w:rPr>
  </w:style>
  <w:style w:type="character" w:customStyle="1" w:styleId="28">
    <w:name w:val="txtbg1"/>
    <w:basedOn w:val="17"/>
    <w:qFormat/>
    <w:uiPriority w:val="0"/>
    <w:rPr>
      <w:shd w:val="clear" w:color="auto" w:fill="000000"/>
    </w:rPr>
  </w:style>
  <w:style w:type="character" w:customStyle="1" w:styleId="29">
    <w:name w:val="sharebtn_m"/>
    <w:basedOn w:val="17"/>
    <w:qFormat/>
    <w:uiPriority w:val="0"/>
    <w:rPr>
      <w:vanish/>
    </w:rPr>
  </w:style>
  <w:style w:type="character" w:customStyle="1" w:styleId="30">
    <w:name w:val="llcs"/>
    <w:basedOn w:val="17"/>
    <w:qFormat/>
    <w:uiPriority w:val="0"/>
    <w:rPr>
      <w:vanish/>
    </w:rPr>
  </w:style>
  <w:style w:type="character" w:customStyle="1" w:styleId="31">
    <w:name w:val="llcs_lm"/>
    <w:basedOn w:val="17"/>
    <w:qFormat/>
    <w:uiPriority w:val="0"/>
    <w:rPr>
      <w:vanish/>
    </w:rPr>
  </w:style>
  <w:style w:type="character" w:customStyle="1" w:styleId="32">
    <w:name w:val="llcs4"/>
    <w:basedOn w:val="17"/>
    <w:qFormat/>
    <w:uiPriority w:val="0"/>
    <w:rPr>
      <w:vanish/>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5">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6">
    <w:name w:val="enabledtext"/>
    <w:basedOn w:val="17"/>
    <w:qFormat/>
    <w:uiPriority w:val="0"/>
    <w:rPr>
      <w:color w:val="000000"/>
    </w:rPr>
  </w:style>
  <w:style w:type="character" w:customStyle="1" w:styleId="37">
    <w:name w:val="hover14"/>
    <w:basedOn w:val="17"/>
    <w:qFormat/>
    <w:uiPriority w:val="0"/>
    <w:rPr>
      <w:shd w:val="clear" w:color="auto" w:fill="D0D0D0"/>
    </w:rPr>
  </w:style>
  <w:style w:type="character" w:customStyle="1" w:styleId="38">
    <w:name w:val="hover15"/>
    <w:basedOn w:val="17"/>
    <w:qFormat/>
    <w:uiPriority w:val="0"/>
    <w:rPr>
      <w:shd w:val="clear" w:color="auto" w:fill="EFEFEF"/>
    </w:rPr>
  </w:style>
  <w:style w:type="character" w:customStyle="1" w:styleId="39">
    <w:name w:val="operand"/>
    <w:basedOn w:val="17"/>
    <w:qFormat/>
    <w:uiPriority w:val="0"/>
    <w:rPr>
      <w:b/>
      <w:bCs/>
      <w:color w:val="16960E"/>
    </w:rPr>
  </w:style>
  <w:style w:type="character" w:customStyle="1" w:styleId="40">
    <w:name w:val="btnspan"/>
    <w:basedOn w:val="17"/>
    <w:qFormat/>
    <w:uiPriority w:val="0"/>
  </w:style>
  <w:style w:type="character" w:customStyle="1" w:styleId="41">
    <w:name w:val="odcr"/>
    <w:basedOn w:val="17"/>
    <w:qFormat/>
    <w:uiPriority w:val="0"/>
    <w:rPr>
      <w:color w:val="777777"/>
    </w:rPr>
  </w:style>
  <w:style w:type="character" w:customStyle="1" w:styleId="42">
    <w:name w:val="mailnum"/>
    <w:basedOn w:val="17"/>
    <w:qFormat/>
    <w:uiPriority w:val="0"/>
    <w:rPr>
      <w:b/>
      <w:bCs/>
    </w:rPr>
  </w:style>
  <w:style w:type="character" w:customStyle="1" w:styleId="43">
    <w:name w:val="active6"/>
    <w:basedOn w:val="17"/>
    <w:qFormat/>
    <w:uiPriority w:val="0"/>
    <w:rPr>
      <w:b/>
      <w:bCs/>
    </w:rPr>
  </w:style>
  <w:style w:type="character" w:customStyle="1" w:styleId="44">
    <w:name w:val="hidden"/>
    <w:basedOn w:val="17"/>
    <w:qFormat/>
    <w:uiPriority w:val="0"/>
    <w:rPr>
      <w:vanish/>
    </w:rPr>
  </w:style>
  <w:style w:type="character" w:customStyle="1" w:styleId="45">
    <w:name w:val="nav_pop_folder"/>
    <w:basedOn w:val="17"/>
    <w:qFormat/>
    <w:uiPriority w:val="0"/>
  </w:style>
  <w:style w:type="character" w:customStyle="1" w:styleId="46">
    <w:name w:val="icolink"/>
    <w:basedOn w:val="17"/>
    <w:qFormat/>
    <w:uiPriority w:val="0"/>
  </w:style>
  <w:style w:type="character" w:customStyle="1" w:styleId="47">
    <w:name w:val="icolink1"/>
    <w:basedOn w:val="17"/>
    <w:qFormat/>
    <w:uiPriority w:val="0"/>
  </w:style>
  <w:style w:type="character" w:customStyle="1" w:styleId="48">
    <w:name w:val="viewflagged"/>
    <w:basedOn w:val="17"/>
    <w:qFormat/>
    <w:uiPriority w:val="0"/>
    <w:rPr>
      <w:color w:val="1B1B1B"/>
    </w:rPr>
  </w:style>
  <w:style w:type="character" w:customStyle="1" w:styleId="49">
    <w:name w:val="normalspan"/>
    <w:basedOn w:val="17"/>
    <w:qFormat/>
    <w:uiPriority w:val="0"/>
    <w:rPr>
      <w:color w:val="auto"/>
    </w:rPr>
  </w:style>
  <w:style w:type="character" w:customStyle="1" w:styleId="50">
    <w:name w:val="批注框文本 Char"/>
    <w:basedOn w:val="17"/>
    <w:link w:val="9"/>
    <w:qFormat/>
    <w:uiPriority w:val="0"/>
    <w:rPr>
      <w:rFonts w:ascii="Calibri" w:hAnsi="Calibri" w:cs="宋体"/>
      <w:kern w:val="2"/>
      <w:sz w:val="18"/>
      <w:szCs w:val="18"/>
    </w:rPr>
  </w:style>
  <w:style w:type="character" w:customStyle="1" w:styleId="51">
    <w:name w:val="lastest"/>
    <w:basedOn w:val="17"/>
    <w:qFormat/>
    <w:uiPriority w:val="0"/>
  </w:style>
  <w:style w:type="character" w:customStyle="1" w:styleId="52">
    <w:name w:val="layui-layer-tabnow"/>
    <w:basedOn w:val="17"/>
    <w:qFormat/>
    <w:uiPriority w:val="0"/>
    <w:rPr>
      <w:bdr w:val="single" w:color="CCCCCC" w:sz="4" w:space="0"/>
      <w:shd w:val="clear" w:fill="FFFFFF"/>
    </w:rPr>
  </w:style>
  <w:style w:type="character" w:customStyle="1" w:styleId="53">
    <w:name w:val="first-child"/>
    <w:basedOn w:val="17"/>
    <w:qFormat/>
    <w:uiPriority w:val="0"/>
  </w:style>
  <w:style w:type="character" w:customStyle="1" w:styleId="54">
    <w:name w:val="bq"/>
    <w:basedOn w:val="17"/>
    <w:qFormat/>
    <w:uiPriority w:val="0"/>
  </w:style>
  <w:style w:type="character" w:customStyle="1" w:styleId="55">
    <w:name w:val="kind"/>
    <w:basedOn w:val="17"/>
    <w:qFormat/>
    <w:uiPriority w:val="0"/>
    <w:rPr>
      <w:color w:val="336699"/>
      <w:bdr w:val="single" w:color="336699" w:sz="4" w:space="0"/>
    </w:rPr>
  </w:style>
  <w:style w:type="character" w:customStyle="1" w:styleId="56">
    <w:name w:val="time"/>
    <w:basedOn w:val="17"/>
    <w:qFormat/>
    <w:uiPriority w:val="0"/>
    <w:rPr>
      <w:color w:val="999999"/>
      <w:sz w:val="14"/>
      <w:szCs w:val="14"/>
    </w:rPr>
  </w:style>
  <w:style w:type="character" w:customStyle="1" w:styleId="57">
    <w:name w:val="time1"/>
    <w:basedOn w:val="17"/>
    <w:qFormat/>
    <w:uiPriority w:val="0"/>
    <w:rPr>
      <w:color w:val="999999"/>
      <w:sz w:val="14"/>
      <w:szCs w:val="14"/>
    </w:rPr>
  </w:style>
  <w:style w:type="character" w:customStyle="1" w:styleId="58">
    <w:name w:val="to"/>
    <w:basedOn w:val="17"/>
    <w:qFormat/>
    <w:uiPriority w:val="0"/>
  </w:style>
  <w:style w:type="character" w:customStyle="1" w:styleId="59">
    <w:name w:val="sort"/>
    <w:basedOn w:val="17"/>
    <w:qFormat/>
    <w:uiPriority w:val="0"/>
    <w:rPr>
      <w:rFonts w:ascii="华文楷体" w:hAnsi="华文楷体" w:eastAsia="华文楷体" w:cs="华文楷体"/>
      <w:color w:val="666666"/>
    </w:rPr>
  </w:style>
  <w:style w:type="character" w:customStyle="1" w:styleId="60">
    <w:name w:val="hao12"/>
    <w:basedOn w:val="17"/>
    <w:qFormat/>
    <w:uiPriority w:val="0"/>
    <w:rPr>
      <w:b/>
      <w:bCs/>
    </w:rPr>
  </w:style>
  <w:style w:type="character" w:customStyle="1" w:styleId="61">
    <w:name w:val="fontstyle01"/>
    <w:basedOn w:val="17"/>
    <w:qFormat/>
    <w:uiPriority w:val="0"/>
    <w:rPr>
      <w:rFonts w:ascii="仿宋_GB2312" w:hAnsi="仿宋_GB2312" w:eastAsia="仿宋_GB2312" w:cs="仿宋_GB2312"/>
      <w:color w:val="000000"/>
      <w:sz w:val="32"/>
      <w:szCs w:val="32"/>
    </w:rPr>
  </w:style>
  <w:style w:type="character" w:customStyle="1" w:styleId="62">
    <w:name w:val="fontstyle21"/>
    <w:basedOn w:val="17"/>
    <w:qFormat/>
    <w:uiPriority w:val="0"/>
    <w:rPr>
      <w:rFonts w:ascii="Calibri" w:hAnsi="Calibri" w:cs="Calibri"/>
      <w:color w:val="000000"/>
      <w:sz w:val="18"/>
      <w:szCs w:val="18"/>
    </w:rPr>
  </w:style>
  <w:style w:type="paragraph" w:customStyle="1" w:styleId="63">
    <w:name w:val="正文首行缩进 21"/>
    <w:basedOn w:val="7"/>
    <w:qFormat/>
    <w:uiPriority w:val="0"/>
    <w:pPr>
      <w:spacing w:before="100" w:beforeAutospacing="1" w:after="100" w:afterAutospacing="1"/>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52194C-80AF-4303-9367-8DED72A1C9F8}">
  <ds:schemaRefs/>
</ds:datastoreItem>
</file>

<file path=docProps/app.xml><?xml version="1.0" encoding="utf-8"?>
<Properties xmlns="http://schemas.openxmlformats.org/officeDocument/2006/extended-properties" xmlns:vt="http://schemas.openxmlformats.org/officeDocument/2006/docPropsVTypes">
  <Template>Normal.dotm</Template>
  <Pages>104</Pages>
  <Words>7079</Words>
  <Characters>40351</Characters>
  <Lines>336</Lines>
  <Paragraphs>94</Paragraphs>
  <TotalTime>1</TotalTime>
  <ScaleCrop>false</ScaleCrop>
  <LinksUpToDate>false</LinksUpToDate>
  <CharactersWithSpaces>47336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梁发期</cp:lastModifiedBy>
  <cp:lastPrinted>2022-07-20T10:31:00Z</cp:lastPrinted>
  <dcterms:modified xsi:type="dcterms:W3CDTF">2022-07-26T06:59:59Z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540DB897B9B3489FB269BA6AA415A149</vt:lpwstr>
  </property>
</Properties>
</file>