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57"/>
        <w:gridCol w:w="1926"/>
        <w:gridCol w:w="780"/>
        <w:gridCol w:w="2041"/>
        <w:gridCol w:w="2041"/>
        <w:gridCol w:w="2041"/>
      </w:tblGrid>
      <w:tr w:rsidR="00A54E01" w:rsidTr="007D39EB">
        <w:trPr>
          <w:trHeight w:val="283"/>
        </w:trPr>
        <w:tc>
          <w:tcPr>
            <w:tcW w:w="221" w:type="pc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A54E01" w:rsidRDefault="00A54E01" w:rsidP="00DA7E3A">
            <w:pPr>
              <w:pStyle w:val="a3"/>
              <w:widowControl/>
              <w:spacing w:before="0" w:beforeAutospacing="0" w:after="0" w:afterAutospacing="0" w:line="360" w:lineRule="atLeast"/>
              <w:jc w:val="center"/>
              <w:rPr>
                <w:rFonts w:cs="Calibri"/>
                <w:sz w:val="21"/>
                <w:szCs w:val="21"/>
              </w:rPr>
            </w:pPr>
            <w:bookmarkStart w:id="0" w:name="OLE_LINK1"/>
            <w:bookmarkStart w:id="1" w:name="OLE_LINK2"/>
            <w:bookmarkStart w:id="2" w:name="_GoBack"/>
            <w:r>
              <w:rPr>
                <w:rFonts w:ascii="宋体" w:hAnsi="宋体" w:cs="宋体" w:hint="eastAsia"/>
                <w:b/>
                <w:color w:val="333333"/>
              </w:rPr>
              <w:t>项目名称</w:t>
            </w:r>
          </w:p>
        </w:tc>
        <w:tc>
          <w:tcPr>
            <w:tcW w:w="1042"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A54E01" w:rsidP="00DA7E3A">
            <w:pPr>
              <w:pStyle w:val="a3"/>
              <w:widowControl/>
              <w:spacing w:before="0" w:beforeAutospacing="0" w:after="0" w:afterAutospacing="0" w:line="360" w:lineRule="atLeast"/>
              <w:jc w:val="center"/>
              <w:rPr>
                <w:rFonts w:cs="Calibri"/>
                <w:sz w:val="21"/>
                <w:szCs w:val="21"/>
              </w:rPr>
            </w:pPr>
            <w:r>
              <w:rPr>
                <w:rFonts w:ascii="宋体" w:hAnsi="宋体" w:cs="宋体" w:hint="eastAsia"/>
                <w:b/>
                <w:color w:val="333333"/>
              </w:rPr>
              <w:t>设定依据</w:t>
            </w:r>
          </w:p>
        </w:tc>
        <w:tc>
          <w:tcPr>
            <w:tcW w:w="425"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A54E01" w:rsidP="00DA7E3A">
            <w:pPr>
              <w:pStyle w:val="a3"/>
              <w:widowControl/>
              <w:spacing w:before="0" w:beforeAutospacing="0" w:after="0" w:afterAutospacing="0" w:line="360" w:lineRule="atLeast"/>
              <w:jc w:val="center"/>
              <w:rPr>
                <w:rFonts w:ascii="宋体" w:hAnsi="宋体" w:cs="宋体"/>
                <w:b/>
                <w:color w:val="333333"/>
              </w:rPr>
            </w:pPr>
            <w:r>
              <w:rPr>
                <w:rFonts w:ascii="宋体" w:hAnsi="宋体" w:cs="宋体" w:hint="eastAsia"/>
                <w:b/>
                <w:color w:val="333333"/>
              </w:rPr>
              <w:t>征收</w:t>
            </w:r>
          </w:p>
          <w:p w:rsidR="00A54E01" w:rsidRDefault="00A54E01" w:rsidP="00DA7E3A">
            <w:pPr>
              <w:pStyle w:val="a3"/>
              <w:widowControl/>
              <w:spacing w:before="0" w:beforeAutospacing="0" w:after="0" w:afterAutospacing="0" w:line="360" w:lineRule="atLeast"/>
              <w:jc w:val="center"/>
              <w:rPr>
                <w:rFonts w:cs="Calibri"/>
                <w:sz w:val="21"/>
                <w:szCs w:val="21"/>
              </w:rPr>
            </w:pPr>
            <w:r>
              <w:rPr>
                <w:rFonts w:ascii="宋体" w:hAnsi="宋体" w:cs="宋体" w:hint="eastAsia"/>
                <w:b/>
                <w:color w:val="333333"/>
              </w:rPr>
              <w:t>标准</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A54E01" w:rsidP="00DA7E3A">
            <w:pPr>
              <w:pStyle w:val="a3"/>
              <w:widowControl/>
              <w:spacing w:before="0" w:beforeAutospacing="0" w:after="0" w:afterAutospacing="0" w:line="360" w:lineRule="atLeast"/>
              <w:jc w:val="center"/>
              <w:rPr>
                <w:rFonts w:cs="Calibri"/>
                <w:sz w:val="21"/>
                <w:szCs w:val="21"/>
              </w:rPr>
            </w:pPr>
            <w:r>
              <w:rPr>
                <w:rFonts w:ascii="宋体" w:hAnsi="宋体" w:cs="宋体" w:hint="eastAsia"/>
                <w:b/>
                <w:color w:val="333333"/>
              </w:rPr>
              <w:t>征收程序</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A54E01" w:rsidP="00DA7E3A">
            <w:pPr>
              <w:pStyle w:val="a3"/>
              <w:widowControl/>
              <w:spacing w:before="0" w:beforeAutospacing="0" w:after="0" w:afterAutospacing="0" w:line="360" w:lineRule="atLeast"/>
              <w:jc w:val="center"/>
              <w:rPr>
                <w:rFonts w:cs="Calibri"/>
                <w:sz w:val="21"/>
                <w:szCs w:val="21"/>
              </w:rPr>
            </w:pPr>
            <w:r>
              <w:rPr>
                <w:rFonts w:ascii="宋体" w:hAnsi="宋体" w:cs="宋体" w:hint="eastAsia"/>
                <w:b/>
                <w:color w:val="333333"/>
              </w:rPr>
              <w:t>返还条件</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A54E01" w:rsidP="00DA7E3A">
            <w:pPr>
              <w:pStyle w:val="a3"/>
              <w:widowControl/>
              <w:spacing w:before="0" w:beforeAutospacing="0" w:after="0" w:afterAutospacing="0" w:line="360" w:lineRule="atLeast"/>
              <w:jc w:val="center"/>
              <w:rPr>
                <w:rFonts w:cs="Calibri"/>
                <w:sz w:val="21"/>
                <w:szCs w:val="21"/>
              </w:rPr>
            </w:pPr>
            <w:r>
              <w:rPr>
                <w:rFonts w:ascii="宋体" w:hAnsi="宋体" w:cs="宋体" w:hint="eastAsia"/>
                <w:b/>
                <w:color w:val="333333"/>
              </w:rPr>
              <w:t>办理时限</w:t>
            </w:r>
          </w:p>
        </w:tc>
      </w:tr>
      <w:tr w:rsidR="00A54E01" w:rsidTr="00E32030">
        <w:trPr>
          <w:trHeight w:val="283"/>
        </w:trPr>
        <w:tc>
          <w:tcPr>
            <w:tcW w:w="221" w:type="pc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A54E01" w:rsidRDefault="00A54E01" w:rsidP="00E32030">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t>纳税担保金</w:t>
            </w:r>
          </w:p>
        </w:tc>
        <w:tc>
          <w:tcPr>
            <w:tcW w:w="1042"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A54E01"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w:t>
            </w:r>
            <w:r w:rsidR="00123301" w:rsidRPr="00123301">
              <w:rPr>
                <w:rFonts w:ascii="宋体" w:hAnsi="宋体" w:cs="宋体" w:hint="eastAsia"/>
                <w:color w:val="333333"/>
              </w:rPr>
              <w:t>中华人民共和国税收征收管理法</w:t>
            </w:r>
            <w:r>
              <w:rPr>
                <w:rFonts w:ascii="宋体" w:hAnsi="宋体" w:cs="宋体" w:hint="eastAsia"/>
                <w:color w:val="333333"/>
              </w:rPr>
              <w:t>》第三十八条、第四十四条、第八十八条；</w:t>
            </w:r>
          </w:p>
          <w:p w:rsidR="00A54E01" w:rsidRDefault="00A54E01"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w:t>
            </w:r>
            <w:r w:rsidR="00BF7EA9" w:rsidRPr="00BF7EA9">
              <w:rPr>
                <w:rFonts w:ascii="宋体" w:hAnsi="宋体" w:cs="宋体" w:hint="eastAsia"/>
                <w:color w:val="333333"/>
              </w:rPr>
              <w:t>中华人民共和国税收征收管理法实施细则</w:t>
            </w:r>
            <w:r>
              <w:rPr>
                <w:rFonts w:ascii="宋体" w:hAnsi="宋体" w:cs="宋体" w:hint="eastAsia"/>
                <w:color w:val="333333"/>
              </w:rPr>
              <w:t>》第六十一条；</w:t>
            </w:r>
          </w:p>
          <w:p w:rsidR="00A54E01" w:rsidRDefault="00A54E01"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《纳税担保试行办法》（国家税务总局令第11号）第三条、第二十</w:t>
            </w:r>
            <w:r w:rsidR="001F1C42">
              <w:rPr>
                <w:rFonts w:ascii="宋体" w:hAnsi="宋体" w:cs="宋体" w:hint="eastAsia"/>
                <w:color w:val="333333"/>
              </w:rPr>
              <w:t>四</w:t>
            </w:r>
            <w:r>
              <w:rPr>
                <w:rFonts w:ascii="宋体" w:hAnsi="宋体" w:cs="宋体" w:hint="eastAsia"/>
                <w:color w:val="333333"/>
              </w:rPr>
              <w:t>条；</w:t>
            </w:r>
          </w:p>
          <w:p w:rsidR="00A54E01" w:rsidRPr="00A54E01" w:rsidRDefault="00A54E01"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《税务行政复议规则》（国家税务总局令第39号）第三十三条</w:t>
            </w:r>
            <w:r w:rsidR="009046DA">
              <w:rPr>
                <w:rFonts w:ascii="宋体" w:hAnsi="宋体" w:cs="宋体" w:hint="eastAsia"/>
                <w:color w:val="333333"/>
              </w:rPr>
              <w:t>。</w:t>
            </w:r>
          </w:p>
          <w:p w:rsidR="00A54E01" w:rsidRPr="00A54E01" w:rsidRDefault="00A54E01" w:rsidP="00E32030">
            <w:pPr>
              <w:pStyle w:val="a3"/>
              <w:widowControl/>
              <w:spacing w:before="0" w:beforeAutospacing="0" w:after="0" w:afterAutospacing="0" w:line="360" w:lineRule="atLeast"/>
              <w:jc w:val="both"/>
              <w:rPr>
                <w:rFonts w:ascii="宋体" w:hAnsi="宋体" w:cs="宋体"/>
                <w:b/>
                <w:color w:val="333333"/>
              </w:rPr>
            </w:pPr>
          </w:p>
        </w:tc>
        <w:tc>
          <w:tcPr>
            <w:tcW w:w="425"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A54E01" w:rsidP="00E32030">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t>不得低于应当缴纳的税款、滞纳金，并考虑相关的费用。</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7D39EB" w:rsidP="00E32030">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t>纳税人提供抵押担保的，应当填写纳税担保书和纳税担保财产清单。纳税担保财产清单应当写明财产价值以及相关事项。纳税担保书和纳税担保财产清单须经纳税人签字盖章并经税务机关确认。纳税人提供质押担保的，应当填写纳税担保书和纳税担保财产清单并签字盖章。  </w:t>
            </w:r>
            <w:r>
              <w:rPr>
                <w:rFonts w:ascii="宋体" w:hAnsi="宋体" w:cs="宋体" w:hint="eastAsia"/>
                <w:color w:val="333333"/>
              </w:rPr>
              <w:br/>
            </w:r>
            <w:r w:rsidR="00664E4B">
              <w:rPr>
                <w:rFonts w:ascii="宋体" w:hAnsi="宋体" w:cs="宋体" w:hint="eastAsia"/>
                <w:color w:val="333333"/>
              </w:rPr>
              <w:t>税务机关</w:t>
            </w:r>
            <w:r w:rsidR="00D739B4">
              <w:rPr>
                <w:rFonts w:ascii="宋体" w:hAnsi="宋体" w:cs="宋体" w:hint="eastAsia"/>
                <w:color w:val="333333"/>
              </w:rPr>
              <w:t>经审批后，发放经纳税人、纳税担保人签字盖章并经税务机关签字盖章的</w:t>
            </w:r>
            <w:r>
              <w:rPr>
                <w:rFonts w:ascii="宋体" w:hAnsi="宋体" w:cs="宋体" w:hint="eastAsia"/>
                <w:color w:val="333333"/>
              </w:rPr>
              <w:t>《纳税担保书》</w:t>
            </w:r>
            <w:r w:rsidR="00D739B4">
              <w:rPr>
                <w:rFonts w:ascii="宋体" w:hAnsi="宋体" w:cs="宋体" w:hint="eastAsia"/>
                <w:color w:val="333333"/>
              </w:rPr>
              <w:t>。社会保险费担保同时制作和发放延期缴纳社会保险费协议。</w:t>
            </w:r>
            <w:r>
              <w:rPr>
                <w:rFonts w:ascii="宋体" w:hAnsi="宋体" w:cs="宋体" w:hint="eastAsia"/>
                <w:color w:val="333333"/>
              </w:rPr>
              <w:t>  </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9A44B0" w:rsidRDefault="009A44B0"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1.纳税人或纳税担保人缴纳担保税额及滞纳金或复议决定撤销原具体行政行为。</w:t>
            </w:r>
          </w:p>
          <w:p w:rsidR="00A54E01" w:rsidRDefault="009A44B0" w:rsidP="00E32030">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t>2.缴费人或缴费担保人在规定的期限内缴纳社会保险费或复议决定撤销原具体行政行为。</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Pr="009A44B0" w:rsidRDefault="009A44B0" w:rsidP="00E32030">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t>符合返还条件的，3个工作日内退还给纳税人或纳税担保人（缴费人或缴费担保人）。</w:t>
            </w:r>
          </w:p>
        </w:tc>
      </w:tr>
      <w:tr w:rsidR="00A54E01" w:rsidTr="00E32030">
        <w:trPr>
          <w:trHeight w:val="283"/>
        </w:trPr>
        <w:tc>
          <w:tcPr>
            <w:tcW w:w="221" w:type="pc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A54E01" w:rsidRDefault="009046DA" w:rsidP="00E32030">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t>税收</w:t>
            </w:r>
            <w:proofErr w:type="gramStart"/>
            <w:r>
              <w:rPr>
                <w:rFonts w:ascii="宋体" w:hAnsi="宋体" w:cs="宋体" w:hint="eastAsia"/>
                <w:color w:val="333333"/>
              </w:rPr>
              <w:t>保全款</w:t>
            </w:r>
            <w:proofErr w:type="gramEnd"/>
          </w:p>
        </w:tc>
        <w:tc>
          <w:tcPr>
            <w:tcW w:w="1042"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9046DA"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w:t>
            </w:r>
            <w:r w:rsidR="00123301" w:rsidRPr="00123301">
              <w:rPr>
                <w:rFonts w:ascii="宋体" w:hAnsi="宋体" w:cs="宋体" w:hint="eastAsia"/>
                <w:color w:val="333333"/>
              </w:rPr>
              <w:t>中华人民共和国税收征收管理法</w:t>
            </w:r>
            <w:r>
              <w:rPr>
                <w:rFonts w:ascii="宋体" w:hAnsi="宋体" w:cs="宋体" w:hint="eastAsia"/>
                <w:color w:val="333333"/>
              </w:rPr>
              <w:t>》第三十八条、第五十五条；</w:t>
            </w:r>
          </w:p>
          <w:p w:rsidR="009046DA" w:rsidRPr="009046DA" w:rsidRDefault="009046DA" w:rsidP="00E32030">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t>《</w:t>
            </w:r>
            <w:r w:rsidR="00D8261D" w:rsidRPr="00BF7EA9">
              <w:rPr>
                <w:rFonts w:ascii="宋体" w:hAnsi="宋体" w:cs="宋体" w:hint="eastAsia"/>
                <w:color w:val="333333"/>
              </w:rPr>
              <w:t>中华人民共和国税收征收管理法实施细则</w:t>
            </w:r>
            <w:r>
              <w:rPr>
                <w:rFonts w:ascii="宋体" w:hAnsi="宋体" w:cs="宋体" w:hint="eastAsia"/>
                <w:color w:val="333333"/>
              </w:rPr>
              <w:t>》第</w:t>
            </w:r>
            <w:r>
              <w:rPr>
                <w:rFonts w:ascii="宋体" w:hAnsi="宋体" w:cs="宋体" w:hint="eastAsia"/>
                <w:color w:val="333333"/>
              </w:rPr>
              <w:lastRenderedPageBreak/>
              <w:t>五十九条。</w:t>
            </w:r>
          </w:p>
        </w:tc>
        <w:tc>
          <w:tcPr>
            <w:tcW w:w="425"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Pr="009046DA" w:rsidRDefault="009046DA" w:rsidP="00F43FB4">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lastRenderedPageBreak/>
              <w:t>与应纳税款数额相当</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Default="00104D82" w:rsidP="00E32030">
            <w:pPr>
              <w:pStyle w:val="a3"/>
              <w:widowControl/>
              <w:spacing w:before="0" w:beforeAutospacing="0" w:after="0" w:afterAutospacing="0" w:line="360" w:lineRule="atLeast"/>
              <w:jc w:val="both"/>
              <w:rPr>
                <w:rFonts w:ascii="宋体" w:hAnsi="宋体" w:cs="宋体"/>
                <w:b/>
                <w:color w:val="333333"/>
              </w:rPr>
            </w:pPr>
            <w:r>
              <w:rPr>
                <w:rFonts w:ascii="宋体" w:hAnsi="宋体" w:cs="宋体" w:hint="eastAsia"/>
                <w:color w:val="333333"/>
              </w:rPr>
              <w:t>对于经批准向纳税人采取冻结存款措施的，税务机关制作《税收保全措施决定书（冻结存款适用）》《冻结存款通知书》，</w:t>
            </w:r>
            <w:r>
              <w:rPr>
                <w:rFonts w:ascii="宋体" w:hAnsi="宋体" w:cs="宋体" w:hint="eastAsia"/>
                <w:color w:val="333333"/>
              </w:rPr>
              <w:lastRenderedPageBreak/>
              <w:t>将《冻结存款通知书》送达给协助执行冻结存款措施的银行或其他金融机构，根据纳税人的账户情况，冻结纳税人相当于应纳税款的存款并制作《现场笔录》。如果《冻结存款通知书》冻结了纳税人的存款，实施保全决定人员制作并</w:t>
            </w:r>
            <w:r w:rsidR="000F4F0A">
              <w:rPr>
                <w:rFonts w:ascii="宋体" w:hAnsi="宋体" w:cs="宋体" w:hint="eastAsia"/>
                <w:color w:val="333333"/>
              </w:rPr>
              <w:t>向纳税人交付</w:t>
            </w:r>
            <w:r>
              <w:rPr>
                <w:rFonts w:ascii="宋体" w:hAnsi="宋体" w:cs="宋体" w:hint="eastAsia"/>
                <w:color w:val="333333"/>
              </w:rPr>
              <w:t>《税收保全措施决定书（冻结存款适用）》。</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A90D19" w:rsidRDefault="00A90D19"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lastRenderedPageBreak/>
              <w:t>1.</w:t>
            </w:r>
            <w:r w:rsidR="000F4F0A">
              <w:rPr>
                <w:rFonts w:ascii="宋体" w:hAnsi="宋体" w:cs="宋体" w:hint="eastAsia"/>
                <w:color w:val="333333"/>
              </w:rPr>
              <w:t>纳税人已</w:t>
            </w:r>
            <w:proofErr w:type="gramStart"/>
            <w:r w:rsidR="000F4F0A">
              <w:rPr>
                <w:rFonts w:ascii="宋体" w:hAnsi="宋体" w:cs="宋体" w:hint="eastAsia"/>
                <w:color w:val="333333"/>
              </w:rPr>
              <w:t>按履行</w:t>
            </w:r>
            <w:proofErr w:type="gramEnd"/>
            <w:r w:rsidR="000F4F0A">
              <w:rPr>
                <w:rFonts w:ascii="宋体" w:hAnsi="宋体" w:cs="宋体" w:hint="eastAsia"/>
                <w:color w:val="333333"/>
              </w:rPr>
              <w:t>期限缴纳税款的；</w:t>
            </w:r>
          </w:p>
          <w:p w:rsidR="00A90D19" w:rsidRDefault="00A90D19"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2.</w:t>
            </w:r>
            <w:r w:rsidR="000F4F0A">
              <w:rPr>
                <w:rFonts w:ascii="宋体" w:hAnsi="宋体" w:cs="宋体" w:hint="eastAsia"/>
                <w:color w:val="333333"/>
              </w:rPr>
              <w:t>税收保全措施被复议机关决定撤销的；</w:t>
            </w:r>
          </w:p>
          <w:p w:rsidR="00A90D19" w:rsidRDefault="00A90D19"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3.</w:t>
            </w:r>
            <w:r w:rsidR="000F4F0A">
              <w:rPr>
                <w:rFonts w:ascii="宋体" w:hAnsi="宋体" w:cs="宋体" w:hint="eastAsia"/>
                <w:color w:val="333333"/>
              </w:rPr>
              <w:t>税收保全措施</w:t>
            </w:r>
            <w:r w:rsidR="000F4F0A">
              <w:rPr>
                <w:rFonts w:ascii="宋体" w:hAnsi="宋体" w:cs="宋体" w:hint="eastAsia"/>
                <w:color w:val="333333"/>
              </w:rPr>
              <w:lastRenderedPageBreak/>
              <w:t>被人民法院裁决撤销的；</w:t>
            </w:r>
          </w:p>
          <w:p w:rsidR="00A54E01" w:rsidRPr="00E32030" w:rsidRDefault="00A90D19" w:rsidP="00E32030">
            <w:pPr>
              <w:pStyle w:val="a3"/>
              <w:widowControl/>
              <w:spacing w:before="0" w:beforeAutospacing="0" w:after="0" w:afterAutospacing="0" w:line="360" w:lineRule="atLeast"/>
              <w:jc w:val="both"/>
              <w:rPr>
                <w:rFonts w:ascii="宋体" w:hAnsi="宋体" w:cs="宋体"/>
                <w:color w:val="333333"/>
              </w:rPr>
            </w:pPr>
            <w:r>
              <w:rPr>
                <w:rFonts w:ascii="宋体" w:hAnsi="宋体" w:cs="宋体" w:hint="eastAsia"/>
                <w:color w:val="333333"/>
              </w:rPr>
              <w:t>4.</w:t>
            </w:r>
            <w:r w:rsidR="000F4F0A">
              <w:rPr>
                <w:rFonts w:ascii="宋体" w:hAnsi="宋体" w:cs="宋体" w:hint="eastAsia"/>
                <w:color w:val="333333"/>
              </w:rPr>
              <w:t>其他法定应当解除税收保全措施的。</w:t>
            </w:r>
          </w:p>
        </w:tc>
        <w:tc>
          <w:tcPr>
            <w:tcW w:w="1104" w:type="pct"/>
            <w:tcBorders>
              <w:top w:val="single" w:sz="8" w:space="0" w:color="000000"/>
              <w:left w:val="nil"/>
              <w:bottom w:val="single" w:sz="8" w:space="0" w:color="000000"/>
              <w:right w:val="single" w:sz="8" w:space="0" w:color="000000"/>
            </w:tcBorders>
            <w:tcMar>
              <w:left w:w="108" w:type="dxa"/>
              <w:right w:w="108" w:type="dxa"/>
            </w:tcMar>
            <w:vAlign w:val="center"/>
          </w:tcPr>
          <w:p w:rsidR="00A54E01" w:rsidRPr="00E32030" w:rsidRDefault="00E32030" w:rsidP="00E32030">
            <w:pPr>
              <w:pStyle w:val="a3"/>
              <w:widowControl/>
              <w:spacing w:before="0" w:beforeAutospacing="0" w:after="0" w:afterAutospacing="0" w:line="360" w:lineRule="atLeast"/>
              <w:jc w:val="both"/>
              <w:rPr>
                <w:rFonts w:ascii="宋体" w:hAnsi="宋体" w:cs="宋体"/>
                <w:color w:val="333333"/>
              </w:rPr>
            </w:pPr>
            <w:r w:rsidRPr="00E32030">
              <w:rPr>
                <w:rFonts w:ascii="宋体" w:hAnsi="宋体" w:cs="宋体" w:hint="eastAsia"/>
                <w:color w:val="333333"/>
              </w:rPr>
              <w:lastRenderedPageBreak/>
              <w:t>税务机关应当自收到税款或者银行转回的完税凭证之日起1日内解除税收保全。</w:t>
            </w:r>
          </w:p>
        </w:tc>
      </w:tr>
      <w:bookmarkEnd w:id="0"/>
      <w:bookmarkEnd w:id="1"/>
      <w:bookmarkEnd w:id="2"/>
    </w:tbl>
    <w:p w:rsidR="003E1BA7" w:rsidRDefault="003E1BA7" w:rsidP="007D39EB">
      <w:pPr>
        <w:jc w:val="left"/>
      </w:pPr>
    </w:p>
    <w:sectPr w:rsidR="003E1BA7" w:rsidSect="00E01C47">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D3"/>
    <w:rsid w:val="000F4F0A"/>
    <w:rsid w:val="00104D82"/>
    <w:rsid w:val="00123301"/>
    <w:rsid w:val="00144098"/>
    <w:rsid w:val="00191CA9"/>
    <w:rsid w:val="001F1C42"/>
    <w:rsid w:val="00285DA9"/>
    <w:rsid w:val="003E1BA7"/>
    <w:rsid w:val="00451DD3"/>
    <w:rsid w:val="0052072E"/>
    <w:rsid w:val="00623C1E"/>
    <w:rsid w:val="00664E4B"/>
    <w:rsid w:val="00682CD6"/>
    <w:rsid w:val="007A7C42"/>
    <w:rsid w:val="007D211D"/>
    <w:rsid w:val="007D39EB"/>
    <w:rsid w:val="00830908"/>
    <w:rsid w:val="009046DA"/>
    <w:rsid w:val="0099087F"/>
    <w:rsid w:val="009A44B0"/>
    <w:rsid w:val="009F4E06"/>
    <w:rsid w:val="00A54E01"/>
    <w:rsid w:val="00A90D19"/>
    <w:rsid w:val="00AE545F"/>
    <w:rsid w:val="00BD6AD6"/>
    <w:rsid w:val="00BF7EA9"/>
    <w:rsid w:val="00CA0798"/>
    <w:rsid w:val="00D171AB"/>
    <w:rsid w:val="00D739B4"/>
    <w:rsid w:val="00D8261D"/>
    <w:rsid w:val="00D87996"/>
    <w:rsid w:val="00E01C47"/>
    <w:rsid w:val="00E14889"/>
    <w:rsid w:val="00E32030"/>
    <w:rsid w:val="00F43FB4"/>
    <w:rsid w:val="00FE2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4E01"/>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4E01"/>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8847">
      <w:bodyDiv w:val="1"/>
      <w:marLeft w:val="0"/>
      <w:marRight w:val="0"/>
      <w:marTop w:val="0"/>
      <w:marBottom w:val="0"/>
      <w:divBdr>
        <w:top w:val="none" w:sz="0" w:space="0" w:color="auto"/>
        <w:left w:val="none" w:sz="0" w:space="0" w:color="auto"/>
        <w:bottom w:val="none" w:sz="0" w:space="0" w:color="auto"/>
        <w:right w:val="none" w:sz="0" w:space="0" w:color="auto"/>
      </w:divBdr>
      <w:divsChild>
        <w:div w:id="1074082660">
          <w:marLeft w:val="0"/>
          <w:marRight w:val="0"/>
          <w:marTop w:val="0"/>
          <w:marBottom w:val="0"/>
          <w:divBdr>
            <w:top w:val="none" w:sz="0" w:space="0" w:color="auto"/>
            <w:left w:val="none" w:sz="0" w:space="0" w:color="auto"/>
            <w:bottom w:val="none" w:sz="0" w:space="0" w:color="auto"/>
            <w:right w:val="none" w:sz="0" w:space="0" w:color="auto"/>
          </w:divBdr>
          <w:divsChild>
            <w:div w:id="957643990">
              <w:marLeft w:val="0"/>
              <w:marRight w:val="0"/>
              <w:marTop w:val="0"/>
              <w:marBottom w:val="0"/>
              <w:divBdr>
                <w:top w:val="none" w:sz="0" w:space="0" w:color="auto"/>
                <w:left w:val="none" w:sz="0" w:space="0" w:color="auto"/>
                <w:bottom w:val="none" w:sz="0" w:space="0" w:color="auto"/>
                <w:right w:val="none" w:sz="0" w:space="0" w:color="auto"/>
              </w:divBdr>
              <w:divsChild>
                <w:div w:id="853495688">
                  <w:marLeft w:val="0"/>
                  <w:marRight w:val="0"/>
                  <w:marTop w:val="0"/>
                  <w:marBottom w:val="0"/>
                  <w:divBdr>
                    <w:top w:val="none" w:sz="0" w:space="0" w:color="auto"/>
                    <w:left w:val="none" w:sz="0" w:space="0" w:color="auto"/>
                    <w:bottom w:val="none" w:sz="0" w:space="0" w:color="auto"/>
                    <w:right w:val="none" w:sz="0" w:space="0" w:color="auto"/>
                  </w:divBdr>
                  <w:divsChild>
                    <w:div w:id="2144033823">
                      <w:marLeft w:val="0"/>
                      <w:marRight w:val="0"/>
                      <w:marTop w:val="3"/>
                      <w:marBottom w:val="225"/>
                      <w:divBdr>
                        <w:top w:val="none" w:sz="0" w:space="0" w:color="auto"/>
                        <w:left w:val="none" w:sz="0" w:space="0" w:color="auto"/>
                        <w:bottom w:val="none" w:sz="0" w:space="0" w:color="auto"/>
                        <w:right w:val="none" w:sz="0" w:space="0" w:color="auto"/>
                      </w:divBdr>
                    </w:div>
                  </w:divsChild>
                </w:div>
              </w:divsChild>
            </w:div>
          </w:divsChild>
        </w:div>
      </w:divsChild>
    </w:div>
    <w:div w:id="1350792788">
      <w:bodyDiv w:val="1"/>
      <w:marLeft w:val="0"/>
      <w:marRight w:val="0"/>
      <w:marTop w:val="0"/>
      <w:marBottom w:val="0"/>
      <w:divBdr>
        <w:top w:val="none" w:sz="0" w:space="0" w:color="auto"/>
        <w:left w:val="none" w:sz="0" w:space="0" w:color="auto"/>
        <w:bottom w:val="none" w:sz="0" w:space="0" w:color="auto"/>
        <w:right w:val="none" w:sz="0" w:space="0" w:color="auto"/>
      </w:divBdr>
      <w:divsChild>
        <w:div w:id="1676031265">
          <w:marLeft w:val="0"/>
          <w:marRight w:val="0"/>
          <w:marTop w:val="0"/>
          <w:marBottom w:val="0"/>
          <w:divBdr>
            <w:top w:val="none" w:sz="0" w:space="0" w:color="auto"/>
            <w:left w:val="none" w:sz="0" w:space="0" w:color="auto"/>
            <w:bottom w:val="none" w:sz="0" w:space="0" w:color="auto"/>
            <w:right w:val="none" w:sz="0" w:space="0" w:color="auto"/>
          </w:divBdr>
          <w:divsChild>
            <w:div w:id="2050570406">
              <w:marLeft w:val="0"/>
              <w:marRight w:val="0"/>
              <w:marTop w:val="0"/>
              <w:marBottom w:val="0"/>
              <w:divBdr>
                <w:top w:val="none" w:sz="0" w:space="0" w:color="auto"/>
                <w:left w:val="none" w:sz="0" w:space="0" w:color="auto"/>
                <w:bottom w:val="none" w:sz="0" w:space="0" w:color="auto"/>
                <w:right w:val="none" w:sz="0" w:space="0" w:color="auto"/>
              </w:divBdr>
              <w:divsChild>
                <w:div w:id="1975020958">
                  <w:marLeft w:val="0"/>
                  <w:marRight w:val="0"/>
                  <w:marTop w:val="0"/>
                  <w:marBottom w:val="0"/>
                  <w:divBdr>
                    <w:top w:val="none" w:sz="0" w:space="0" w:color="auto"/>
                    <w:left w:val="none" w:sz="0" w:space="0" w:color="auto"/>
                    <w:bottom w:val="none" w:sz="0" w:space="0" w:color="auto"/>
                    <w:right w:val="none" w:sz="0" w:space="0" w:color="auto"/>
                  </w:divBdr>
                  <w:divsChild>
                    <w:div w:id="254750439">
                      <w:marLeft w:val="0"/>
                      <w:marRight w:val="0"/>
                      <w:marTop w:val="3"/>
                      <w:marBottom w:val="225"/>
                      <w:divBdr>
                        <w:top w:val="none" w:sz="0" w:space="0" w:color="auto"/>
                        <w:left w:val="none" w:sz="0" w:space="0" w:color="auto"/>
                        <w:bottom w:val="none" w:sz="0" w:space="0" w:color="auto"/>
                        <w:right w:val="none" w:sz="0" w:space="0" w:color="auto"/>
                      </w:divBdr>
                    </w:div>
                  </w:divsChild>
                </w:div>
              </w:divsChild>
            </w:div>
          </w:divsChild>
        </w:div>
      </w:divsChild>
    </w:div>
    <w:div w:id="1884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9926278">
          <w:marLeft w:val="0"/>
          <w:marRight w:val="0"/>
          <w:marTop w:val="0"/>
          <w:marBottom w:val="0"/>
          <w:divBdr>
            <w:top w:val="none" w:sz="0" w:space="0" w:color="auto"/>
            <w:left w:val="none" w:sz="0" w:space="0" w:color="auto"/>
            <w:bottom w:val="none" w:sz="0" w:space="0" w:color="auto"/>
            <w:right w:val="none" w:sz="0" w:space="0" w:color="auto"/>
          </w:divBdr>
          <w:divsChild>
            <w:div w:id="1123962992">
              <w:marLeft w:val="0"/>
              <w:marRight w:val="0"/>
              <w:marTop w:val="0"/>
              <w:marBottom w:val="0"/>
              <w:divBdr>
                <w:top w:val="none" w:sz="0" w:space="0" w:color="auto"/>
                <w:left w:val="none" w:sz="0" w:space="0" w:color="auto"/>
                <w:bottom w:val="none" w:sz="0" w:space="0" w:color="auto"/>
                <w:right w:val="none" w:sz="0" w:space="0" w:color="auto"/>
              </w:divBdr>
              <w:divsChild>
                <w:div w:id="2072189045">
                  <w:marLeft w:val="0"/>
                  <w:marRight w:val="0"/>
                  <w:marTop w:val="0"/>
                  <w:marBottom w:val="0"/>
                  <w:divBdr>
                    <w:top w:val="none" w:sz="0" w:space="0" w:color="auto"/>
                    <w:left w:val="none" w:sz="0" w:space="0" w:color="auto"/>
                    <w:bottom w:val="none" w:sz="0" w:space="0" w:color="auto"/>
                    <w:right w:val="none" w:sz="0" w:space="0" w:color="auto"/>
                  </w:divBdr>
                  <w:divsChild>
                    <w:div w:id="1703895774">
                      <w:marLeft w:val="0"/>
                      <w:marRight w:val="0"/>
                      <w:marTop w:val="3"/>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437</Words>
  <Characters>438</Characters>
  <Application>Microsoft Office Word</Application>
  <DocSecurity>0</DocSecurity>
  <Lines>87</Lines>
  <Paragraphs>27</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苏湃</dc:creator>
  <cp:lastModifiedBy>苏湃</cp:lastModifiedBy>
  <cp:revision>30</cp:revision>
  <dcterms:created xsi:type="dcterms:W3CDTF">2020-05-22T01:19:00Z</dcterms:created>
  <dcterms:modified xsi:type="dcterms:W3CDTF">2020-05-22T03:44:00Z</dcterms:modified>
</cp:coreProperties>
</file>