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jc w:val="center"/>
        <w:rPr>
          <w:rFonts w:hint="eastAsia" w:ascii="微软雅黑" w:hAnsi="微软雅黑" w:eastAsia="微软雅黑" w:cs="微软雅黑"/>
          <w:b/>
          <w:bCs/>
          <w:color w:val="333333"/>
          <w:kern w:val="0"/>
          <w:sz w:val="36"/>
          <w:szCs w:val="36"/>
          <w:lang w:val="en-US" w:eastAsia="zh-CN" w:bidi="ar"/>
        </w:rPr>
      </w:pPr>
      <w:r>
        <w:rPr>
          <w:rFonts w:hint="eastAsia" w:ascii="微软雅黑" w:hAnsi="微软雅黑" w:eastAsia="微软雅黑" w:cs="微软雅黑"/>
          <w:b/>
          <w:bCs/>
          <w:color w:val="333333"/>
          <w:kern w:val="0"/>
          <w:sz w:val="36"/>
          <w:szCs w:val="36"/>
          <w:lang w:val="en-US" w:eastAsia="zh-CN" w:bidi="ar"/>
        </w:rPr>
        <w:t>国家税务总局韶关市曲江区税务局2025-2026年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jc w:val="center"/>
        <w:rPr>
          <w:rFonts w:hint="eastAsia" w:ascii="微软雅黑" w:hAnsi="微软雅黑" w:eastAsia="微软雅黑" w:cs="微软雅黑"/>
          <w:b/>
          <w:bCs/>
          <w:color w:val="333333"/>
          <w:kern w:val="0"/>
          <w:sz w:val="36"/>
          <w:szCs w:val="36"/>
          <w:lang w:val="en-US" w:eastAsia="zh-CN" w:bidi="ar"/>
        </w:rPr>
      </w:pPr>
      <w:r>
        <w:rPr>
          <w:rFonts w:hint="eastAsia" w:ascii="微软雅黑" w:hAnsi="微软雅黑" w:eastAsia="微软雅黑" w:cs="微软雅黑"/>
          <w:b/>
          <w:bCs/>
          <w:color w:val="333333"/>
          <w:kern w:val="0"/>
          <w:sz w:val="36"/>
          <w:szCs w:val="36"/>
          <w:lang w:val="en-US" w:eastAsia="zh-CN" w:bidi="ar"/>
        </w:rPr>
        <w:t>纳税辅助及后勤保障性服务项目（包组一非执法类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jc w:val="center"/>
        <w:rPr>
          <w:rFonts w:hint="eastAsia" w:ascii="微软雅黑" w:hAnsi="微软雅黑" w:eastAsia="微软雅黑" w:cs="微软雅黑"/>
          <w:b/>
          <w:bCs/>
          <w:color w:val="333333"/>
          <w:kern w:val="0"/>
          <w:sz w:val="36"/>
          <w:szCs w:val="36"/>
          <w:lang w:val="en-US" w:eastAsia="zh-CN" w:bidi="ar"/>
        </w:rPr>
      </w:pPr>
      <w:r>
        <w:rPr>
          <w:rFonts w:hint="eastAsia" w:ascii="微软雅黑" w:hAnsi="微软雅黑" w:eastAsia="微软雅黑" w:cs="微软雅黑"/>
          <w:b/>
          <w:bCs/>
          <w:color w:val="333333"/>
          <w:kern w:val="0"/>
          <w:sz w:val="36"/>
          <w:szCs w:val="36"/>
          <w:lang w:val="en-US" w:eastAsia="zh-CN" w:bidi="ar"/>
        </w:rPr>
        <w:t>辅助服务）采购需求</w:t>
      </w:r>
    </w:p>
    <w:p>
      <w:pPr>
        <w:keepNext w:val="0"/>
        <w:keepLines w:val="0"/>
        <w:pageBreakBefore w:val="0"/>
        <w:widowControl w:val="0"/>
        <w:kinsoku/>
        <w:wordWrap/>
        <w:overflowPunct/>
        <w:topLinePunct w:val="0"/>
        <w:autoSpaceDE/>
        <w:autoSpaceDN/>
        <w:bidi w:val="0"/>
        <w:adjustRightInd/>
        <w:snapToGrid/>
        <w:spacing w:line="600" w:lineRule="exact"/>
        <w:ind w:firstLine="421"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一、项目概述</w:t>
      </w:r>
    </w:p>
    <w:p>
      <w:pPr>
        <w:keepNext w:val="0"/>
        <w:keepLines w:val="0"/>
        <w:pageBreakBefore w:val="0"/>
        <w:widowControl w:val="0"/>
        <w:kinsoku/>
        <w:wordWrap/>
        <w:overflowPunct/>
        <w:topLinePunct w:val="0"/>
        <w:autoSpaceDE/>
        <w:autoSpaceDN/>
        <w:bidi w:val="0"/>
        <w:adjustRightInd/>
        <w:snapToGrid/>
        <w:spacing w:line="600" w:lineRule="exact"/>
        <w:ind w:firstLine="421"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国家税务总局</w:t>
      </w:r>
      <w:r>
        <w:rPr>
          <w:rFonts w:hint="eastAsia" w:ascii="宋体" w:hAnsi="宋体" w:eastAsia="宋体" w:cs="宋体"/>
          <w:color w:val="auto"/>
          <w:sz w:val="21"/>
          <w:szCs w:val="21"/>
          <w:lang w:eastAsia="zh-CN"/>
        </w:rPr>
        <w:t>韶关</w:t>
      </w:r>
      <w:r>
        <w:rPr>
          <w:rFonts w:hint="eastAsia" w:ascii="宋体" w:hAnsi="宋体" w:eastAsia="宋体" w:cs="宋体"/>
          <w:color w:val="auto"/>
          <w:sz w:val="21"/>
          <w:szCs w:val="21"/>
        </w:rPr>
        <w:t>市</w:t>
      </w:r>
      <w:r>
        <w:rPr>
          <w:rFonts w:hint="eastAsia" w:ascii="宋体" w:hAnsi="宋体" w:eastAsia="宋体" w:cs="宋体"/>
          <w:color w:val="auto"/>
          <w:sz w:val="21"/>
          <w:szCs w:val="21"/>
          <w:lang w:eastAsia="zh-CN"/>
        </w:rPr>
        <w:t>曲江</w:t>
      </w:r>
      <w:r>
        <w:rPr>
          <w:rFonts w:hint="eastAsia" w:ascii="宋体" w:hAnsi="宋体" w:eastAsia="宋体" w:cs="宋体"/>
          <w:color w:val="auto"/>
          <w:sz w:val="21"/>
          <w:szCs w:val="21"/>
        </w:rPr>
        <w:t>区税务局2</w:t>
      </w:r>
      <w:r>
        <w:rPr>
          <w:rFonts w:hint="eastAsia" w:ascii="宋体" w:hAnsi="宋体" w:eastAsia="宋体" w:cs="宋体"/>
          <w:color w:val="auto"/>
          <w:sz w:val="21"/>
          <w:szCs w:val="21"/>
          <w:lang w:val="en-US" w:eastAsia="zh-CN"/>
        </w:rPr>
        <w:t>025-2026</w:t>
      </w:r>
      <w:r>
        <w:rPr>
          <w:rFonts w:hint="eastAsia" w:ascii="宋体" w:hAnsi="宋体" w:eastAsia="宋体" w:cs="宋体"/>
          <w:color w:val="auto"/>
          <w:sz w:val="21"/>
          <w:szCs w:val="21"/>
        </w:rPr>
        <w:t>年</w:t>
      </w:r>
      <w:r>
        <w:rPr>
          <w:rFonts w:hint="eastAsia" w:ascii="宋体" w:hAnsi="宋体" w:eastAsia="宋体" w:cs="宋体"/>
          <w:color w:val="auto"/>
          <w:sz w:val="21"/>
          <w:szCs w:val="21"/>
          <w:u w:val="none"/>
          <w:lang w:val="en-US" w:eastAsia="zh-CN"/>
        </w:rPr>
        <w:t>纳税辅助</w:t>
      </w:r>
      <w:r>
        <w:rPr>
          <w:rFonts w:hint="eastAsia" w:ascii="宋体" w:hAnsi="宋体" w:eastAsia="宋体" w:cs="宋体"/>
          <w:color w:val="auto"/>
          <w:sz w:val="21"/>
          <w:szCs w:val="21"/>
          <w:u w:val="none"/>
        </w:rPr>
        <w:t>及</w:t>
      </w:r>
      <w:r>
        <w:rPr>
          <w:rFonts w:hint="eastAsia" w:ascii="宋体" w:hAnsi="宋体" w:eastAsia="宋体" w:cs="宋体"/>
          <w:color w:val="auto"/>
          <w:sz w:val="21"/>
          <w:szCs w:val="21"/>
          <w:u w:val="none"/>
          <w:lang w:val="en-US" w:eastAsia="zh-CN"/>
        </w:rPr>
        <w:t>后勤保障性</w:t>
      </w:r>
      <w:r>
        <w:rPr>
          <w:rFonts w:hint="eastAsia" w:ascii="宋体" w:hAnsi="宋体" w:eastAsia="宋体" w:cs="宋体"/>
          <w:color w:val="auto"/>
          <w:sz w:val="21"/>
          <w:szCs w:val="21"/>
          <w:u w:val="none"/>
        </w:rPr>
        <w:t>服务</w:t>
      </w: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包组一非执法类</w:t>
      </w:r>
      <w:r>
        <w:rPr>
          <w:rFonts w:hint="eastAsia" w:ascii="宋体" w:hAnsi="宋体" w:eastAsia="宋体" w:cs="宋体"/>
          <w:color w:val="auto"/>
          <w:sz w:val="21"/>
          <w:szCs w:val="21"/>
          <w:lang w:eastAsia="zh-CN"/>
        </w:rPr>
        <w:t>辅助服务）</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1"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（二）</w:t>
      </w:r>
      <w:r>
        <w:rPr>
          <w:rFonts w:hint="eastAsia" w:ascii="宋体" w:hAnsi="宋体" w:eastAsia="宋体" w:cs="宋体"/>
          <w:b/>
          <w:bCs/>
          <w:color w:val="auto"/>
          <w:sz w:val="21"/>
          <w:szCs w:val="21"/>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
        </w:rPr>
        <w:t>为更好地保障税收工作的开展，结合实际，</w:t>
      </w:r>
      <w:r>
        <w:rPr>
          <w:rFonts w:hint="eastAsia" w:ascii="宋体" w:hAnsi="宋体" w:eastAsia="宋体" w:cs="宋体"/>
          <w:color w:val="auto"/>
          <w:sz w:val="21"/>
          <w:szCs w:val="21"/>
        </w:rPr>
        <w:t>国家税务总局韶关市曲江区税务局</w:t>
      </w:r>
      <w:r>
        <w:rPr>
          <w:rFonts w:hint="eastAsia" w:ascii="宋体" w:hAnsi="宋体" w:eastAsia="宋体" w:cs="宋体"/>
          <w:color w:val="auto"/>
          <w:sz w:val="21"/>
          <w:szCs w:val="21"/>
          <w:lang w:eastAsia="zh-CN"/>
        </w:rPr>
        <w:t>拟</w:t>
      </w:r>
      <w:r>
        <w:rPr>
          <w:rFonts w:hint="eastAsia" w:ascii="宋体" w:hAnsi="宋体" w:eastAsia="宋体" w:cs="宋体"/>
          <w:color w:val="auto"/>
          <w:sz w:val="21"/>
          <w:szCs w:val="21"/>
        </w:rPr>
        <w:t>向社会</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u w:val="none"/>
          <w:lang w:val="en-US" w:eastAsia="zh-CN"/>
        </w:rPr>
        <w:t>纳税辅助</w:t>
      </w:r>
      <w:r>
        <w:rPr>
          <w:rFonts w:hint="eastAsia" w:ascii="宋体" w:hAnsi="宋体" w:eastAsia="宋体" w:cs="宋体"/>
          <w:color w:val="auto"/>
          <w:sz w:val="21"/>
          <w:szCs w:val="21"/>
          <w:u w:val="none"/>
        </w:rPr>
        <w:t>及</w:t>
      </w:r>
      <w:r>
        <w:rPr>
          <w:rFonts w:hint="eastAsia" w:ascii="宋体" w:hAnsi="宋体" w:eastAsia="宋体" w:cs="宋体"/>
          <w:color w:val="auto"/>
          <w:sz w:val="21"/>
          <w:szCs w:val="21"/>
          <w:u w:val="none"/>
          <w:lang w:val="en-US" w:eastAsia="zh-CN"/>
        </w:rPr>
        <w:t>后勤保障性</w:t>
      </w:r>
      <w:r>
        <w:rPr>
          <w:rFonts w:hint="eastAsia" w:ascii="宋体" w:hAnsi="宋体" w:eastAsia="宋体" w:cs="宋体"/>
          <w:color w:val="auto"/>
          <w:sz w:val="21"/>
          <w:szCs w:val="21"/>
          <w:u w:val="none"/>
        </w:rPr>
        <w:t>服务</w:t>
      </w: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包组一非执法类</w:t>
      </w:r>
      <w:r>
        <w:rPr>
          <w:rFonts w:hint="eastAsia" w:ascii="宋体" w:hAnsi="宋体" w:eastAsia="宋体" w:cs="宋体"/>
          <w:color w:val="auto"/>
          <w:sz w:val="21"/>
          <w:szCs w:val="21"/>
          <w:lang w:eastAsia="zh-CN"/>
        </w:rPr>
        <w:t>辅助服务），服务期限为</w:t>
      </w:r>
      <w:r>
        <w:rPr>
          <w:rFonts w:hint="eastAsia" w:ascii="宋体" w:hAnsi="宋体" w:eastAsia="宋体" w:cs="宋体"/>
          <w:color w:val="auto"/>
          <w:sz w:val="21"/>
          <w:szCs w:val="21"/>
          <w:lang w:val="en-US" w:eastAsia="zh-CN"/>
        </w:rPr>
        <w:t>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firstLine="64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实施地点：曲江区行政服务中心（税务办公区）</w:t>
      </w:r>
    </w:p>
    <w:p>
      <w:pPr>
        <w:keepNext w:val="0"/>
        <w:keepLines w:val="0"/>
        <w:pageBreakBefore w:val="0"/>
        <w:widowControl w:val="0"/>
        <w:kinsoku/>
        <w:wordWrap/>
        <w:overflowPunct/>
        <w:topLinePunct w:val="0"/>
        <w:autoSpaceDE/>
        <w:autoSpaceDN/>
        <w:bidi w:val="0"/>
        <w:adjustRightInd/>
        <w:snapToGrid/>
        <w:spacing w:line="600" w:lineRule="exact"/>
        <w:ind w:firstLine="421"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、采购项目需求</w:t>
      </w:r>
    </w:p>
    <w:p>
      <w:pPr>
        <w:spacing w:line="360" w:lineRule="auto"/>
        <w:ind w:firstLine="421" w:firstLineChars="200"/>
        <w:jc w:val="left"/>
        <w:outlineLvl w:val="0"/>
        <w:rPr>
          <w:rFonts w:hint="eastAsia" w:ascii="宋体" w:hAnsi="宋体"/>
          <w:b/>
          <w:bCs/>
          <w:szCs w:val="21"/>
        </w:rPr>
      </w:pPr>
      <w:r>
        <w:rPr>
          <w:rFonts w:hint="eastAsia" w:ascii="宋体" w:hAnsi="宋体"/>
          <w:b/>
          <w:bCs/>
          <w:szCs w:val="21"/>
        </w:rPr>
        <w:t>（一）采购项目需求一览表</w:t>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873"/>
        <w:gridCol w:w="1207"/>
        <w:gridCol w:w="1693"/>
        <w:gridCol w:w="195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包组名称</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数量</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主要技术规格</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预算金额（元）</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服务范围</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spacing w:line="360" w:lineRule="auto"/>
              <w:ind w:firstLine="420" w:firstLineChars="200"/>
              <w:jc w:val="left"/>
              <w:outlineLvl w:val="0"/>
              <w:rPr>
                <w:rFonts w:hint="eastAsia" w:ascii="宋体" w:hAnsi="宋体"/>
                <w:b/>
                <w:bCs/>
                <w:szCs w:val="21"/>
              </w:rPr>
            </w:pPr>
            <w:r>
              <w:rPr>
                <w:rFonts w:hint="eastAsia" w:ascii="宋体" w:hAnsi="宋体"/>
                <w:szCs w:val="21"/>
              </w:rPr>
              <w:t>非执法类辅助服务</w:t>
            </w:r>
          </w:p>
        </w:tc>
        <w:tc>
          <w:tcPr>
            <w:tcW w:w="0" w:type="auto"/>
            <w:noWrap w:val="0"/>
            <w:vAlign w:val="center"/>
          </w:tcPr>
          <w:p>
            <w:pPr>
              <w:spacing w:line="360" w:lineRule="auto"/>
              <w:ind w:firstLine="420" w:firstLineChars="200"/>
              <w:jc w:val="center"/>
              <w:outlineLvl w:val="0"/>
              <w:rPr>
                <w:rFonts w:hint="eastAsia" w:ascii="宋体" w:hAnsi="宋体"/>
                <w:b/>
                <w:bCs/>
                <w:szCs w:val="21"/>
              </w:rPr>
            </w:pPr>
            <w:r>
              <w:rPr>
                <w:rFonts w:hint="eastAsia" w:ascii="宋体" w:hAnsi="宋体"/>
                <w:szCs w:val="21"/>
              </w:rPr>
              <w:t>1项</w:t>
            </w:r>
          </w:p>
        </w:tc>
        <w:tc>
          <w:tcPr>
            <w:tcW w:w="0" w:type="auto"/>
            <w:noWrap w:val="0"/>
            <w:vAlign w:val="center"/>
          </w:tcPr>
          <w:p>
            <w:pPr>
              <w:spacing w:line="360" w:lineRule="auto"/>
              <w:ind w:firstLine="420" w:firstLineChars="200"/>
              <w:jc w:val="left"/>
              <w:outlineLvl w:val="0"/>
              <w:rPr>
                <w:rFonts w:hint="eastAsia" w:ascii="宋体" w:hAnsi="宋体"/>
                <w:b/>
                <w:bCs/>
                <w:szCs w:val="21"/>
              </w:rPr>
            </w:pPr>
            <w:r>
              <w:rPr>
                <w:rFonts w:hint="eastAsia" w:ascii="宋体" w:hAnsi="宋体"/>
                <w:szCs w:val="21"/>
              </w:rPr>
              <w:t>详见本部分“采购项目技术要求”</w:t>
            </w:r>
          </w:p>
        </w:tc>
        <w:tc>
          <w:tcPr>
            <w:tcW w:w="0" w:type="auto"/>
            <w:noWrap w:val="0"/>
            <w:vAlign w:val="center"/>
          </w:tcPr>
          <w:p>
            <w:pPr>
              <w:spacing w:line="360" w:lineRule="auto"/>
              <w:ind w:firstLine="420" w:firstLineChars="200"/>
              <w:jc w:val="left"/>
              <w:outlineLvl w:val="0"/>
              <w:rPr>
                <w:rFonts w:hint="eastAsia" w:ascii="宋体" w:hAnsi="宋体"/>
                <w:b/>
                <w:bCs/>
                <w:szCs w:val="21"/>
              </w:rPr>
            </w:pPr>
            <w:r>
              <w:rPr>
                <w:rFonts w:hint="eastAsia" w:ascii="宋体" w:hAnsi="宋体"/>
                <w:szCs w:val="21"/>
              </w:rPr>
              <w:t>3250000.00</w:t>
            </w:r>
          </w:p>
        </w:tc>
        <w:tc>
          <w:tcPr>
            <w:tcW w:w="0" w:type="auto"/>
            <w:noWrap w:val="0"/>
            <w:vAlign w:val="center"/>
          </w:tcPr>
          <w:p>
            <w:pPr>
              <w:spacing w:line="360" w:lineRule="auto"/>
              <w:ind w:firstLine="420" w:firstLineChars="200"/>
              <w:jc w:val="left"/>
              <w:outlineLvl w:val="0"/>
              <w:rPr>
                <w:rFonts w:hint="eastAsia" w:ascii="宋体" w:hAnsi="宋体"/>
                <w:b/>
                <w:bCs/>
                <w:szCs w:val="21"/>
              </w:rPr>
            </w:pPr>
            <w:r>
              <w:rPr>
                <w:rFonts w:hint="eastAsia" w:ascii="宋体" w:hAnsi="宋体"/>
                <w:szCs w:val="21"/>
              </w:rPr>
              <w:t>向纳税人、缴费人及社会公众提供纳税咨询、缴费咨询、辅导服务、税费宣传、档案整理等服务工作</w:t>
            </w:r>
          </w:p>
        </w:tc>
        <w:tc>
          <w:tcPr>
            <w:tcW w:w="0" w:type="auto"/>
            <w:noWrap w:val="0"/>
            <w:vAlign w:val="center"/>
          </w:tcPr>
          <w:p>
            <w:pPr>
              <w:spacing w:line="360" w:lineRule="auto"/>
              <w:ind w:firstLine="420" w:firstLineChars="200"/>
              <w:jc w:val="left"/>
              <w:outlineLvl w:val="0"/>
              <w:rPr>
                <w:rFonts w:hint="eastAsia" w:ascii="宋体" w:hAnsi="宋体"/>
                <w:b/>
                <w:bCs/>
                <w:szCs w:val="21"/>
              </w:rPr>
            </w:pPr>
            <w:r>
              <w:rPr>
                <w:rFonts w:hint="eastAsia" w:ascii="宋体" w:hAnsi="宋体"/>
                <w:szCs w:val="21"/>
              </w:rPr>
              <w:t>2025年162.5万元；2026年162.5万元(2026年以当年预算批复为准)</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eastAsia="zh-CN"/>
        </w:rPr>
      </w:pPr>
    </w:p>
    <w:p>
      <w:pPr>
        <w:spacing w:line="360" w:lineRule="auto"/>
        <w:ind w:firstLine="421" w:firstLineChars="200"/>
        <w:outlineLvl w:val="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）采购项目需求清单</w:t>
      </w:r>
    </w:p>
    <w:tbl>
      <w:tblPr>
        <w:tblStyle w:val="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260"/>
        <w:gridCol w:w="605"/>
        <w:gridCol w:w="906"/>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包组号</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服务分类</w:t>
            </w:r>
          </w:p>
        </w:tc>
        <w:tc>
          <w:tcPr>
            <w:tcW w:w="0" w:type="auto"/>
            <w:noWrap w:val="0"/>
            <w:vAlign w:val="center"/>
          </w:tcPr>
          <w:p>
            <w:pPr>
              <w:spacing w:line="360" w:lineRule="auto"/>
              <w:jc w:val="both"/>
              <w:outlineLvl w:val="0"/>
              <w:rPr>
                <w:rFonts w:hint="eastAsia" w:ascii="宋体" w:hAnsi="宋体"/>
                <w:b/>
                <w:bCs/>
                <w:szCs w:val="21"/>
              </w:rPr>
            </w:pPr>
            <w:r>
              <w:rPr>
                <w:rFonts w:hint="eastAsia" w:ascii="宋体" w:hAnsi="宋体"/>
                <w:b/>
                <w:bCs/>
                <w:szCs w:val="21"/>
              </w:rPr>
              <w:t>岗位名称</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人数</w:t>
            </w:r>
          </w:p>
        </w:tc>
        <w:tc>
          <w:tcPr>
            <w:tcW w:w="0" w:type="auto"/>
            <w:noWrap w:val="0"/>
            <w:vAlign w:val="center"/>
          </w:tcPr>
          <w:p>
            <w:pPr>
              <w:spacing w:line="360" w:lineRule="auto"/>
              <w:ind w:firstLine="421" w:firstLineChars="200"/>
              <w:jc w:val="center"/>
              <w:outlineLvl w:val="0"/>
              <w:rPr>
                <w:rFonts w:hint="eastAsia" w:ascii="宋体" w:hAnsi="宋体"/>
                <w:b/>
                <w:bCs/>
                <w:szCs w:val="21"/>
              </w:rPr>
            </w:pPr>
            <w:r>
              <w:rPr>
                <w:rFonts w:hint="eastAsia" w:ascii="宋体" w:hAnsi="宋体"/>
                <w:b/>
                <w:bCs/>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spacing w:line="360" w:lineRule="auto"/>
              <w:ind w:firstLine="420" w:firstLineChars="200"/>
              <w:jc w:val="center"/>
              <w:outlineLvl w:val="0"/>
              <w:rPr>
                <w:rFonts w:hint="eastAsia" w:ascii="宋体" w:hAnsi="宋体"/>
                <w:b/>
                <w:bCs/>
                <w:szCs w:val="21"/>
              </w:rPr>
            </w:pPr>
            <w:r>
              <w:rPr>
                <w:rFonts w:hint="eastAsia" w:ascii="宋体" w:hAnsi="宋体"/>
                <w:szCs w:val="21"/>
              </w:rPr>
              <w:t>1</w:t>
            </w:r>
          </w:p>
        </w:tc>
        <w:tc>
          <w:tcPr>
            <w:tcW w:w="0" w:type="auto"/>
            <w:noWrap w:val="0"/>
            <w:vAlign w:val="center"/>
          </w:tcPr>
          <w:p>
            <w:pPr>
              <w:spacing w:line="360" w:lineRule="auto"/>
              <w:ind w:firstLine="420" w:firstLineChars="200"/>
              <w:outlineLvl w:val="0"/>
              <w:rPr>
                <w:rFonts w:hint="eastAsia" w:ascii="宋体" w:hAnsi="宋体"/>
                <w:b/>
                <w:bCs/>
                <w:szCs w:val="21"/>
              </w:rPr>
            </w:pPr>
            <w:r>
              <w:rPr>
                <w:rFonts w:hint="eastAsia" w:ascii="宋体" w:hAnsi="宋体"/>
                <w:szCs w:val="21"/>
              </w:rPr>
              <w:t>非执法类辅助服务</w:t>
            </w:r>
          </w:p>
        </w:tc>
        <w:tc>
          <w:tcPr>
            <w:tcW w:w="0" w:type="auto"/>
            <w:noWrap w:val="0"/>
            <w:vAlign w:val="center"/>
          </w:tcPr>
          <w:p>
            <w:pPr>
              <w:spacing w:line="360" w:lineRule="auto"/>
              <w:ind w:firstLine="421" w:firstLineChars="200"/>
              <w:outlineLvl w:val="0"/>
              <w:rPr>
                <w:rFonts w:hint="eastAsia" w:ascii="宋体" w:hAnsi="宋体"/>
                <w:b/>
                <w:bCs/>
                <w:szCs w:val="21"/>
              </w:rPr>
            </w:pPr>
          </w:p>
        </w:tc>
        <w:tc>
          <w:tcPr>
            <w:tcW w:w="0" w:type="auto"/>
            <w:noWrap w:val="0"/>
            <w:vAlign w:val="center"/>
          </w:tcPr>
          <w:p>
            <w:pPr>
              <w:spacing w:line="360" w:lineRule="auto"/>
              <w:ind w:firstLine="420" w:firstLineChars="200"/>
              <w:jc w:val="center"/>
              <w:outlineLvl w:val="0"/>
              <w:rPr>
                <w:rFonts w:hint="eastAsia" w:ascii="宋体" w:hAnsi="宋体"/>
                <w:b/>
                <w:bCs/>
                <w:szCs w:val="21"/>
              </w:rPr>
            </w:pPr>
            <w:r>
              <w:rPr>
                <w:rFonts w:hint="eastAsia" w:ascii="宋体" w:hAnsi="宋体"/>
                <w:szCs w:val="21"/>
              </w:rPr>
              <w:t>20</w:t>
            </w:r>
          </w:p>
        </w:tc>
        <w:tc>
          <w:tcPr>
            <w:tcW w:w="0" w:type="auto"/>
            <w:noWrap w:val="0"/>
            <w:vAlign w:val="center"/>
          </w:tcPr>
          <w:p>
            <w:pPr>
              <w:spacing w:line="360" w:lineRule="auto"/>
              <w:ind w:firstLine="420" w:firstLineChars="200"/>
              <w:outlineLvl w:val="0"/>
              <w:rPr>
                <w:rFonts w:hint="eastAsia" w:ascii="宋体" w:hAnsi="宋体"/>
                <w:szCs w:val="21"/>
              </w:rPr>
            </w:pPr>
            <w:r>
              <w:rPr>
                <w:rFonts w:hint="eastAsia" w:ascii="宋体" w:hAnsi="宋体"/>
                <w:szCs w:val="21"/>
              </w:rPr>
              <w:t>1.纳税咨询：根据采购人的统筹安排，解答纳税人（缴费人）及社会公众提出的税收法律法规、征管规定、办税流程、涉税系统操作等各类税收业务咨询。</w:t>
            </w:r>
          </w:p>
          <w:p>
            <w:pPr>
              <w:spacing w:line="360" w:lineRule="auto"/>
              <w:ind w:firstLine="420" w:firstLineChars="200"/>
              <w:outlineLvl w:val="0"/>
              <w:rPr>
                <w:rFonts w:hint="eastAsia" w:ascii="宋体" w:hAnsi="宋体"/>
                <w:szCs w:val="21"/>
              </w:rPr>
            </w:pPr>
            <w:r>
              <w:rPr>
                <w:rFonts w:hint="eastAsia" w:ascii="宋体" w:hAnsi="宋体"/>
                <w:szCs w:val="21"/>
              </w:rPr>
              <w:t>2.缴费咨询：根据采购人的统筹安排，解答纳税人（缴费人）及社会公众提出的教育费附加、地方教育附加、残保金、社保等非税缴费业务咨询。</w:t>
            </w:r>
          </w:p>
          <w:p>
            <w:pPr>
              <w:spacing w:line="360" w:lineRule="auto"/>
              <w:ind w:firstLine="420" w:firstLineChars="200"/>
              <w:outlineLvl w:val="0"/>
              <w:rPr>
                <w:rFonts w:hint="eastAsia" w:ascii="宋体" w:hAnsi="宋体"/>
                <w:szCs w:val="21"/>
              </w:rPr>
            </w:pPr>
            <w:r>
              <w:rPr>
                <w:rFonts w:hint="eastAsia" w:ascii="宋体" w:hAnsi="宋体"/>
                <w:szCs w:val="21"/>
              </w:rPr>
              <w:t>3.辅导服务：根据采购人的统筹安排，辅导纳税人（缴费人）通过电子税务局、自助办税终端、粤税通“非接触式”等渠道办理税费事项。</w:t>
            </w:r>
          </w:p>
          <w:p>
            <w:pPr>
              <w:spacing w:line="360" w:lineRule="auto"/>
              <w:ind w:firstLine="420" w:firstLineChars="200"/>
              <w:outlineLvl w:val="0"/>
              <w:rPr>
                <w:rFonts w:hint="eastAsia" w:ascii="宋体" w:hAnsi="宋体"/>
                <w:szCs w:val="21"/>
              </w:rPr>
            </w:pPr>
            <w:r>
              <w:rPr>
                <w:rFonts w:hint="eastAsia" w:ascii="宋体" w:hAnsi="宋体"/>
                <w:szCs w:val="21"/>
              </w:rPr>
              <w:t>4.税法宣传：根据采购人的统筹安排，开展税收政策、税法等内容宣传。</w:t>
            </w:r>
          </w:p>
          <w:p>
            <w:pPr>
              <w:spacing w:line="360" w:lineRule="auto"/>
              <w:ind w:firstLine="420" w:firstLineChars="200"/>
              <w:outlineLvl w:val="0"/>
              <w:rPr>
                <w:rFonts w:hint="eastAsia" w:ascii="宋体" w:hAnsi="宋体"/>
                <w:szCs w:val="21"/>
              </w:rPr>
            </w:pPr>
            <w:r>
              <w:rPr>
                <w:rFonts w:hint="eastAsia" w:ascii="宋体" w:hAnsi="宋体"/>
                <w:szCs w:val="21"/>
              </w:rPr>
              <w:t>5.档案整理：根据采购人的统筹安排，整理归集纸质档案，按规定扫描完成电子化归档。</w:t>
            </w:r>
          </w:p>
          <w:p>
            <w:pPr>
              <w:spacing w:line="360" w:lineRule="auto"/>
              <w:ind w:firstLine="420" w:firstLineChars="200"/>
              <w:outlineLvl w:val="0"/>
              <w:rPr>
                <w:rFonts w:hint="eastAsia" w:ascii="宋体" w:hAnsi="宋体"/>
                <w:b/>
                <w:bCs/>
                <w:szCs w:val="21"/>
              </w:rPr>
            </w:pPr>
            <w:r>
              <w:rPr>
                <w:rFonts w:hint="eastAsia" w:ascii="宋体" w:hAnsi="宋体"/>
                <w:szCs w:val="21"/>
              </w:rPr>
              <w:t>6.协助完成采购人交办的其他服务事项。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firstLine="640"/>
        <w:jc w:val="center"/>
        <w:rPr>
          <w:rFonts w:hint="eastAsia" w:ascii="仿宋_GB2312" w:hAnsi="仿宋_GB2312" w:eastAsia="仿宋_GB2312" w:cs="仿宋_GB2312"/>
          <w:color w:val="auto"/>
          <w:sz w:val="32"/>
          <w:szCs w:val="32"/>
          <w:lang w:val="en-US" w:eastAsia="zh-CN"/>
        </w:rPr>
      </w:pPr>
    </w:p>
    <w:p>
      <w:pPr>
        <w:spacing w:line="360" w:lineRule="auto"/>
        <w:ind w:firstLine="421" w:firstLineChars="200"/>
        <w:outlineLvl w:val="0"/>
        <w:rPr>
          <w:rFonts w:ascii="宋体" w:hAnsi="宋体"/>
          <w:b/>
          <w:szCs w:val="21"/>
        </w:rPr>
      </w:pPr>
      <w:r>
        <w:rPr>
          <w:rFonts w:hint="eastAsia" w:ascii="宋体" w:hAnsi="宋体"/>
          <w:b/>
          <w:szCs w:val="21"/>
          <w:lang w:val="en-US" w:eastAsia="zh-CN"/>
        </w:rPr>
        <w:t>三</w:t>
      </w:r>
      <w:r>
        <w:rPr>
          <w:rFonts w:hint="eastAsia" w:ascii="宋体" w:hAnsi="宋体"/>
          <w:b/>
          <w:szCs w:val="21"/>
        </w:rPr>
        <w:t>、采购项目技术要求</w:t>
      </w:r>
    </w:p>
    <w:p>
      <w:pPr>
        <w:spacing w:line="360" w:lineRule="auto"/>
        <w:ind w:firstLine="421" w:firstLineChars="200"/>
        <w:outlineLvl w:val="0"/>
        <w:rPr>
          <w:rFonts w:ascii="宋体" w:hAnsi="宋体"/>
          <w:b/>
          <w:bCs/>
          <w:szCs w:val="21"/>
        </w:rPr>
      </w:pPr>
      <w:r>
        <w:rPr>
          <w:rFonts w:hint="eastAsia" w:ascii="宋体" w:hAnsi="宋体"/>
          <w:b/>
          <w:bCs/>
          <w:szCs w:val="21"/>
        </w:rPr>
        <w:t>（一）采购项目总体服务要求</w:t>
      </w:r>
    </w:p>
    <w:p>
      <w:pPr>
        <w:spacing w:line="360" w:lineRule="auto"/>
        <w:ind w:firstLine="420" w:firstLineChars="200"/>
        <w:outlineLvl w:val="0"/>
        <w:rPr>
          <w:rFonts w:ascii="宋体" w:hAnsi="宋体"/>
          <w:szCs w:val="21"/>
        </w:rPr>
      </w:pPr>
      <w:r>
        <w:rPr>
          <w:rFonts w:hint="eastAsia" w:ascii="宋体" w:hAnsi="宋体"/>
          <w:szCs w:val="21"/>
        </w:rPr>
        <w:t>1.出于工作业务延续性的考虑，同等条件下及原在岗职员自愿留任的情况下，中标人应先考虑采购人原在岗职员，按采购人需求配置要求提供相应非执法类辅助服务及食堂餐饮服务等工作。中标人如计划重新配置服务人员，应符合采购人具体岗位需求。采购人与中标人签订服务合同后，中标人根据采购人的岗位素质要求对拟配置人员进行初步复核（包括证件查验、基础知识考核、工作经历筛选、无犯罪记录证明等)，由采购人复核确认后，方可实施。</w:t>
      </w:r>
    </w:p>
    <w:p>
      <w:pPr>
        <w:spacing w:line="360" w:lineRule="auto"/>
        <w:ind w:firstLine="420" w:firstLineChars="200"/>
        <w:outlineLvl w:val="0"/>
        <w:rPr>
          <w:rFonts w:ascii="宋体" w:hAnsi="宋体"/>
          <w:szCs w:val="21"/>
        </w:rPr>
      </w:pPr>
      <w:r>
        <w:rPr>
          <w:rFonts w:hint="eastAsia" w:ascii="宋体" w:hAnsi="宋体"/>
          <w:szCs w:val="21"/>
        </w:rPr>
        <w:t>2.服务人员与中标人存在劳务法律关系，不存在劳动法律关系，但需接受采购人的工作及培训安排及相关考核。</w:t>
      </w:r>
    </w:p>
    <w:p>
      <w:pPr>
        <w:spacing w:line="360" w:lineRule="auto"/>
        <w:ind w:firstLine="420" w:firstLineChars="200"/>
        <w:outlineLvl w:val="0"/>
        <w:rPr>
          <w:rFonts w:ascii="宋体" w:hAnsi="宋体"/>
          <w:szCs w:val="21"/>
        </w:rPr>
      </w:pPr>
      <w:r>
        <w:rPr>
          <w:rFonts w:hint="eastAsia" w:ascii="宋体" w:hAnsi="宋体"/>
          <w:szCs w:val="21"/>
        </w:rPr>
        <w:t>3.中标人负责所有服务人员的人事、劳资、社保等人事管理工作，并提供办理用工手续、结算发放工资、缴纳社会保险、处理保险理赔、管理人事档案、劳务纠纷处理等方面的管理服务。</w:t>
      </w:r>
    </w:p>
    <w:p>
      <w:pPr>
        <w:spacing w:line="360" w:lineRule="auto"/>
        <w:ind w:firstLine="420" w:firstLineChars="200"/>
        <w:outlineLvl w:val="0"/>
        <w:rPr>
          <w:rFonts w:ascii="宋体" w:hAnsi="宋体"/>
          <w:szCs w:val="21"/>
        </w:rPr>
      </w:pPr>
      <w:r>
        <w:rPr>
          <w:rFonts w:hint="eastAsia" w:ascii="宋体" w:hAnsi="宋体"/>
          <w:szCs w:val="21"/>
        </w:rPr>
        <w:t>4.服务人员入职后，如采购人要求,中标人有义务向采购人提供人员的有关资料进行归档，包括个人信息、健康证、劳动合同、社会保险缴费证明等个人资料，采购人承诺不随意对外泄露。</w:t>
      </w:r>
    </w:p>
    <w:p>
      <w:pPr>
        <w:spacing w:line="360" w:lineRule="auto"/>
        <w:ind w:firstLine="421" w:firstLineChars="200"/>
        <w:outlineLvl w:val="0"/>
        <w:rPr>
          <w:rFonts w:ascii="宋体" w:hAnsi="宋体"/>
          <w:b/>
          <w:szCs w:val="21"/>
        </w:rPr>
      </w:pPr>
      <w:r>
        <w:rPr>
          <w:rFonts w:hint="eastAsia" w:ascii="宋体" w:hAnsi="宋体"/>
          <w:b/>
          <w:szCs w:val="21"/>
        </w:rPr>
        <w:t>★5.采购人有权要求调换不适合岗位要求的服务人员，投标人须及时且无条件的为采购人更换合格的人员。中标人如需调换人员须得到采购人同意</w:t>
      </w:r>
      <w:r>
        <w:rPr>
          <w:rFonts w:hint="eastAsia" w:ascii="宋体" w:hAnsi="宋体" w:cs="宋体"/>
          <w:b/>
          <w:szCs w:val="21"/>
        </w:rPr>
        <w:t>（投标时提交承诺，承诺可参照“投标文件格式”中《承诺函》格式）</w:t>
      </w:r>
      <w:r>
        <w:rPr>
          <w:rFonts w:hint="eastAsia" w:ascii="宋体" w:hAnsi="宋体"/>
          <w:b/>
          <w:szCs w:val="21"/>
        </w:rPr>
        <w:t>。</w:t>
      </w:r>
    </w:p>
    <w:p>
      <w:pPr>
        <w:spacing w:line="360" w:lineRule="auto"/>
        <w:ind w:firstLine="421" w:firstLineChars="200"/>
        <w:outlineLvl w:val="0"/>
        <w:rPr>
          <w:rFonts w:ascii="宋体" w:hAnsi="宋体"/>
          <w:b/>
          <w:szCs w:val="21"/>
        </w:rPr>
      </w:pPr>
      <w:r>
        <w:rPr>
          <w:rFonts w:hint="eastAsia" w:ascii="宋体" w:hAnsi="宋体"/>
          <w:b/>
          <w:szCs w:val="21"/>
        </w:rPr>
        <w:t>★</w:t>
      </w:r>
      <w:r>
        <w:rPr>
          <w:rFonts w:ascii="宋体" w:hAnsi="宋体"/>
          <w:b/>
          <w:szCs w:val="21"/>
        </w:rPr>
        <w:t>6</w:t>
      </w:r>
      <w:r>
        <w:rPr>
          <w:rFonts w:hint="eastAsia" w:ascii="宋体" w:hAnsi="宋体"/>
          <w:b/>
          <w:szCs w:val="21"/>
        </w:rPr>
        <w:t>.服务人员必须遵守采购人制定的各项规章制度和纪律，服从考核管理。采购人的性质要求服务人员必须严守秘密，不能透露与工作有关的任何信息。中标人应教育服务人员不得以任何形式向他人提供或泄露采购人的涉密信息。若在服务过程中泄露采购人的工作秘密，投标人须承担全部责任</w:t>
      </w:r>
      <w:r>
        <w:rPr>
          <w:rFonts w:hint="eastAsia" w:ascii="宋体" w:hAnsi="宋体" w:cs="宋体"/>
          <w:b/>
          <w:szCs w:val="21"/>
        </w:rPr>
        <w:t>（投标时提交承诺，承诺可参照“投标文件格式”中《承诺函》格式）</w:t>
      </w:r>
      <w:r>
        <w:rPr>
          <w:rFonts w:hint="eastAsia" w:ascii="宋体" w:hAnsi="宋体"/>
          <w:b/>
          <w:szCs w:val="21"/>
        </w:rPr>
        <w:t>。</w:t>
      </w:r>
    </w:p>
    <w:p>
      <w:pPr>
        <w:spacing w:line="360" w:lineRule="auto"/>
        <w:ind w:firstLine="420" w:firstLineChars="200"/>
        <w:outlineLvl w:val="0"/>
        <w:rPr>
          <w:rFonts w:ascii="宋体" w:hAnsi="宋体"/>
          <w:szCs w:val="21"/>
        </w:rPr>
      </w:pPr>
      <w:r>
        <w:rPr>
          <w:rFonts w:ascii="宋体" w:hAnsi="宋体"/>
          <w:szCs w:val="21"/>
        </w:rPr>
        <w:t>7</w:t>
      </w:r>
      <w:r>
        <w:rPr>
          <w:rFonts w:hint="eastAsia" w:ascii="宋体" w:hAnsi="宋体"/>
          <w:szCs w:val="21"/>
        </w:rPr>
        <w:t>.中标人需为此项目配备专门的管理人员与采购人的相关部门人员对接，不驻场，负责服务人员的日常事务，协调处理服务人员与采购人之间的关系。年龄：法定工作年龄，具有5年以上与人力资源管理相关的工作经历。</w:t>
      </w:r>
    </w:p>
    <w:p>
      <w:pPr>
        <w:spacing w:line="360" w:lineRule="auto"/>
        <w:ind w:firstLine="420" w:firstLineChars="200"/>
        <w:outlineLvl w:val="0"/>
        <w:rPr>
          <w:rFonts w:ascii="宋体" w:hAnsi="宋体"/>
          <w:szCs w:val="21"/>
        </w:rPr>
      </w:pPr>
      <w:r>
        <w:rPr>
          <w:rFonts w:ascii="宋体" w:hAnsi="宋体"/>
          <w:szCs w:val="21"/>
        </w:rPr>
        <w:t>8</w:t>
      </w:r>
      <w:r>
        <w:rPr>
          <w:rFonts w:hint="eastAsia" w:ascii="宋体" w:hAnsi="宋体"/>
          <w:szCs w:val="21"/>
        </w:rPr>
        <w:t>.服务人员在工作职责范围内发生工伤事故，由中标人进行调查及处理，并为员工进行工伤鉴定、工伤待遇申报；发生重大疾病、非因工死亡等事故，由中标人依照法律法规进行调查处理。</w:t>
      </w:r>
    </w:p>
    <w:p>
      <w:pPr>
        <w:spacing w:line="360" w:lineRule="auto"/>
        <w:ind w:firstLine="420" w:firstLineChars="200"/>
        <w:outlineLvl w:val="0"/>
        <w:rPr>
          <w:rFonts w:ascii="宋体" w:hAnsi="宋体"/>
          <w:szCs w:val="21"/>
        </w:rPr>
      </w:pPr>
      <w:r>
        <w:rPr>
          <w:rFonts w:hint="eastAsia" w:ascii="宋体" w:hAnsi="宋体"/>
          <w:szCs w:val="21"/>
        </w:rPr>
        <w:t>9.中标人每年应当安排所有服务人员进行健康体检，并</w:t>
      </w:r>
      <w:r>
        <w:rPr>
          <w:rFonts w:ascii="宋体" w:hAnsi="宋体"/>
          <w:szCs w:val="21"/>
        </w:rPr>
        <w:t>按采购人要求着统一服装上岗</w:t>
      </w:r>
      <w:r>
        <w:rPr>
          <w:rFonts w:hint="eastAsia" w:ascii="宋体" w:hAnsi="宋体"/>
          <w:szCs w:val="21"/>
        </w:rPr>
        <w:t>,所产生的费用由中标人承担，采购人不另行支行费用。</w:t>
      </w:r>
    </w:p>
    <w:p>
      <w:pPr>
        <w:spacing w:line="360" w:lineRule="auto"/>
        <w:ind w:firstLine="421" w:firstLineChars="200"/>
        <w:outlineLvl w:val="0"/>
        <w:rPr>
          <w:rFonts w:ascii="宋体" w:hAnsi="宋体"/>
          <w:b/>
          <w:szCs w:val="21"/>
        </w:rPr>
      </w:pPr>
      <w:r>
        <w:rPr>
          <w:rFonts w:hint="eastAsia" w:ascii="宋体" w:hAnsi="宋体"/>
          <w:b/>
          <w:szCs w:val="21"/>
        </w:rPr>
        <w:t>★10.</w:t>
      </w:r>
      <w:r>
        <w:rPr>
          <w:rFonts w:ascii="宋体" w:hAnsi="宋体"/>
          <w:b/>
          <w:szCs w:val="21"/>
        </w:rPr>
        <w:t>本项目服务期内，业务职能因国家政策、税务系统工作部署发生变化，</w:t>
      </w:r>
      <w:r>
        <w:rPr>
          <w:rFonts w:hint="eastAsia" w:ascii="宋体" w:hAnsi="宋体"/>
          <w:b/>
          <w:szCs w:val="21"/>
        </w:rPr>
        <w:t>中标人</w:t>
      </w:r>
      <w:r>
        <w:rPr>
          <w:rFonts w:ascii="宋体" w:hAnsi="宋体"/>
          <w:b/>
          <w:szCs w:val="21"/>
        </w:rPr>
        <w:t>应及时按照采购人要求调整相关管理措施，确保各项工作达到规定标准；如因政策原因采购人辅助性服务需求减少，供应商应无条件配合采购人完成辅助性服务需求减少的相应调整包含相应的服务费，供应商不得再额外收取任何费用</w:t>
      </w:r>
      <w:r>
        <w:rPr>
          <w:rFonts w:hint="eastAsia" w:ascii="宋体" w:hAnsi="宋体" w:cs="宋体"/>
          <w:b/>
          <w:szCs w:val="21"/>
        </w:rPr>
        <w:t>（投标时提交承诺，承诺可参照“投标文件格式”中《承诺函》格式）</w:t>
      </w:r>
      <w:r>
        <w:rPr>
          <w:rFonts w:ascii="宋体" w:hAnsi="宋体"/>
          <w:b/>
          <w:szCs w:val="21"/>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right="0" w:rightChars="0" w:firstLine="420" w:firstLineChars="200"/>
        <w:textAlignment w:val="auto"/>
        <w:outlineLvl w:val="0"/>
        <w:rPr>
          <w:rFonts w:ascii="宋体" w:hAnsi="宋体"/>
          <w:b/>
          <w:szCs w:val="21"/>
        </w:rPr>
      </w:pPr>
      <w:r>
        <w:rPr>
          <w:rFonts w:hint="eastAsia" w:ascii="宋体" w:hAnsi="宋体" w:eastAsia="宋体" w:cs="Times New Roman"/>
          <w:b w:val="0"/>
          <w:bCs w:val="0"/>
          <w:sz w:val="21"/>
          <w:szCs w:val="21"/>
          <w:lang w:val="en-US" w:eastAsia="zh-CN"/>
        </w:rPr>
        <w:t>11.供应商应建立健全内部各项规章制度，如《行为规范制度》《劳动人事制度》《安全责任制度》《应急处理制度》《外包人员考核制度》等。</w:t>
      </w:r>
    </w:p>
    <w:p>
      <w:pPr>
        <w:spacing w:line="360" w:lineRule="auto"/>
        <w:ind w:firstLine="421" w:firstLineChars="200"/>
        <w:outlineLvl w:val="0"/>
        <w:rPr>
          <w:rFonts w:ascii="宋体" w:hAnsi="宋体"/>
          <w:b/>
          <w:bCs/>
          <w:szCs w:val="21"/>
        </w:rPr>
      </w:pPr>
      <w:r>
        <w:rPr>
          <w:rFonts w:hint="eastAsia" w:ascii="宋体" w:hAnsi="宋体"/>
          <w:b/>
          <w:bCs/>
          <w:szCs w:val="21"/>
        </w:rPr>
        <w:t>（二）服务内容及具体标准要求</w:t>
      </w:r>
    </w:p>
    <w:p>
      <w:pPr>
        <w:spacing w:line="360" w:lineRule="auto"/>
        <w:ind w:firstLine="421" w:firstLineChars="200"/>
        <w:outlineLvl w:val="0"/>
        <w:rPr>
          <w:rFonts w:ascii="宋体" w:hAnsi="宋体"/>
          <w:b/>
          <w:bCs/>
          <w:szCs w:val="21"/>
        </w:rPr>
      </w:pPr>
      <w:r>
        <w:rPr>
          <w:rFonts w:hint="eastAsia" w:ascii="宋体" w:hAnsi="宋体"/>
          <w:b/>
          <w:bCs/>
          <w:szCs w:val="21"/>
        </w:rPr>
        <w:t>1.包组一:非执法类辅助服务需求</w:t>
      </w:r>
    </w:p>
    <w:p>
      <w:pPr>
        <w:spacing w:line="360" w:lineRule="auto"/>
        <w:ind w:firstLine="421" w:firstLineChars="200"/>
        <w:outlineLvl w:val="0"/>
        <w:rPr>
          <w:rFonts w:ascii="宋体" w:hAnsi="宋体"/>
          <w:b/>
          <w:bCs/>
          <w:szCs w:val="21"/>
        </w:rPr>
      </w:pPr>
      <w:r>
        <w:rPr>
          <w:rFonts w:hint="eastAsia" w:ascii="宋体" w:hAnsi="宋体"/>
          <w:b/>
          <w:bCs/>
          <w:szCs w:val="21"/>
        </w:rPr>
        <w:t xml:space="preserve">1.1服务岗位人员要求 </w:t>
      </w:r>
    </w:p>
    <w:p>
      <w:pPr>
        <w:numPr>
          <w:ilvl w:val="0"/>
          <w:numId w:val="1"/>
        </w:numPr>
        <w:spacing w:line="360" w:lineRule="auto"/>
        <w:ind w:firstLine="420" w:firstLineChars="200"/>
        <w:outlineLvl w:val="0"/>
        <w:rPr>
          <w:rFonts w:hint="eastAsia" w:ascii="宋体" w:hAnsi="宋体"/>
          <w:szCs w:val="21"/>
        </w:rPr>
      </w:pPr>
      <w:r>
        <w:rPr>
          <w:rFonts w:hint="eastAsia" w:ascii="宋体" w:hAnsi="宋体"/>
          <w:szCs w:val="21"/>
        </w:rPr>
        <w:t>法定工作年龄，</w:t>
      </w:r>
      <w:r>
        <w:rPr>
          <w:rFonts w:ascii="宋体" w:hAnsi="宋体"/>
          <w:bCs/>
          <w:szCs w:val="21"/>
        </w:rPr>
        <w:t>形象气质佳、</w:t>
      </w:r>
      <w:r>
        <w:rPr>
          <w:rFonts w:hint="eastAsia" w:ascii="宋体" w:hAnsi="宋体"/>
          <w:szCs w:val="21"/>
        </w:rPr>
        <w:t>身体健康，无不良嗜好；</w:t>
      </w:r>
    </w:p>
    <w:p>
      <w:pPr>
        <w:spacing w:line="360" w:lineRule="auto"/>
        <w:ind w:firstLine="420" w:firstLineChars="200"/>
        <w:outlineLvl w:val="0"/>
        <w:rPr>
          <w:rFonts w:hint="eastAsia" w:ascii="宋体" w:hAnsi="宋体" w:eastAsia="宋体" w:cs="Times New Roman"/>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办税厅</w:t>
      </w:r>
      <w:r>
        <w:rPr>
          <w:rFonts w:hint="eastAsia" w:ascii="宋体" w:hAnsi="宋体" w:eastAsia="宋体" w:cs="Times New Roman"/>
          <w:sz w:val="21"/>
          <w:szCs w:val="21"/>
        </w:rPr>
        <w:t>服务人员优先条件：本地户籍优先，或税收、</w:t>
      </w:r>
      <w:r>
        <w:rPr>
          <w:rFonts w:hint="eastAsia" w:ascii="宋体" w:hAnsi="宋体" w:eastAsia="宋体" w:cs="Times New Roman"/>
          <w:sz w:val="21"/>
          <w:szCs w:val="21"/>
          <w:lang w:val="en-US" w:eastAsia="zh-CN"/>
        </w:rPr>
        <w:t>法律、</w:t>
      </w:r>
      <w:r>
        <w:rPr>
          <w:rFonts w:hint="eastAsia" w:ascii="宋体" w:hAnsi="宋体" w:eastAsia="宋体" w:cs="Times New Roman"/>
          <w:sz w:val="21"/>
          <w:szCs w:val="21"/>
        </w:rPr>
        <w:t>会计、</w:t>
      </w:r>
      <w:r>
        <w:rPr>
          <w:rFonts w:hint="eastAsia" w:ascii="宋体" w:hAnsi="宋体" w:eastAsia="宋体" w:cs="Times New Roman"/>
          <w:szCs w:val="21"/>
        </w:rPr>
        <w:t>经济学</w:t>
      </w:r>
      <w:r>
        <w:rPr>
          <w:rFonts w:hint="eastAsia" w:ascii="宋体" w:hAnsi="宋体" w:eastAsia="宋体" w:cs="Times New Roman"/>
          <w:szCs w:val="21"/>
          <w:lang w:eastAsia="zh-CN"/>
        </w:rPr>
        <w:t>、</w:t>
      </w:r>
      <w:r>
        <w:rPr>
          <w:rFonts w:hint="eastAsia" w:ascii="宋体" w:hAnsi="宋体" w:eastAsia="宋体" w:cs="Times New Roman"/>
          <w:szCs w:val="21"/>
        </w:rPr>
        <w:t>财务管理专业者</w:t>
      </w:r>
      <w:r>
        <w:rPr>
          <w:rFonts w:hint="eastAsia" w:ascii="宋体" w:hAnsi="宋体" w:eastAsia="宋体" w:cs="Times New Roman"/>
          <w:szCs w:val="21"/>
          <w:lang w:eastAsia="zh-CN"/>
        </w:rPr>
        <w:t>、</w:t>
      </w:r>
      <w:r>
        <w:rPr>
          <w:rFonts w:hint="eastAsia" w:ascii="宋体" w:hAnsi="宋体" w:eastAsia="宋体" w:cs="Times New Roman"/>
          <w:sz w:val="21"/>
          <w:szCs w:val="21"/>
        </w:rPr>
        <w:t>计算机专业同等条件下</w:t>
      </w:r>
      <w:r>
        <w:rPr>
          <w:rFonts w:hint="eastAsia" w:ascii="宋体" w:hAnsi="宋体" w:eastAsia="宋体" w:cs="Times New Roman"/>
          <w:szCs w:val="21"/>
        </w:rPr>
        <w:t>优先，特殊岗位除外；</w:t>
      </w:r>
    </w:p>
    <w:p>
      <w:pPr>
        <w:spacing w:line="360" w:lineRule="auto"/>
        <w:ind w:firstLine="420" w:firstLineChars="200"/>
        <w:outlineLvl w:val="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）熟练操作windows、wps、office等办公软件及打印、扫描设备，经培训后能熟练操作金税三期系统、防伪税控系统、网上申报系统等；</w:t>
      </w:r>
    </w:p>
    <w:p>
      <w:pPr>
        <w:spacing w:line="360" w:lineRule="auto"/>
        <w:ind w:firstLine="420" w:firstLineChars="200"/>
        <w:outlineLvl w:val="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）品行端正，能吃苦耐劳，具备良好的服务意识及沟通能力，有良好的团队合作精神；</w:t>
      </w:r>
    </w:p>
    <w:p>
      <w:pPr>
        <w:spacing w:line="360" w:lineRule="auto"/>
        <w:ind w:firstLine="420" w:firstLineChars="200"/>
        <w:outlineLvl w:val="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）根据工作性质和实际岗位需要，要求具有的其他特殊条件。</w:t>
      </w:r>
    </w:p>
    <w:p>
      <w:pPr>
        <w:spacing w:line="360" w:lineRule="auto"/>
        <w:ind w:firstLine="421" w:firstLineChars="200"/>
        <w:outlineLvl w:val="0"/>
        <w:rPr>
          <w:rFonts w:ascii="宋体" w:hAnsi="宋体"/>
          <w:b/>
          <w:bCs/>
          <w:szCs w:val="21"/>
        </w:rPr>
      </w:pPr>
      <w:r>
        <w:rPr>
          <w:rFonts w:hint="eastAsia" w:ascii="宋体" w:hAnsi="宋体"/>
          <w:b/>
          <w:bCs/>
          <w:szCs w:val="21"/>
        </w:rPr>
        <w:t>1.2服务质量保障要求</w:t>
      </w:r>
    </w:p>
    <w:p>
      <w:pPr>
        <w:spacing w:line="360" w:lineRule="auto"/>
        <w:ind w:firstLine="421" w:firstLineChars="200"/>
        <w:outlineLvl w:val="0"/>
        <w:rPr>
          <w:rFonts w:ascii="宋体" w:hAnsi="宋体"/>
          <w:b/>
          <w:bCs/>
          <w:szCs w:val="21"/>
        </w:rPr>
      </w:pPr>
      <w:r>
        <w:rPr>
          <w:rFonts w:hint="eastAsia" w:ascii="宋体" w:hAnsi="宋体"/>
          <w:b/>
          <w:bCs/>
          <w:szCs w:val="21"/>
        </w:rPr>
        <w:t>（1）服务规范要求</w:t>
      </w:r>
    </w:p>
    <w:p>
      <w:pPr>
        <w:spacing w:line="360" w:lineRule="auto"/>
        <w:ind w:firstLine="420" w:firstLineChars="200"/>
        <w:outlineLvl w:val="0"/>
        <w:rPr>
          <w:rFonts w:ascii="宋体" w:hAnsi="宋体"/>
          <w:szCs w:val="21"/>
        </w:rPr>
      </w:pPr>
      <w:r>
        <w:rPr>
          <w:rFonts w:hint="eastAsia" w:ascii="宋体" w:hAnsi="宋体"/>
          <w:szCs w:val="21"/>
        </w:rPr>
        <w:t> ①工作中应当自觉遵守国家法律、法规和税务机关的规定，服从采购人的管理，爱岗敬业，忠于职守。</w:t>
      </w:r>
    </w:p>
    <w:p>
      <w:pPr>
        <w:spacing w:line="360" w:lineRule="auto"/>
        <w:ind w:firstLine="420" w:firstLineChars="200"/>
        <w:outlineLvl w:val="0"/>
        <w:rPr>
          <w:rFonts w:ascii="宋体" w:hAnsi="宋体"/>
          <w:szCs w:val="21"/>
        </w:rPr>
      </w:pPr>
      <w:r>
        <w:rPr>
          <w:rFonts w:hint="eastAsia" w:ascii="宋体" w:hAnsi="宋体"/>
          <w:szCs w:val="21"/>
        </w:rPr>
        <w:t> ②遵守采购人的各项规章制度，服从管理和工作安排，尽到一次告知义务，不得与纳税人发生冲突。</w:t>
      </w:r>
    </w:p>
    <w:p>
      <w:pPr>
        <w:spacing w:line="360" w:lineRule="auto"/>
        <w:ind w:firstLine="630" w:firstLineChars="300"/>
        <w:outlineLvl w:val="0"/>
        <w:rPr>
          <w:rFonts w:ascii="宋体" w:hAnsi="宋体"/>
          <w:szCs w:val="21"/>
        </w:rPr>
      </w:pPr>
      <w:r>
        <w:rPr>
          <w:rFonts w:hint="eastAsia" w:ascii="宋体" w:hAnsi="宋体"/>
          <w:szCs w:val="21"/>
        </w:rPr>
        <w:t>③坚持原则，按规定制度办事，不得以工作之便谋取私利，不得以任何形式向服务对象吃、拿、卡、要，不得作出损害税务机关信誉和形象的行为。</w:t>
      </w:r>
    </w:p>
    <w:p>
      <w:pPr>
        <w:spacing w:line="360" w:lineRule="auto"/>
        <w:ind w:firstLine="420" w:firstLineChars="200"/>
        <w:outlineLvl w:val="0"/>
        <w:rPr>
          <w:rFonts w:ascii="宋体" w:hAnsi="宋体"/>
          <w:szCs w:val="21"/>
        </w:rPr>
      </w:pPr>
      <w:r>
        <w:rPr>
          <w:rFonts w:hint="eastAsia" w:ascii="宋体" w:hAnsi="宋体"/>
          <w:szCs w:val="21"/>
        </w:rPr>
        <w:t> ④人员统一着装，言行规范，注意仪容仪表、公众形象。</w:t>
      </w:r>
    </w:p>
    <w:p>
      <w:pPr>
        <w:spacing w:line="360" w:lineRule="auto"/>
        <w:ind w:firstLine="420" w:firstLineChars="200"/>
        <w:outlineLvl w:val="0"/>
        <w:rPr>
          <w:rFonts w:ascii="宋体" w:hAnsi="宋体"/>
          <w:szCs w:val="21"/>
        </w:rPr>
      </w:pPr>
      <w:r>
        <w:rPr>
          <w:rFonts w:hint="eastAsia" w:ascii="宋体" w:hAnsi="宋体"/>
          <w:szCs w:val="21"/>
        </w:rPr>
        <w:t> ⑤各岗位工作时间及休假时间根据国家有关规定和实际工作需要执行。</w:t>
      </w:r>
    </w:p>
    <w:p>
      <w:pPr>
        <w:spacing w:line="360" w:lineRule="auto"/>
        <w:ind w:firstLine="421" w:firstLineChars="200"/>
        <w:outlineLvl w:val="0"/>
        <w:rPr>
          <w:rFonts w:ascii="宋体" w:hAnsi="宋体"/>
          <w:b/>
          <w:bCs/>
          <w:szCs w:val="21"/>
        </w:rPr>
      </w:pPr>
      <w:r>
        <w:rPr>
          <w:rFonts w:hint="eastAsia" w:ascii="宋体" w:hAnsi="宋体"/>
          <w:b/>
          <w:bCs/>
          <w:szCs w:val="21"/>
        </w:rPr>
        <w:t>（2）服务内容要求</w:t>
      </w:r>
    </w:p>
    <w:p>
      <w:pPr>
        <w:spacing w:line="360" w:lineRule="auto"/>
        <w:ind w:firstLine="420" w:firstLineChars="200"/>
        <w:outlineLvl w:val="0"/>
        <w:rPr>
          <w:rFonts w:ascii="宋体" w:hAnsi="宋体"/>
          <w:szCs w:val="21"/>
        </w:rPr>
      </w:pPr>
      <w:r>
        <w:rPr>
          <w:rFonts w:hint="eastAsia" w:ascii="宋体" w:hAnsi="宋体"/>
          <w:szCs w:val="21"/>
        </w:rPr>
        <w:t>服务人员需负责办税(缴费)服务场所的税费类事项服务，如办税服务厅导税服务、纳税咨询、缴费咨询、纳税辅导服务、税法宣传、资料整理与归档及其他业务辅助事项，具体如下：</w:t>
      </w:r>
    </w:p>
    <w:p>
      <w:pPr>
        <w:spacing w:line="360" w:lineRule="auto"/>
        <w:ind w:firstLine="420" w:firstLineChars="200"/>
        <w:outlineLvl w:val="0"/>
        <w:rPr>
          <w:rFonts w:ascii="宋体" w:hAnsi="宋体"/>
          <w:szCs w:val="21"/>
        </w:rPr>
      </w:pPr>
      <w:r>
        <w:rPr>
          <w:rFonts w:hint="eastAsia" w:ascii="宋体" w:hAnsi="宋体"/>
          <w:szCs w:val="21"/>
        </w:rPr>
        <w:t>①解答纳税人(缴费人)疑问、提供帮助。</w:t>
      </w:r>
    </w:p>
    <w:p>
      <w:pPr>
        <w:spacing w:line="360" w:lineRule="auto"/>
        <w:ind w:firstLine="420" w:firstLineChars="200"/>
        <w:outlineLvl w:val="0"/>
        <w:rPr>
          <w:rFonts w:ascii="宋体" w:hAnsi="宋体"/>
          <w:szCs w:val="21"/>
        </w:rPr>
      </w:pPr>
      <w:r>
        <w:rPr>
          <w:rFonts w:hint="eastAsia" w:ascii="宋体" w:hAnsi="宋体"/>
          <w:szCs w:val="21"/>
        </w:rPr>
        <w:t>②网上办税区和自助办税区辅导。</w:t>
      </w:r>
    </w:p>
    <w:p>
      <w:pPr>
        <w:spacing w:line="360" w:lineRule="auto"/>
        <w:ind w:firstLine="420" w:firstLineChars="200"/>
        <w:outlineLvl w:val="0"/>
        <w:rPr>
          <w:rFonts w:ascii="宋体" w:hAnsi="宋体"/>
          <w:szCs w:val="21"/>
        </w:rPr>
      </w:pPr>
      <w:r>
        <w:rPr>
          <w:rFonts w:hint="eastAsia" w:ascii="宋体" w:hAnsi="宋体"/>
          <w:szCs w:val="21"/>
        </w:rPr>
        <w:t>③辅导纳税人(缴费人)正确填写表证单书。</w:t>
      </w:r>
    </w:p>
    <w:p>
      <w:pPr>
        <w:spacing w:line="360" w:lineRule="auto"/>
        <w:ind w:firstLine="420" w:firstLineChars="200"/>
        <w:outlineLvl w:val="0"/>
        <w:rPr>
          <w:rFonts w:ascii="宋体" w:hAnsi="宋体"/>
          <w:szCs w:val="21"/>
        </w:rPr>
      </w:pPr>
      <w:r>
        <w:rPr>
          <w:rFonts w:hint="eastAsia" w:ascii="宋体" w:hAnsi="宋体"/>
          <w:szCs w:val="21"/>
        </w:rPr>
        <w:t>④对纳税人(缴费人)办理涉税事项的资料进行预审。</w:t>
      </w:r>
    </w:p>
    <w:p>
      <w:pPr>
        <w:spacing w:line="360" w:lineRule="auto"/>
        <w:ind w:firstLine="420" w:firstLineChars="200"/>
        <w:outlineLvl w:val="0"/>
        <w:rPr>
          <w:rFonts w:ascii="宋体" w:hAnsi="宋体"/>
          <w:szCs w:val="21"/>
        </w:rPr>
      </w:pPr>
      <w:r>
        <w:rPr>
          <w:rFonts w:hint="eastAsia" w:ascii="宋体" w:hAnsi="宋体"/>
          <w:szCs w:val="21"/>
        </w:rPr>
        <w:t>⑤管理实名取号机，资料预审通过后，为纳税人(缴费人)进行取号。</w:t>
      </w:r>
    </w:p>
    <w:p>
      <w:pPr>
        <w:spacing w:line="360" w:lineRule="auto"/>
        <w:ind w:firstLine="420" w:firstLineChars="200"/>
        <w:outlineLvl w:val="0"/>
        <w:rPr>
          <w:rFonts w:ascii="宋体" w:hAnsi="宋体"/>
          <w:szCs w:val="21"/>
        </w:rPr>
      </w:pPr>
      <w:r>
        <w:rPr>
          <w:rFonts w:hint="eastAsia" w:ascii="宋体" w:hAnsi="宋体"/>
          <w:szCs w:val="21"/>
        </w:rPr>
        <w:fldChar w:fldCharType="begin"/>
      </w:r>
      <w:r>
        <w:rPr>
          <w:rFonts w:hint="eastAsia" w:ascii="宋体" w:hAnsi="宋体"/>
          <w:szCs w:val="21"/>
        </w:rPr>
        <w:instrText xml:space="preserve"> = 6 \* GB3 \* MERGEFORMAT </w:instrText>
      </w:r>
      <w:r>
        <w:rPr>
          <w:rFonts w:hint="eastAsia" w:ascii="宋体" w:hAnsi="宋体"/>
          <w:szCs w:val="21"/>
        </w:rPr>
        <w:fldChar w:fldCharType="separate"/>
      </w:r>
      <w:r>
        <w:rPr>
          <w:rFonts w:ascii="宋体" w:hAnsi="宋体"/>
          <w:szCs w:val="21"/>
        </w:rPr>
        <w:t>⑥</w:t>
      </w:r>
      <w:r>
        <w:rPr>
          <w:rFonts w:hint="eastAsia" w:ascii="宋体" w:hAnsi="宋体"/>
          <w:szCs w:val="21"/>
        </w:rPr>
        <w:fldChar w:fldCharType="end"/>
      </w:r>
      <w:r>
        <w:rPr>
          <w:rFonts w:hint="eastAsia" w:ascii="宋体" w:hAnsi="宋体"/>
          <w:szCs w:val="21"/>
        </w:rPr>
        <w:t>分流办税服务场所纳税人(缴费人),避免造成办税服务场所拥堵，并引导其到正确场所办理涉税事宜。</w:t>
      </w:r>
    </w:p>
    <w:p>
      <w:pPr>
        <w:spacing w:line="360" w:lineRule="auto"/>
        <w:ind w:firstLine="420" w:firstLineChars="200"/>
        <w:outlineLvl w:val="0"/>
        <w:rPr>
          <w:rFonts w:ascii="宋体" w:hAnsi="宋体"/>
          <w:szCs w:val="21"/>
        </w:rPr>
      </w:pPr>
      <w:r>
        <w:rPr>
          <w:rFonts w:hint="eastAsia" w:ascii="宋体" w:hAnsi="宋体"/>
          <w:szCs w:val="21"/>
        </w:rPr>
        <w:fldChar w:fldCharType="begin"/>
      </w:r>
      <w:r>
        <w:rPr>
          <w:rFonts w:hint="eastAsia" w:ascii="宋体" w:hAnsi="宋体"/>
          <w:szCs w:val="21"/>
        </w:rPr>
        <w:instrText xml:space="preserve"> = 7 \* GB3 \* MERGEFORMAT </w:instrText>
      </w:r>
      <w:r>
        <w:rPr>
          <w:rFonts w:hint="eastAsia" w:ascii="宋体" w:hAnsi="宋体"/>
          <w:szCs w:val="21"/>
        </w:rPr>
        <w:fldChar w:fldCharType="separate"/>
      </w:r>
      <w:r>
        <w:rPr>
          <w:rFonts w:ascii="宋体" w:hAnsi="宋体"/>
          <w:szCs w:val="21"/>
        </w:rPr>
        <w:t>⑦</w:t>
      </w:r>
      <w:r>
        <w:rPr>
          <w:rFonts w:hint="eastAsia" w:ascii="宋体" w:hAnsi="宋体"/>
          <w:szCs w:val="21"/>
        </w:rPr>
        <w:fldChar w:fldCharType="end"/>
      </w:r>
      <w:r>
        <w:rPr>
          <w:rFonts w:hint="eastAsia" w:ascii="宋体" w:hAnsi="宋体"/>
          <w:szCs w:val="21"/>
        </w:rPr>
        <w:t>保证办税(缴费)服务场所环境整洁，纳税人(缴费人)办事所需的设施和用品完备，税收宣传资料及各类表单完善。</w:t>
      </w:r>
    </w:p>
    <w:p>
      <w:pPr>
        <w:spacing w:line="360" w:lineRule="auto"/>
        <w:ind w:firstLine="420" w:firstLineChars="200"/>
        <w:outlineLvl w:val="0"/>
        <w:rPr>
          <w:rFonts w:ascii="宋体" w:hAnsi="宋体"/>
          <w:szCs w:val="21"/>
        </w:rPr>
      </w:pPr>
      <w:r>
        <w:rPr>
          <w:rFonts w:hint="eastAsia" w:ascii="宋体" w:hAnsi="宋体"/>
          <w:szCs w:val="21"/>
        </w:rPr>
        <w:fldChar w:fldCharType="begin"/>
      </w:r>
      <w:r>
        <w:rPr>
          <w:rFonts w:hint="eastAsia" w:ascii="宋体" w:hAnsi="宋体"/>
          <w:szCs w:val="21"/>
        </w:rPr>
        <w:instrText xml:space="preserve"> = 8 \* GB3 \* MERGEFORMAT </w:instrText>
      </w:r>
      <w:r>
        <w:rPr>
          <w:rFonts w:hint="eastAsia" w:ascii="宋体" w:hAnsi="宋体"/>
          <w:szCs w:val="21"/>
        </w:rPr>
        <w:fldChar w:fldCharType="separate"/>
      </w:r>
      <w:r>
        <w:rPr>
          <w:rFonts w:ascii="宋体" w:hAnsi="宋体"/>
          <w:szCs w:val="21"/>
        </w:rPr>
        <w:t>⑧</w:t>
      </w:r>
      <w:r>
        <w:rPr>
          <w:rFonts w:hint="eastAsia" w:ascii="宋体" w:hAnsi="宋体"/>
          <w:szCs w:val="21"/>
        </w:rPr>
        <w:fldChar w:fldCharType="end"/>
      </w:r>
      <w:r>
        <w:rPr>
          <w:rFonts w:hint="eastAsia" w:ascii="宋体" w:hAnsi="宋体"/>
          <w:szCs w:val="21"/>
        </w:rPr>
        <w:t>维持办税(缴费)服务良好的办税秩序。</w:t>
      </w:r>
    </w:p>
    <w:p>
      <w:pPr>
        <w:spacing w:line="360" w:lineRule="auto"/>
        <w:ind w:firstLine="420" w:firstLineChars="200"/>
        <w:outlineLvl w:val="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9 \* GB3 \* MERGEFORMAT </w:instrText>
      </w:r>
      <w:r>
        <w:rPr>
          <w:rFonts w:hint="eastAsia" w:ascii="宋体" w:hAnsi="宋体"/>
          <w:szCs w:val="21"/>
        </w:rPr>
        <w:fldChar w:fldCharType="separate"/>
      </w:r>
      <w:r>
        <w:rPr>
          <w:rFonts w:ascii="宋体" w:hAnsi="宋体"/>
          <w:szCs w:val="21"/>
        </w:rPr>
        <w:t>⑨</w:t>
      </w:r>
      <w:r>
        <w:rPr>
          <w:rFonts w:hint="eastAsia" w:ascii="宋体" w:hAnsi="宋体"/>
          <w:szCs w:val="21"/>
        </w:rPr>
        <w:fldChar w:fldCharType="end"/>
      </w:r>
      <w:r>
        <w:rPr>
          <w:rFonts w:hint="eastAsia" w:ascii="宋体" w:hAnsi="宋体"/>
          <w:szCs w:val="21"/>
        </w:rPr>
        <w:t>按时开关厅内相关电子设备(如电子显示屏、平板电脑、电脑等)。</w:t>
      </w:r>
    </w:p>
    <w:p>
      <w:pPr>
        <w:spacing w:line="360" w:lineRule="auto"/>
        <w:ind w:firstLine="420" w:firstLineChars="200"/>
        <w:outlineLvl w:val="0"/>
        <w:rPr>
          <w:rFonts w:hint="eastAsia" w:ascii="Cambria Math" w:hAnsi="Cambria Math" w:cs="Cambria Math"/>
          <w:szCs w:val="21"/>
        </w:rPr>
      </w:pPr>
      <w:r>
        <w:rPr>
          <w:rFonts w:hint="eastAsia" w:ascii="宋体" w:hAnsi="宋体"/>
          <w:szCs w:val="21"/>
        </w:rPr>
        <w:fldChar w:fldCharType="begin"/>
      </w:r>
      <w:r>
        <w:rPr>
          <w:rFonts w:hint="eastAsia" w:ascii="宋体" w:hAnsi="宋体"/>
          <w:szCs w:val="21"/>
        </w:rPr>
        <w:instrText xml:space="preserve"> = 10 \* GB3 \* MERGEFORMAT </w:instrText>
      </w:r>
      <w:r>
        <w:rPr>
          <w:rFonts w:hint="eastAsia" w:ascii="宋体" w:hAnsi="宋体"/>
          <w:szCs w:val="21"/>
        </w:rPr>
        <w:fldChar w:fldCharType="separate"/>
      </w:r>
      <w:r>
        <w:rPr>
          <w:rFonts w:ascii="宋体" w:hAnsi="宋体"/>
          <w:szCs w:val="21"/>
        </w:rPr>
        <w:t>⑩</w:t>
      </w:r>
      <w:r>
        <w:rPr>
          <w:rFonts w:hint="eastAsia" w:ascii="宋体" w:hAnsi="宋体"/>
          <w:szCs w:val="21"/>
        </w:rPr>
        <w:fldChar w:fldCharType="end"/>
      </w:r>
      <w:r>
        <w:rPr>
          <w:rFonts w:hint="eastAsia" w:ascii="宋体" w:hAnsi="宋体"/>
          <w:szCs w:val="21"/>
        </w:rPr>
        <w:t>负责办税服务场所纳税人(缴费人)相关咨询问题的收集、整理和归类，并形成书面的办税服务场所服务报告并向采购人汇报。</w:t>
      </w:r>
    </w:p>
    <w:p>
      <w:pPr>
        <w:spacing w:line="360" w:lineRule="auto"/>
        <w:ind w:firstLine="420" w:firstLineChars="200"/>
        <w:outlineLvl w:val="0"/>
        <w:rPr>
          <w:rFonts w:hint="eastAsia" w:ascii="宋体" w:hAnsi="宋体"/>
          <w:szCs w:val="21"/>
        </w:rPr>
      </w:pPr>
      <w:r>
        <w:rPr>
          <w:rFonts w:ascii="Cambria Math" w:hAnsi="Cambria Math" w:cs="Cambria Math"/>
          <w:szCs w:val="21"/>
        </w:rPr>
        <w:t>⑪</w:t>
      </w:r>
      <w:r>
        <w:rPr>
          <w:rFonts w:hint="eastAsia" w:ascii="宋体" w:hAnsi="宋体"/>
          <w:szCs w:val="21"/>
        </w:rPr>
        <w:t>非执法类税收、社保及非税业务的窗口业务办理。</w:t>
      </w:r>
    </w:p>
    <w:p>
      <w:pPr>
        <w:spacing w:line="360" w:lineRule="auto"/>
        <w:ind w:firstLine="420" w:firstLineChars="200"/>
        <w:outlineLvl w:val="0"/>
        <w:rPr>
          <w:rFonts w:hint="eastAsia" w:ascii="宋体" w:hAnsi="宋体"/>
          <w:szCs w:val="21"/>
        </w:rPr>
      </w:pPr>
      <w:r>
        <w:rPr>
          <w:rFonts w:ascii="Cambria Math" w:hAnsi="Cambria Math" w:cs="Cambria Math"/>
          <w:szCs w:val="21"/>
        </w:rPr>
        <w:t>⑫</w:t>
      </w:r>
      <w:r>
        <w:rPr>
          <w:rFonts w:hint="eastAsia" w:ascii="宋体" w:hAnsi="宋体"/>
          <w:szCs w:val="21"/>
        </w:rPr>
        <w:t>根据不同时期税务工作重点，进行税收、社保及非税业务的宣传，包括但不限于张贴和播放宣传资料、政策通告等。</w:t>
      </w:r>
    </w:p>
    <w:p>
      <w:pPr>
        <w:spacing w:line="360" w:lineRule="auto"/>
        <w:ind w:firstLine="420" w:firstLineChars="200"/>
        <w:outlineLvl w:val="0"/>
        <w:rPr>
          <w:rFonts w:ascii="Cambria Math" w:hAnsi="Cambria Math" w:cs="Cambria Math"/>
          <w:iCs/>
          <w:szCs w:val="21"/>
        </w:rPr>
      </w:pPr>
      <w:r>
        <w:rPr>
          <w:rFonts w:ascii="Cambria Math" w:hAnsi="Cambria Math" w:cs="Cambria Math"/>
          <w:iCs/>
          <w:szCs w:val="21"/>
        </w:rPr>
        <w:t>⑬</w:t>
      </w:r>
      <w:r>
        <w:rPr>
          <w:rFonts w:hint="eastAsia" w:ascii="宋体" w:hAnsi="宋体"/>
          <w:iCs/>
          <w:szCs w:val="21"/>
        </w:rPr>
        <w:t>国家税务总局韶关市曲江区税务局安排的其他服务类工作。</w:t>
      </w:r>
    </w:p>
    <w:p>
      <w:pPr>
        <w:spacing w:line="360" w:lineRule="auto"/>
        <w:ind w:firstLine="421" w:firstLineChars="200"/>
        <w:outlineLvl w:val="0"/>
        <w:rPr>
          <w:rFonts w:ascii="宋体" w:hAnsi="宋体"/>
          <w:b/>
          <w:bCs/>
          <w:szCs w:val="21"/>
        </w:rPr>
      </w:pPr>
      <w:r>
        <w:rPr>
          <w:rFonts w:hint="eastAsia" w:ascii="宋体" w:hAnsi="宋体"/>
          <w:b/>
          <w:bCs/>
          <w:szCs w:val="21"/>
        </w:rPr>
        <w:t>（3）服务质量保障要求</w:t>
      </w:r>
    </w:p>
    <w:p>
      <w:pPr>
        <w:spacing w:line="360" w:lineRule="auto"/>
        <w:ind w:firstLine="420" w:firstLineChars="200"/>
        <w:outlineLvl w:val="0"/>
        <w:rPr>
          <w:rFonts w:hint="eastAsia" w:ascii="宋体" w:hAnsi="宋体"/>
          <w:iCs/>
          <w:szCs w:val="21"/>
        </w:rPr>
      </w:pPr>
      <w:r>
        <w:rPr>
          <w:rFonts w:hint="eastAsia" w:ascii="宋体" w:hAnsi="宋体"/>
          <w:iCs/>
          <w:szCs w:val="21"/>
        </w:rPr>
        <w:t>①投标人投入本项目的服务人员在服务过程中须按照采购人的要求完成日常工作，上岗前经过相关培训，培训内容需包含岗前培训、在岗多元化培训、沟通技巧培训等相关内容。投标人应制定</w:t>
      </w:r>
      <w:r>
        <w:rPr>
          <w:rFonts w:hint="eastAsia" w:ascii="宋体" w:hAnsi="宋体"/>
          <w:b/>
          <w:bCs/>
          <w:iCs/>
          <w:szCs w:val="21"/>
        </w:rPr>
        <w:t>培训方案</w:t>
      </w:r>
      <w:r>
        <w:rPr>
          <w:rFonts w:hint="eastAsia" w:ascii="宋体" w:hAnsi="宋体"/>
          <w:iCs/>
          <w:szCs w:val="21"/>
        </w:rPr>
        <w:t>，内容包含但不限于：培训计划及实施、培训目标、培训成果考核等。</w:t>
      </w:r>
    </w:p>
    <w:p>
      <w:pPr>
        <w:spacing w:line="360" w:lineRule="auto"/>
        <w:ind w:firstLine="420" w:firstLineChars="200"/>
        <w:outlineLvl w:val="0"/>
        <w:rPr>
          <w:rFonts w:hint="eastAsia" w:ascii="宋体" w:hAnsi="宋体"/>
          <w:iCs/>
          <w:szCs w:val="21"/>
        </w:rPr>
      </w:pPr>
      <w:r>
        <w:rPr>
          <w:rFonts w:hint="eastAsia" w:ascii="宋体" w:hAnsi="宋体"/>
          <w:iCs/>
          <w:szCs w:val="21"/>
        </w:rPr>
        <w:t>②投标人投入本项目的服务人员应当遵守保密要求，保守国家秘密、税收工作秘密和服务对象秘密，按要求使用涉密计算机，投标人需制定</w:t>
      </w:r>
      <w:r>
        <w:rPr>
          <w:rFonts w:hint="eastAsia" w:ascii="宋体" w:hAnsi="宋体"/>
          <w:b/>
          <w:bCs/>
          <w:iCs/>
          <w:szCs w:val="21"/>
        </w:rPr>
        <w:t>保密管理方案</w:t>
      </w:r>
      <w:r>
        <w:rPr>
          <w:rFonts w:hint="eastAsia" w:ascii="宋体" w:hAnsi="宋体"/>
          <w:iCs/>
          <w:szCs w:val="21"/>
        </w:rPr>
        <w:t>，内容包含但不限于保密制度要求、保密学习方案、泄密处理办法等。</w:t>
      </w:r>
    </w:p>
    <w:p>
      <w:pPr>
        <w:spacing w:line="360" w:lineRule="auto"/>
        <w:ind w:firstLine="420" w:firstLineChars="200"/>
        <w:outlineLvl w:val="0"/>
        <w:rPr>
          <w:rFonts w:hint="eastAsia" w:ascii="宋体" w:hAnsi="宋体"/>
          <w:szCs w:val="21"/>
        </w:rPr>
      </w:pPr>
      <w:r>
        <w:rPr>
          <w:rFonts w:hint="eastAsia" w:ascii="宋体" w:hAnsi="宋体"/>
          <w:iCs/>
          <w:szCs w:val="21"/>
        </w:rPr>
        <w:t>③投标人应提供</w:t>
      </w:r>
      <w:r>
        <w:rPr>
          <w:rFonts w:hint="eastAsia" w:ascii="宋体" w:hAnsi="宋体"/>
          <w:b/>
          <w:bCs/>
          <w:iCs/>
          <w:szCs w:val="21"/>
        </w:rPr>
        <w:t>人员保障方案</w:t>
      </w:r>
      <w:r>
        <w:rPr>
          <w:rFonts w:hint="eastAsia" w:ascii="宋体" w:hAnsi="宋体"/>
          <w:iCs/>
          <w:szCs w:val="21"/>
        </w:rPr>
        <w:t>，内容包括但不限于人员招录及辞退措施、保证人员稳定性的方案、临时人员需求补替方案等。为保障服务质量，投标人所提供的人员需具有稳定性及连续性，不得擅自更换人员，如果有人员更换的情况需提前15日向采购人书面说明原因，并及时补充人员，妥善办理交接手续，因人员擅自离岗造成的损失由投标人承担。</w:t>
      </w:r>
    </w:p>
    <w:p>
      <w:pPr>
        <w:spacing w:line="360" w:lineRule="auto"/>
        <w:ind w:firstLine="420" w:firstLineChars="200"/>
        <w:outlineLvl w:val="0"/>
        <w:rPr>
          <w:rFonts w:ascii="宋体" w:hAnsi="宋体"/>
          <w:szCs w:val="21"/>
        </w:rPr>
      </w:pPr>
      <w:r>
        <w:rPr>
          <w:rFonts w:hint="eastAsia" w:ascii="宋体" w:hAnsi="宋体"/>
          <w:szCs w:val="21"/>
        </w:rPr>
        <w:t>④</w:t>
      </w:r>
      <w:r>
        <w:rPr>
          <w:rFonts w:hint="eastAsia" w:ascii="宋体" w:hAnsi="宋体"/>
          <w:iCs/>
          <w:szCs w:val="21"/>
        </w:rPr>
        <w:t>投标人应建立完善的</w:t>
      </w:r>
      <w:r>
        <w:rPr>
          <w:rFonts w:hint="eastAsia" w:ascii="宋体" w:hAnsi="宋体"/>
          <w:b/>
          <w:bCs/>
          <w:iCs/>
          <w:szCs w:val="21"/>
        </w:rPr>
        <w:t>应急预案</w:t>
      </w:r>
      <w:r>
        <w:rPr>
          <w:rFonts w:hint="eastAsia" w:ascii="宋体" w:hAnsi="宋体"/>
          <w:iCs/>
          <w:szCs w:val="21"/>
        </w:rPr>
        <w:t>，内容包含但不限于舆情事件应急处理、办税大厅纠纷应急预案（纠纷种类、预防措施、应急响应、办结时间、处理方式等）、服务人员投诉应对应急预案（预防措施、应急响应及办结时间、责任追究等）、劳动纠纷预案与工伤事故应急预案等。</w:t>
      </w:r>
    </w:p>
    <w:p>
      <w:pPr>
        <w:spacing w:line="360" w:lineRule="auto"/>
        <w:ind w:firstLine="421" w:firstLineChars="200"/>
        <w:outlineLvl w:val="0"/>
        <w:rPr>
          <w:rFonts w:ascii="宋体" w:hAnsi="宋体"/>
          <w:b/>
          <w:bCs/>
          <w:szCs w:val="21"/>
        </w:rPr>
      </w:pPr>
      <w:r>
        <w:rPr>
          <w:rFonts w:hint="eastAsia" w:ascii="宋体" w:hAnsi="宋体"/>
          <w:b/>
          <w:szCs w:val="21"/>
          <w:lang w:val="en-US" w:eastAsia="zh-CN"/>
        </w:rPr>
        <w:t>四</w:t>
      </w:r>
      <w:r>
        <w:rPr>
          <w:rFonts w:hint="eastAsia" w:ascii="宋体" w:hAnsi="宋体"/>
          <w:b/>
          <w:szCs w:val="21"/>
        </w:rPr>
        <w:t>、服务工作考评</w:t>
      </w:r>
    </w:p>
    <w:p>
      <w:pPr>
        <w:spacing w:line="360" w:lineRule="auto"/>
        <w:ind w:firstLine="420" w:firstLineChars="200"/>
        <w:outlineLvl w:val="0"/>
        <w:rPr>
          <w:rFonts w:ascii="宋体" w:hAnsi="宋体"/>
          <w:szCs w:val="21"/>
        </w:rPr>
      </w:pPr>
      <w:r>
        <w:rPr>
          <w:rFonts w:hint="eastAsia" w:ascii="宋体" w:hAnsi="宋体"/>
          <w:szCs w:val="21"/>
        </w:rPr>
        <w:t>1.为保证服务质量，采购人每季度进行服务质量考核。中标人及服务人员在服务期间无条件配合采购人进行服务质量考核。</w:t>
      </w:r>
    </w:p>
    <w:p>
      <w:pPr>
        <w:spacing w:line="360" w:lineRule="auto"/>
        <w:ind w:firstLine="420" w:firstLineChars="200"/>
        <w:outlineLvl w:val="0"/>
        <w:rPr>
          <w:rFonts w:ascii="宋体" w:hAnsi="宋体"/>
          <w:szCs w:val="21"/>
        </w:rPr>
      </w:pPr>
      <w:r>
        <w:rPr>
          <w:rFonts w:hint="eastAsia" w:ascii="宋体" w:hAnsi="宋体"/>
          <w:szCs w:val="21"/>
        </w:rPr>
        <w:t>2.考评标准</w:t>
      </w:r>
    </w:p>
    <w:tbl>
      <w:tblPr>
        <w:tblStyle w:val="2"/>
        <w:tblpPr w:leftFromText="180" w:rightFromText="180" w:vertAnchor="text" w:horzAnchor="page" w:tblpX="1070" w:tblpY="669"/>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34"/>
        <w:gridCol w:w="2867"/>
        <w:gridCol w:w="852"/>
        <w:gridCol w:w="975"/>
        <w:gridCol w:w="972"/>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0" w:type="dxa"/>
            <w:gridSpan w:val="7"/>
            <w:noWrap w:val="0"/>
            <w:vAlign w:val="center"/>
          </w:tcPr>
          <w:p>
            <w:pPr>
              <w:spacing w:line="360" w:lineRule="auto"/>
              <w:ind w:firstLine="421" w:firstLineChars="200"/>
              <w:outlineLvl w:val="0"/>
              <w:rPr>
                <w:rFonts w:ascii="宋体" w:hAnsi="宋体"/>
                <w:szCs w:val="21"/>
              </w:rPr>
            </w:pPr>
            <w:r>
              <w:rPr>
                <w:rFonts w:hint="eastAsia" w:ascii="宋体" w:hAnsi="宋体"/>
                <w:b/>
                <w:bCs/>
                <w:szCs w:val="21"/>
              </w:rPr>
              <w:t>服务考核评分表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80" w:type="dxa"/>
            <w:gridSpan w:val="2"/>
            <w:noWrap w:val="0"/>
            <w:vAlign w:val="center"/>
          </w:tcPr>
          <w:p>
            <w:pPr>
              <w:spacing w:line="360" w:lineRule="auto"/>
              <w:ind w:firstLine="420" w:firstLineChars="200"/>
              <w:outlineLvl w:val="0"/>
              <w:rPr>
                <w:rFonts w:ascii="宋体" w:hAnsi="宋体"/>
                <w:szCs w:val="21"/>
              </w:rPr>
            </w:pPr>
            <w:r>
              <w:rPr>
                <w:rFonts w:hint="eastAsia" w:ascii="宋体" w:hAnsi="宋体"/>
                <w:szCs w:val="21"/>
              </w:rPr>
              <w:t>考核周期</w:t>
            </w:r>
          </w:p>
        </w:tc>
        <w:tc>
          <w:tcPr>
            <w:tcW w:w="2867"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年第    季度</w:t>
            </w:r>
          </w:p>
        </w:tc>
        <w:tc>
          <w:tcPr>
            <w:tcW w:w="1827" w:type="dxa"/>
            <w:gridSpan w:val="2"/>
            <w:noWrap w:val="0"/>
            <w:vAlign w:val="center"/>
          </w:tcPr>
          <w:p>
            <w:pPr>
              <w:spacing w:line="360" w:lineRule="auto"/>
              <w:ind w:firstLine="420" w:firstLineChars="200"/>
              <w:outlineLvl w:val="0"/>
              <w:rPr>
                <w:rFonts w:ascii="宋体" w:hAnsi="宋体"/>
                <w:szCs w:val="21"/>
              </w:rPr>
            </w:pPr>
            <w:r>
              <w:rPr>
                <w:rFonts w:hint="eastAsia" w:ascii="宋体" w:hAnsi="宋体"/>
                <w:szCs w:val="21"/>
              </w:rPr>
              <w:t>考核时间</w:t>
            </w:r>
          </w:p>
        </w:tc>
        <w:tc>
          <w:tcPr>
            <w:tcW w:w="2326" w:type="dxa"/>
            <w:gridSpan w:val="2"/>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300" w:type="dxa"/>
            <w:gridSpan w:val="7"/>
            <w:noWrap w:val="0"/>
            <w:vAlign w:val="center"/>
          </w:tcPr>
          <w:p>
            <w:pPr>
              <w:spacing w:line="360" w:lineRule="auto"/>
              <w:outlineLvl w:val="0"/>
              <w:rPr>
                <w:rFonts w:ascii="宋体" w:hAnsi="宋体"/>
                <w:szCs w:val="21"/>
              </w:rPr>
            </w:pPr>
            <w:r>
              <w:rPr>
                <w:rFonts w:hint="eastAsia" w:ascii="宋体" w:hAnsi="宋体"/>
                <w:szCs w:val="21"/>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pPr>
              <w:spacing w:line="360" w:lineRule="auto"/>
              <w:outlineLvl w:val="0"/>
              <w:rPr>
                <w:rFonts w:ascii="宋体" w:hAnsi="宋体"/>
                <w:szCs w:val="21"/>
              </w:rPr>
            </w:pPr>
            <w:r>
              <w:rPr>
                <w:rFonts w:hint="eastAsia" w:ascii="宋体" w:hAnsi="宋体"/>
                <w:szCs w:val="21"/>
              </w:rPr>
              <w:t>序号</w:t>
            </w:r>
          </w:p>
        </w:tc>
        <w:tc>
          <w:tcPr>
            <w:tcW w:w="5153" w:type="dxa"/>
            <w:gridSpan w:val="3"/>
            <w:noWrap w:val="0"/>
            <w:vAlign w:val="center"/>
          </w:tcPr>
          <w:p>
            <w:pPr>
              <w:spacing w:line="360" w:lineRule="auto"/>
              <w:outlineLvl w:val="0"/>
              <w:rPr>
                <w:rFonts w:ascii="宋体" w:hAnsi="宋体"/>
                <w:szCs w:val="21"/>
              </w:rPr>
            </w:pPr>
            <w:r>
              <w:rPr>
                <w:rFonts w:hint="eastAsia" w:ascii="宋体" w:hAnsi="宋体"/>
                <w:szCs w:val="21"/>
              </w:rPr>
              <w:t>考核内容</w:t>
            </w:r>
          </w:p>
        </w:tc>
        <w:tc>
          <w:tcPr>
            <w:tcW w:w="975" w:type="dxa"/>
            <w:noWrap w:val="0"/>
            <w:vAlign w:val="center"/>
          </w:tcPr>
          <w:p>
            <w:pPr>
              <w:spacing w:line="360" w:lineRule="auto"/>
              <w:outlineLvl w:val="0"/>
              <w:rPr>
                <w:rFonts w:ascii="宋体" w:hAnsi="宋体"/>
                <w:szCs w:val="21"/>
              </w:rPr>
            </w:pPr>
            <w:r>
              <w:rPr>
                <w:rFonts w:hint="eastAsia" w:ascii="宋体" w:hAnsi="宋体"/>
                <w:szCs w:val="21"/>
              </w:rPr>
              <w:t>总分</w:t>
            </w:r>
          </w:p>
        </w:tc>
        <w:tc>
          <w:tcPr>
            <w:tcW w:w="972" w:type="dxa"/>
            <w:noWrap w:val="0"/>
            <w:vAlign w:val="center"/>
          </w:tcPr>
          <w:p>
            <w:pPr>
              <w:spacing w:line="360" w:lineRule="auto"/>
              <w:outlineLvl w:val="0"/>
              <w:rPr>
                <w:rFonts w:ascii="宋体" w:hAnsi="宋体"/>
                <w:szCs w:val="21"/>
              </w:rPr>
            </w:pPr>
            <w:r>
              <w:rPr>
                <w:rFonts w:hint="eastAsia" w:ascii="宋体" w:hAnsi="宋体"/>
                <w:szCs w:val="21"/>
              </w:rPr>
              <w:t>得分</w:t>
            </w:r>
          </w:p>
        </w:tc>
        <w:tc>
          <w:tcPr>
            <w:tcW w:w="1354" w:type="dxa"/>
            <w:noWrap w:val="0"/>
            <w:vAlign w:val="center"/>
          </w:tcPr>
          <w:p>
            <w:pPr>
              <w:spacing w:line="360" w:lineRule="auto"/>
              <w:outlineLvl w:val="0"/>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846" w:type="dxa"/>
            <w:noWrap w:val="0"/>
            <w:vAlign w:val="center"/>
          </w:tcPr>
          <w:p>
            <w:pPr>
              <w:spacing w:line="360" w:lineRule="auto"/>
              <w:outlineLvl w:val="0"/>
              <w:rPr>
                <w:rFonts w:ascii="宋体" w:hAnsi="宋体"/>
                <w:szCs w:val="21"/>
              </w:rPr>
            </w:pPr>
            <w:r>
              <w:rPr>
                <w:rFonts w:hint="eastAsia" w:ascii="宋体" w:hAnsi="宋体"/>
                <w:szCs w:val="21"/>
              </w:rPr>
              <w:t>1</w:t>
            </w:r>
          </w:p>
        </w:tc>
        <w:tc>
          <w:tcPr>
            <w:tcW w:w="1434" w:type="dxa"/>
            <w:noWrap w:val="0"/>
            <w:vAlign w:val="center"/>
          </w:tcPr>
          <w:p>
            <w:pPr>
              <w:spacing w:line="360" w:lineRule="auto"/>
              <w:outlineLvl w:val="0"/>
              <w:rPr>
                <w:rFonts w:ascii="宋体" w:hAnsi="宋体"/>
                <w:szCs w:val="21"/>
              </w:rPr>
            </w:pPr>
            <w:r>
              <w:rPr>
                <w:rFonts w:hint="eastAsia" w:ascii="宋体" w:hAnsi="宋体"/>
                <w:szCs w:val="21"/>
              </w:rPr>
              <w:t>态度及责任意识</w:t>
            </w:r>
          </w:p>
        </w:tc>
        <w:tc>
          <w:tcPr>
            <w:tcW w:w="3719" w:type="dxa"/>
            <w:gridSpan w:val="2"/>
            <w:noWrap w:val="0"/>
            <w:vAlign w:val="center"/>
          </w:tcPr>
          <w:p>
            <w:pPr>
              <w:spacing w:line="360" w:lineRule="auto"/>
              <w:ind w:firstLine="420" w:firstLineChars="200"/>
              <w:outlineLvl w:val="0"/>
              <w:rPr>
                <w:rFonts w:ascii="宋体" w:hAnsi="宋体"/>
                <w:szCs w:val="21"/>
              </w:rPr>
            </w:pPr>
            <w:r>
              <w:rPr>
                <w:rFonts w:hint="eastAsia" w:ascii="宋体" w:hAnsi="宋体"/>
                <w:szCs w:val="21"/>
              </w:rPr>
              <w:t>根据服务人员工作态度及责任意识进行评分，得0-20分</w:t>
            </w:r>
          </w:p>
        </w:tc>
        <w:tc>
          <w:tcPr>
            <w:tcW w:w="975"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20</w:t>
            </w:r>
          </w:p>
        </w:tc>
        <w:tc>
          <w:tcPr>
            <w:tcW w:w="972" w:type="dxa"/>
            <w:noWrap w:val="0"/>
            <w:vAlign w:val="center"/>
          </w:tcPr>
          <w:p>
            <w:pPr>
              <w:spacing w:line="360" w:lineRule="auto"/>
              <w:ind w:firstLine="420" w:firstLineChars="200"/>
              <w:outlineLvl w:val="0"/>
              <w:rPr>
                <w:rFonts w:ascii="宋体" w:hAnsi="宋体"/>
                <w:szCs w:val="21"/>
              </w:rPr>
            </w:pPr>
          </w:p>
        </w:tc>
        <w:tc>
          <w:tcPr>
            <w:tcW w:w="1354" w:type="dxa"/>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46"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2</w:t>
            </w:r>
          </w:p>
        </w:tc>
        <w:tc>
          <w:tcPr>
            <w:tcW w:w="1434" w:type="dxa"/>
            <w:noWrap w:val="0"/>
            <w:vAlign w:val="center"/>
          </w:tcPr>
          <w:p>
            <w:pPr>
              <w:spacing w:line="360" w:lineRule="auto"/>
              <w:ind w:firstLine="0" w:firstLineChars="0"/>
              <w:jc w:val="both"/>
              <w:outlineLvl w:val="0"/>
              <w:rPr>
                <w:rFonts w:ascii="宋体" w:hAnsi="宋体"/>
                <w:szCs w:val="21"/>
              </w:rPr>
            </w:pPr>
            <w:r>
              <w:rPr>
                <w:rFonts w:hint="eastAsia" w:ascii="宋体" w:hAnsi="宋体"/>
                <w:szCs w:val="21"/>
              </w:rPr>
              <w:t>制度及规范遵守</w:t>
            </w:r>
          </w:p>
        </w:tc>
        <w:tc>
          <w:tcPr>
            <w:tcW w:w="3719" w:type="dxa"/>
            <w:gridSpan w:val="2"/>
            <w:noWrap w:val="0"/>
            <w:vAlign w:val="center"/>
          </w:tcPr>
          <w:p>
            <w:pPr>
              <w:spacing w:line="360" w:lineRule="auto"/>
              <w:ind w:firstLine="420" w:firstLineChars="200"/>
              <w:outlineLvl w:val="0"/>
              <w:rPr>
                <w:rFonts w:ascii="宋体" w:hAnsi="宋体"/>
                <w:szCs w:val="21"/>
              </w:rPr>
            </w:pPr>
            <w:r>
              <w:rPr>
                <w:rFonts w:hint="eastAsia" w:ascii="宋体" w:hAnsi="宋体"/>
                <w:szCs w:val="21"/>
              </w:rPr>
              <w:t>根据服务人员是否能遵守各项规章制度，是否服从分配进行评分，得0-20分</w:t>
            </w:r>
          </w:p>
        </w:tc>
        <w:tc>
          <w:tcPr>
            <w:tcW w:w="975"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20</w:t>
            </w:r>
          </w:p>
        </w:tc>
        <w:tc>
          <w:tcPr>
            <w:tcW w:w="972" w:type="dxa"/>
            <w:noWrap w:val="0"/>
            <w:vAlign w:val="center"/>
          </w:tcPr>
          <w:p>
            <w:pPr>
              <w:spacing w:line="360" w:lineRule="auto"/>
              <w:ind w:firstLine="420" w:firstLineChars="200"/>
              <w:outlineLvl w:val="0"/>
              <w:rPr>
                <w:rFonts w:ascii="宋体" w:hAnsi="宋体"/>
                <w:szCs w:val="21"/>
              </w:rPr>
            </w:pPr>
          </w:p>
        </w:tc>
        <w:tc>
          <w:tcPr>
            <w:tcW w:w="1354" w:type="dxa"/>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846"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3</w:t>
            </w:r>
          </w:p>
        </w:tc>
        <w:tc>
          <w:tcPr>
            <w:tcW w:w="1434" w:type="dxa"/>
            <w:noWrap w:val="0"/>
            <w:vAlign w:val="center"/>
          </w:tcPr>
          <w:p>
            <w:pPr>
              <w:spacing w:line="360" w:lineRule="auto"/>
              <w:ind w:firstLine="0" w:firstLineChars="0"/>
              <w:jc w:val="both"/>
              <w:outlineLvl w:val="0"/>
              <w:rPr>
                <w:rFonts w:ascii="宋体" w:hAnsi="宋体"/>
                <w:szCs w:val="21"/>
              </w:rPr>
            </w:pPr>
            <w:r>
              <w:rPr>
                <w:rFonts w:hint="eastAsia" w:ascii="宋体" w:hAnsi="宋体"/>
                <w:szCs w:val="21"/>
              </w:rPr>
              <w:t>岗位技能掌握情况</w:t>
            </w:r>
          </w:p>
        </w:tc>
        <w:tc>
          <w:tcPr>
            <w:tcW w:w="3719" w:type="dxa"/>
            <w:gridSpan w:val="2"/>
            <w:noWrap w:val="0"/>
            <w:vAlign w:val="center"/>
          </w:tcPr>
          <w:p>
            <w:pPr>
              <w:spacing w:line="360" w:lineRule="auto"/>
              <w:ind w:firstLine="420" w:firstLineChars="200"/>
              <w:outlineLvl w:val="0"/>
              <w:rPr>
                <w:rFonts w:ascii="宋体" w:hAnsi="宋体"/>
                <w:szCs w:val="21"/>
              </w:rPr>
            </w:pPr>
            <w:r>
              <w:rPr>
                <w:rFonts w:hint="eastAsia" w:ascii="宋体" w:hAnsi="宋体"/>
                <w:szCs w:val="21"/>
              </w:rPr>
              <w:t>根据服务人员岗位技能掌握情况进行评分，得0-20分</w:t>
            </w:r>
          </w:p>
        </w:tc>
        <w:tc>
          <w:tcPr>
            <w:tcW w:w="975" w:type="dxa"/>
            <w:noWrap w:val="0"/>
            <w:vAlign w:val="center"/>
          </w:tcPr>
          <w:p>
            <w:pPr>
              <w:spacing w:line="360" w:lineRule="auto"/>
              <w:ind w:firstLine="420" w:firstLineChars="200"/>
              <w:outlineLvl w:val="0"/>
              <w:rPr>
                <w:rFonts w:hint="default" w:ascii="宋体" w:hAnsi="宋体"/>
                <w:szCs w:val="21"/>
                <w:lang w:val="en-US"/>
              </w:rPr>
            </w:pPr>
            <w:r>
              <w:rPr>
                <w:rFonts w:hint="eastAsia" w:ascii="宋体" w:hAnsi="宋体"/>
                <w:szCs w:val="21"/>
                <w:lang w:val="en-US" w:eastAsia="zh-CN"/>
              </w:rPr>
              <w:t>20</w:t>
            </w:r>
          </w:p>
        </w:tc>
        <w:tc>
          <w:tcPr>
            <w:tcW w:w="972" w:type="dxa"/>
            <w:noWrap w:val="0"/>
            <w:vAlign w:val="center"/>
          </w:tcPr>
          <w:p>
            <w:pPr>
              <w:spacing w:line="360" w:lineRule="auto"/>
              <w:ind w:firstLine="420" w:firstLineChars="200"/>
              <w:outlineLvl w:val="0"/>
              <w:rPr>
                <w:rFonts w:ascii="宋体" w:hAnsi="宋体"/>
                <w:szCs w:val="21"/>
              </w:rPr>
            </w:pPr>
          </w:p>
        </w:tc>
        <w:tc>
          <w:tcPr>
            <w:tcW w:w="1354" w:type="dxa"/>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46"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4</w:t>
            </w:r>
          </w:p>
        </w:tc>
        <w:tc>
          <w:tcPr>
            <w:tcW w:w="1434" w:type="dxa"/>
            <w:noWrap w:val="0"/>
            <w:vAlign w:val="center"/>
          </w:tcPr>
          <w:p>
            <w:pPr>
              <w:spacing w:line="360" w:lineRule="auto"/>
              <w:ind w:firstLine="0" w:firstLineChars="0"/>
              <w:jc w:val="both"/>
              <w:outlineLvl w:val="0"/>
              <w:rPr>
                <w:rFonts w:ascii="宋体" w:hAnsi="宋体"/>
                <w:szCs w:val="21"/>
              </w:rPr>
            </w:pPr>
            <w:r>
              <w:rPr>
                <w:rFonts w:hint="eastAsia" w:ascii="宋体" w:hAnsi="宋体"/>
                <w:szCs w:val="21"/>
              </w:rPr>
              <w:t>工作任务</w:t>
            </w:r>
          </w:p>
        </w:tc>
        <w:tc>
          <w:tcPr>
            <w:tcW w:w="3719" w:type="dxa"/>
            <w:gridSpan w:val="2"/>
            <w:noWrap w:val="0"/>
            <w:vAlign w:val="center"/>
          </w:tcPr>
          <w:p>
            <w:pPr>
              <w:spacing w:line="360" w:lineRule="auto"/>
              <w:ind w:firstLine="420" w:firstLineChars="200"/>
              <w:outlineLvl w:val="0"/>
              <w:rPr>
                <w:rFonts w:ascii="宋体" w:hAnsi="宋体"/>
                <w:szCs w:val="21"/>
              </w:rPr>
            </w:pPr>
            <w:r>
              <w:rPr>
                <w:rFonts w:hint="eastAsia" w:ascii="宋体" w:hAnsi="宋体"/>
                <w:szCs w:val="21"/>
              </w:rPr>
              <w:t>根据服务人员工作任务完成情况进行评分，得0-20分</w:t>
            </w:r>
          </w:p>
        </w:tc>
        <w:tc>
          <w:tcPr>
            <w:tcW w:w="975" w:type="dxa"/>
            <w:noWrap w:val="0"/>
            <w:vAlign w:val="center"/>
          </w:tcPr>
          <w:p>
            <w:pPr>
              <w:spacing w:line="360" w:lineRule="auto"/>
              <w:ind w:firstLine="420" w:firstLineChars="200"/>
              <w:outlineLvl w:val="0"/>
              <w:rPr>
                <w:rFonts w:hint="eastAsia" w:ascii="宋体" w:hAnsi="宋体" w:eastAsia="宋体"/>
                <w:szCs w:val="21"/>
                <w:lang w:eastAsia="zh-CN"/>
              </w:rPr>
            </w:pPr>
            <w:r>
              <w:rPr>
                <w:rFonts w:hint="eastAsia" w:ascii="宋体" w:hAnsi="宋体"/>
                <w:szCs w:val="21"/>
              </w:rPr>
              <w:t>20</w:t>
            </w:r>
          </w:p>
        </w:tc>
        <w:tc>
          <w:tcPr>
            <w:tcW w:w="972" w:type="dxa"/>
            <w:noWrap w:val="0"/>
            <w:vAlign w:val="center"/>
          </w:tcPr>
          <w:p>
            <w:pPr>
              <w:spacing w:line="360" w:lineRule="auto"/>
              <w:ind w:firstLine="420" w:firstLineChars="200"/>
              <w:outlineLvl w:val="0"/>
              <w:rPr>
                <w:rFonts w:ascii="宋体" w:hAnsi="宋体"/>
                <w:szCs w:val="21"/>
              </w:rPr>
            </w:pPr>
          </w:p>
        </w:tc>
        <w:tc>
          <w:tcPr>
            <w:tcW w:w="1354" w:type="dxa"/>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846"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5</w:t>
            </w:r>
          </w:p>
        </w:tc>
        <w:tc>
          <w:tcPr>
            <w:tcW w:w="1434" w:type="dxa"/>
            <w:noWrap w:val="0"/>
            <w:vAlign w:val="center"/>
          </w:tcPr>
          <w:p>
            <w:pPr>
              <w:spacing w:line="360" w:lineRule="auto"/>
              <w:ind w:firstLine="0" w:firstLineChars="0"/>
              <w:outlineLvl w:val="0"/>
              <w:rPr>
                <w:rFonts w:ascii="宋体" w:hAnsi="宋体"/>
                <w:szCs w:val="21"/>
              </w:rPr>
            </w:pPr>
            <w:r>
              <w:rPr>
                <w:rFonts w:hint="eastAsia" w:ascii="宋体" w:hAnsi="宋体"/>
                <w:szCs w:val="21"/>
                <w:lang w:eastAsia="zh-CN"/>
              </w:rPr>
              <w:t>人才流失率</w:t>
            </w:r>
          </w:p>
        </w:tc>
        <w:tc>
          <w:tcPr>
            <w:tcW w:w="3719" w:type="dxa"/>
            <w:gridSpan w:val="2"/>
            <w:noWrap w:val="0"/>
            <w:vAlign w:val="center"/>
          </w:tcPr>
          <w:p>
            <w:pPr>
              <w:spacing w:line="360" w:lineRule="auto"/>
              <w:ind w:firstLine="420" w:firstLineChars="200"/>
              <w:outlineLvl w:val="0"/>
              <w:rPr>
                <w:rFonts w:hint="default" w:ascii="宋体" w:hAnsi="宋体"/>
                <w:szCs w:val="21"/>
                <w:lang w:val="en-US"/>
              </w:rPr>
            </w:pPr>
            <w:r>
              <w:rPr>
                <w:rFonts w:hint="eastAsia" w:ascii="宋体" w:hAnsi="宋体"/>
                <w:szCs w:val="21"/>
                <w:lang w:eastAsia="zh-CN"/>
              </w:rPr>
              <w:t>根据服务人员流失率进行评分，得</w:t>
            </w:r>
            <w:r>
              <w:rPr>
                <w:rFonts w:hint="eastAsia" w:ascii="宋体" w:hAnsi="宋体"/>
                <w:szCs w:val="21"/>
                <w:lang w:val="en-US" w:eastAsia="zh-CN"/>
              </w:rPr>
              <w:t>0-20分。</w:t>
            </w:r>
          </w:p>
        </w:tc>
        <w:tc>
          <w:tcPr>
            <w:tcW w:w="975"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20</w:t>
            </w:r>
          </w:p>
        </w:tc>
        <w:tc>
          <w:tcPr>
            <w:tcW w:w="972" w:type="dxa"/>
            <w:noWrap w:val="0"/>
            <w:vAlign w:val="center"/>
          </w:tcPr>
          <w:p>
            <w:pPr>
              <w:spacing w:line="360" w:lineRule="auto"/>
              <w:ind w:firstLine="420" w:firstLineChars="200"/>
              <w:outlineLvl w:val="0"/>
              <w:rPr>
                <w:rFonts w:ascii="宋体" w:hAnsi="宋体"/>
                <w:szCs w:val="21"/>
              </w:rPr>
            </w:pPr>
          </w:p>
        </w:tc>
        <w:tc>
          <w:tcPr>
            <w:tcW w:w="1354" w:type="dxa"/>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999" w:type="dxa"/>
            <w:gridSpan w:val="4"/>
            <w:noWrap w:val="0"/>
            <w:vAlign w:val="center"/>
          </w:tcPr>
          <w:p>
            <w:pPr>
              <w:spacing w:line="360" w:lineRule="auto"/>
              <w:ind w:firstLine="420" w:firstLineChars="200"/>
              <w:outlineLvl w:val="0"/>
              <w:rPr>
                <w:rFonts w:ascii="宋体" w:hAnsi="宋体"/>
                <w:szCs w:val="21"/>
              </w:rPr>
            </w:pPr>
            <w:r>
              <w:rPr>
                <w:rFonts w:hint="eastAsia" w:ascii="宋体" w:hAnsi="宋体"/>
                <w:szCs w:val="21"/>
              </w:rPr>
              <w:t>合计：</w:t>
            </w:r>
          </w:p>
        </w:tc>
        <w:tc>
          <w:tcPr>
            <w:tcW w:w="975" w:type="dxa"/>
            <w:noWrap w:val="0"/>
            <w:vAlign w:val="center"/>
          </w:tcPr>
          <w:p>
            <w:pPr>
              <w:spacing w:line="360" w:lineRule="auto"/>
              <w:ind w:firstLine="420" w:firstLineChars="200"/>
              <w:outlineLvl w:val="0"/>
              <w:rPr>
                <w:rFonts w:ascii="宋体" w:hAnsi="宋体"/>
                <w:szCs w:val="21"/>
              </w:rPr>
            </w:pPr>
            <w:r>
              <w:rPr>
                <w:rFonts w:hint="eastAsia" w:ascii="宋体" w:hAnsi="宋体"/>
                <w:szCs w:val="21"/>
              </w:rPr>
              <w:t>100</w:t>
            </w:r>
          </w:p>
        </w:tc>
        <w:tc>
          <w:tcPr>
            <w:tcW w:w="972" w:type="dxa"/>
            <w:noWrap w:val="0"/>
            <w:vAlign w:val="center"/>
          </w:tcPr>
          <w:p>
            <w:pPr>
              <w:spacing w:line="360" w:lineRule="auto"/>
              <w:ind w:firstLine="420" w:firstLineChars="200"/>
              <w:outlineLvl w:val="0"/>
              <w:rPr>
                <w:rFonts w:ascii="宋体" w:hAnsi="宋体"/>
                <w:szCs w:val="21"/>
              </w:rPr>
            </w:pPr>
          </w:p>
        </w:tc>
        <w:tc>
          <w:tcPr>
            <w:tcW w:w="1354" w:type="dxa"/>
            <w:noWrap w:val="0"/>
            <w:vAlign w:val="center"/>
          </w:tcPr>
          <w:p>
            <w:pPr>
              <w:spacing w:line="360" w:lineRule="auto"/>
              <w:ind w:firstLine="420" w:firstLineChars="200"/>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9300" w:type="dxa"/>
            <w:gridSpan w:val="7"/>
            <w:noWrap w:val="0"/>
            <w:vAlign w:val="center"/>
          </w:tcPr>
          <w:p>
            <w:pPr>
              <w:spacing w:line="360" w:lineRule="auto"/>
              <w:ind w:firstLine="420" w:firstLineChars="200"/>
              <w:outlineLvl w:val="0"/>
              <w:rPr>
                <w:rFonts w:ascii="宋体" w:hAnsi="宋体"/>
                <w:szCs w:val="21"/>
              </w:rPr>
            </w:pPr>
            <w:r>
              <w:rPr>
                <w:rFonts w:hint="eastAsia" w:ascii="宋体" w:hAnsi="宋体"/>
                <w:szCs w:val="21"/>
              </w:rPr>
              <w:t>存在问题与建议：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00" w:type="dxa"/>
            <w:gridSpan w:val="7"/>
            <w:noWrap w:val="0"/>
            <w:vAlign w:val="center"/>
          </w:tcPr>
          <w:p>
            <w:pPr>
              <w:spacing w:line="360" w:lineRule="auto"/>
              <w:ind w:firstLine="420" w:firstLineChars="200"/>
              <w:outlineLvl w:val="0"/>
              <w:rPr>
                <w:rFonts w:ascii="宋体" w:hAnsi="宋体"/>
                <w:szCs w:val="21"/>
              </w:rPr>
            </w:pPr>
            <w:r>
              <w:rPr>
                <w:rFonts w:hint="eastAsia" w:ascii="宋体" w:hAnsi="宋体"/>
                <w:szCs w:val="21"/>
              </w:rPr>
              <w:t>接受考核单位人员签名：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9300" w:type="dxa"/>
            <w:gridSpan w:val="7"/>
            <w:noWrap w:val="0"/>
            <w:vAlign w:val="center"/>
          </w:tcPr>
          <w:p>
            <w:pPr>
              <w:spacing w:line="360" w:lineRule="auto"/>
              <w:ind w:firstLine="420" w:firstLineChars="200"/>
              <w:outlineLvl w:val="0"/>
              <w:rPr>
                <w:rFonts w:ascii="宋体" w:hAnsi="宋体"/>
                <w:szCs w:val="21"/>
              </w:rPr>
            </w:pPr>
            <w:r>
              <w:rPr>
                <w:rFonts w:hint="eastAsia" w:ascii="宋体" w:hAnsi="宋体"/>
                <w:szCs w:val="21"/>
              </w:rPr>
              <w:t>采购人确认签名：</w:t>
            </w:r>
          </w:p>
        </w:tc>
      </w:tr>
    </w:tbl>
    <w:p>
      <w:pPr>
        <w:spacing w:line="360" w:lineRule="auto"/>
        <w:ind w:firstLine="0" w:firstLineChars="0"/>
        <w:outlineLvl w:val="0"/>
        <w:rPr>
          <w:rFonts w:hint="eastAsia" w:ascii="宋体" w:hAnsi="宋体"/>
          <w:szCs w:val="21"/>
        </w:rPr>
      </w:pPr>
    </w:p>
    <w:p>
      <w:pPr>
        <w:spacing w:line="360" w:lineRule="auto"/>
        <w:ind w:firstLine="0" w:firstLineChars="0"/>
        <w:outlineLvl w:val="0"/>
        <w:rPr>
          <w:rFonts w:hint="eastAsia"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szCs w:val="21"/>
        </w:rPr>
        <w:t>3.扣除服务费：中标人在服务期内服务质量考核得分平均值低于80分的，采购人有权在下季度第一个月酌情扣减不高于5%的当月管理服务费。</w:t>
      </w:r>
    </w:p>
    <w:p>
      <w:pPr>
        <w:spacing w:line="360" w:lineRule="auto"/>
        <w:ind w:firstLine="420" w:firstLineChars="200"/>
        <w:outlineLvl w:val="0"/>
        <w:rPr>
          <w:rFonts w:ascii="宋体" w:hAnsi="宋体"/>
          <w:szCs w:val="21"/>
        </w:rPr>
      </w:pPr>
      <w:r>
        <w:rPr>
          <w:rFonts w:hint="eastAsia" w:ascii="宋体" w:hAnsi="宋体"/>
          <w:szCs w:val="21"/>
        </w:rPr>
        <w:t xml:space="preserve">4.终止服务：中标人在服务期内服务质量考核得分平均值连续2个季度低于60分的，采购人有权无条件终止和解除服务合同。      </w:t>
      </w:r>
    </w:p>
    <w:p>
      <w:pPr>
        <w:spacing w:line="360" w:lineRule="auto"/>
        <w:ind w:firstLine="421" w:firstLineChars="200"/>
        <w:outlineLvl w:val="0"/>
        <w:rPr>
          <w:rFonts w:ascii="宋体" w:hAnsi="宋体"/>
          <w:b/>
          <w:bCs/>
          <w:szCs w:val="21"/>
        </w:rPr>
      </w:pPr>
      <w:r>
        <w:rPr>
          <w:rFonts w:hint="eastAsia" w:ascii="宋体" w:hAnsi="宋体"/>
          <w:b/>
          <w:szCs w:val="21"/>
          <w:lang w:val="en-US" w:eastAsia="zh-CN"/>
        </w:rPr>
        <w:t>五</w:t>
      </w:r>
      <w:r>
        <w:rPr>
          <w:rFonts w:hint="eastAsia" w:ascii="宋体" w:hAnsi="宋体"/>
          <w:b/>
          <w:szCs w:val="21"/>
        </w:rPr>
        <w:t>、采购项目商务要求</w:t>
      </w:r>
    </w:p>
    <w:p>
      <w:pPr>
        <w:spacing w:line="360" w:lineRule="auto"/>
        <w:ind w:firstLine="420" w:firstLineChars="200"/>
        <w:outlineLvl w:val="0"/>
        <w:rPr>
          <w:rFonts w:hint="eastAsia" w:ascii="宋体" w:hAnsi="宋体" w:eastAsia="宋体"/>
          <w:szCs w:val="21"/>
          <w:lang w:val="en-US" w:eastAsia="zh-CN"/>
        </w:rPr>
      </w:pPr>
      <w:r>
        <w:rPr>
          <w:rFonts w:hint="eastAsia" w:ascii="宋体" w:hAnsi="宋体"/>
          <w:szCs w:val="21"/>
        </w:rPr>
        <w:t>1.服务期：24个月（2025年1月1日至2026年12月31日）。</w:t>
      </w:r>
      <w:r>
        <w:rPr>
          <w:rStyle w:val="4"/>
          <w:rFonts w:hint="eastAsia"/>
          <w:lang w:val="en-US" w:eastAsia="zh-CN"/>
        </w:rPr>
        <w:t>包组一是一年一签，包组二是一签两年。</w:t>
      </w:r>
    </w:p>
    <w:p>
      <w:pPr>
        <w:spacing w:line="360" w:lineRule="auto"/>
        <w:ind w:firstLine="420" w:firstLineChars="200"/>
        <w:outlineLvl w:val="0"/>
        <w:rPr>
          <w:rFonts w:ascii="宋体" w:hAnsi="宋体"/>
          <w:szCs w:val="21"/>
        </w:rPr>
      </w:pPr>
      <w:r>
        <w:rPr>
          <w:rFonts w:hint="eastAsia" w:ascii="宋体" w:hAnsi="宋体"/>
          <w:szCs w:val="21"/>
        </w:rPr>
        <w:t>2.采购人为中标人所派服务人员提供工作餐，并按照采购人用餐收费标准向用餐人员收取餐费，其中饭堂膳食服务岗位人员免费就餐。</w:t>
      </w:r>
    </w:p>
    <w:p>
      <w:pPr>
        <w:spacing w:line="360" w:lineRule="auto"/>
        <w:ind w:firstLine="420" w:firstLineChars="200"/>
        <w:outlineLvl w:val="0"/>
        <w:rPr>
          <w:rFonts w:ascii="宋体" w:hAnsi="宋体"/>
          <w:szCs w:val="21"/>
        </w:rPr>
      </w:pPr>
      <w:r>
        <w:rPr>
          <w:rFonts w:hint="eastAsia" w:ascii="宋体" w:hAnsi="宋体"/>
          <w:szCs w:val="21"/>
        </w:rPr>
        <w:t>3.付款方式：每月据实结算支付。中标人需开具合法有效的增值税发票，采购方完成财务报销审批程序后方可支付，支付时间为收到发票后10日内。支付方式为银行</w:t>
      </w:r>
      <w:r>
        <w:rPr>
          <w:rFonts w:hint="eastAsia" w:ascii="宋体" w:hAnsi="宋体"/>
          <w:szCs w:val="21"/>
          <w:lang w:eastAsia="zh-CN"/>
        </w:rPr>
        <w:t>转账</w:t>
      </w:r>
      <w:bookmarkStart w:id="0" w:name="_GoBack"/>
      <w:bookmarkEnd w:id="0"/>
      <w:r>
        <w:rPr>
          <w:rFonts w:hint="eastAsia" w:ascii="宋体" w:hAnsi="宋体"/>
          <w:szCs w:val="21"/>
        </w:rPr>
        <w:t>。</w:t>
      </w:r>
    </w:p>
    <w:p>
      <w:pPr>
        <w:spacing w:line="360" w:lineRule="auto"/>
        <w:ind w:firstLine="420" w:firstLineChars="200"/>
        <w:outlineLvl w:val="0"/>
        <w:rPr>
          <w:rFonts w:ascii="宋体" w:hAnsi="宋体"/>
          <w:szCs w:val="21"/>
        </w:rPr>
      </w:pPr>
      <w:r>
        <w:rPr>
          <w:rFonts w:hint="eastAsia" w:ascii="宋体" w:hAnsi="宋体"/>
          <w:szCs w:val="21"/>
        </w:rPr>
        <w:t>4.如遇采购人预算限制或财政资金未下达等客观原因导致未按合同约定支付相应款项的，双方协商延时支付费用，且不视为采购人违约，采购人不承担任何违约责任。同时，中标人不得以采购人未支付资金为由拒绝或延迟履行合同义务。</w:t>
      </w:r>
    </w:p>
    <w:p>
      <w:pPr>
        <w:spacing w:line="360" w:lineRule="auto"/>
        <w:ind w:firstLine="421" w:firstLineChars="200"/>
        <w:outlineLvl w:val="0"/>
        <w:rPr>
          <w:rFonts w:ascii="宋体" w:hAnsi="宋体"/>
          <w:szCs w:val="21"/>
        </w:rPr>
      </w:pPr>
      <w:r>
        <w:rPr>
          <w:rFonts w:hint="eastAsia" w:ascii="宋体" w:hAnsi="宋体"/>
          <w:b/>
          <w:szCs w:val="21"/>
          <w:lang w:val="en-US" w:eastAsia="zh-CN"/>
        </w:rPr>
        <w:t>六</w:t>
      </w:r>
      <w:r>
        <w:rPr>
          <w:rFonts w:hint="eastAsia" w:ascii="宋体" w:hAnsi="宋体"/>
          <w:b/>
          <w:szCs w:val="21"/>
        </w:rPr>
        <w:t>、其他服务要求</w:t>
      </w:r>
    </w:p>
    <w:p>
      <w:pPr>
        <w:spacing w:line="360" w:lineRule="auto"/>
        <w:ind w:firstLine="420" w:firstLineChars="200"/>
        <w:outlineLvl w:val="0"/>
        <w:rPr>
          <w:rFonts w:ascii="宋体" w:hAnsi="宋体"/>
          <w:szCs w:val="21"/>
        </w:rPr>
      </w:pPr>
      <w:r>
        <w:rPr>
          <w:rFonts w:hint="eastAsia" w:ascii="宋体" w:hAnsi="宋体"/>
          <w:szCs w:val="21"/>
        </w:rPr>
        <w:t>1.在服务期间，未经采购人同意，中标人不得随意更换派驻的服务人员。服务人员因为调走、辞职或被中标人辞退等原因导致服务人员不足的，中标人须在收到服务人员辞职申请或离职通知的5个工作日内补足服务人员。如因中标人无法及时补足服务人员而导致采购人认为影响了服务进度和服务质量的,视为中标人根本违约，采购人有权解除合同并要求中标人退回未发生的合同款。经采购人协商同意,暂不补充人员的情况除外。</w:t>
      </w:r>
    </w:p>
    <w:p>
      <w:pPr>
        <w:spacing w:line="360" w:lineRule="auto"/>
        <w:ind w:firstLine="420" w:firstLineChars="200"/>
        <w:outlineLvl w:val="0"/>
        <w:rPr>
          <w:rFonts w:ascii="宋体" w:hAnsi="宋体"/>
          <w:szCs w:val="21"/>
        </w:rPr>
      </w:pPr>
      <w:r>
        <w:rPr>
          <w:rFonts w:hint="eastAsia" w:ascii="宋体" w:hAnsi="宋体"/>
          <w:szCs w:val="21"/>
        </w:rPr>
        <w:t>2.中标人出现以下任一情形的，采购人有权单方面解除合同，采购人不承担任何因解除合同造成的损失（含赔偿等），且拥有追究中标人违约责任以及扣减服务费、要求赔偿的权力：</w:t>
      </w:r>
    </w:p>
    <w:p>
      <w:pPr>
        <w:spacing w:line="360" w:lineRule="auto"/>
        <w:ind w:firstLine="420" w:firstLineChars="200"/>
        <w:outlineLvl w:val="0"/>
        <w:rPr>
          <w:rFonts w:ascii="宋体" w:hAnsi="宋体"/>
          <w:szCs w:val="21"/>
        </w:rPr>
      </w:pPr>
      <w:r>
        <w:rPr>
          <w:rFonts w:hint="eastAsia" w:ascii="宋体" w:hAnsi="宋体"/>
          <w:szCs w:val="21"/>
        </w:rPr>
        <w:t>（1）中标人无故不履行合同；</w:t>
      </w:r>
    </w:p>
    <w:p>
      <w:pPr>
        <w:spacing w:line="360" w:lineRule="auto"/>
        <w:ind w:firstLine="420" w:firstLineChars="200"/>
        <w:outlineLvl w:val="0"/>
        <w:rPr>
          <w:rFonts w:ascii="宋体" w:hAnsi="宋体"/>
          <w:szCs w:val="21"/>
        </w:rPr>
      </w:pPr>
      <w:r>
        <w:rPr>
          <w:rFonts w:hint="eastAsia" w:ascii="宋体" w:hAnsi="宋体"/>
          <w:szCs w:val="21"/>
        </w:rPr>
        <w:t>（2）因中标人的过错或过失对采购人造成重大损害或损失、重大安全事故；</w:t>
      </w:r>
    </w:p>
    <w:p>
      <w:pPr>
        <w:spacing w:line="360" w:lineRule="auto"/>
        <w:ind w:firstLine="420" w:firstLineChars="200"/>
        <w:outlineLvl w:val="0"/>
        <w:rPr>
          <w:rFonts w:ascii="宋体" w:hAnsi="宋体"/>
          <w:szCs w:val="21"/>
        </w:rPr>
      </w:pPr>
      <w:r>
        <w:rPr>
          <w:rFonts w:hint="eastAsia" w:ascii="宋体" w:hAnsi="宋体"/>
          <w:szCs w:val="21"/>
        </w:rPr>
        <w:t>（3）中标人发生重大违法违规行为。</w:t>
      </w:r>
    </w:p>
    <w:p>
      <w:pPr>
        <w:spacing w:line="360" w:lineRule="auto"/>
        <w:ind w:firstLine="420" w:firstLineChars="200"/>
        <w:outlineLvl w:val="0"/>
        <w:rPr>
          <w:rFonts w:ascii="宋体" w:hAnsi="宋体"/>
          <w:szCs w:val="21"/>
        </w:rPr>
      </w:pPr>
      <w:r>
        <w:rPr>
          <w:rFonts w:hint="eastAsia" w:ascii="宋体" w:hAnsi="宋体"/>
          <w:szCs w:val="21"/>
        </w:rPr>
        <w:t>3.由于中标人工作失误的原因,给服务人员造成经济损失的，由中标人承担。服务人员违反采购人制定的规章制度和劳动纪律的,采购人可根据相关规定进行处理。有下列行为的，采购人有权予以辞退,情节严重的依法追究其行政或刑事责任:</w:t>
      </w:r>
    </w:p>
    <w:p>
      <w:pPr>
        <w:spacing w:line="360" w:lineRule="auto"/>
        <w:ind w:firstLine="420" w:firstLineChars="200"/>
        <w:outlineLvl w:val="0"/>
        <w:rPr>
          <w:rFonts w:ascii="宋体" w:hAnsi="宋体"/>
          <w:szCs w:val="21"/>
        </w:rPr>
      </w:pPr>
      <w:r>
        <w:rPr>
          <w:rFonts w:hint="eastAsia" w:ascii="宋体" w:hAnsi="宋体"/>
          <w:szCs w:val="21"/>
        </w:rPr>
        <w:t>（1）严重违反劳动纪律或采购人规章制度的;</w:t>
      </w:r>
    </w:p>
    <w:p>
      <w:pPr>
        <w:spacing w:line="360" w:lineRule="auto"/>
        <w:ind w:firstLine="420" w:firstLineChars="200"/>
        <w:outlineLvl w:val="0"/>
        <w:rPr>
          <w:rFonts w:ascii="宋体" w:hAnsi="宋体"/>
          <w:szCs w:val="21"/>
        </w:rPr>
      </w:pPr>
      <w:r>
        <w:rPr>
          <w:rFonts w:hint="eastAsia" w:ascii="宋体" w:hAnsi="宋体"/>
          <w:szCs w:val="21"/>
        </w:rPr>
        <w:t>（2）严重失职、营私舞弊或泄露采购人秘密,给采购人造成不良影响的；</w:t>
      </w:r>
    </w:p>
    <w:p>
      <w:pPr>
        <w:spacing w:line="360" w:lineRule="auto"/>
        <w:ind w:firstLine="420" w:firstLineChars="200"/>
        <w:outlineLvl w:val="0"/>
        <w:rPr>
          <w:rFonts w:ascii="宋体" w:hAnsi="宋体"/>
          <w:szCs w:val="21"/>
        </w:rPr>
      </w:pPr>
      <w:r>
        <w:rPr>
          <w:rFonts w:hint="eastAsia" w:ascii="宋体" w:hAnsi="宋体"/>
          <w:szCs w:val="21"/>
        </w:rPr>
        <w:t>（3）因违法行为被追究刑事责任或被劳动教养的;</w:t>
      </w:r>
    </w:p>
    <w:p>
      <w:pPr>
        <w:spacing w:line="360" w:lineRule="auto"/>
        <w:ind w:firstLine="420" w:firstLineChars="200"/>
        <w:outlineLvl w:val="0"/>
        <w:rPr>
          <w:rFonts w:ascii="宋体" w:hAnsi="宋体"/>
          <w:szCs w:val="21"/>
        </w:rPr>
      </w:pPr>
      <w:r>
        <w:rPr>
          <w:rFonts w:hint="eastAsia" w:ascii="宋体" w:hAnsi="宋体"/>
          <w:szCs w:val="21"/>
        </w:rPr>
        <w:t>（4）因病或者非因工负伤,医疗期满后不能从事原工作,也不能从事采购人另行安排的工作的；</w:t>
      </w:r>
    </w:p>
    <w:p>
      <w:pPr>
        <w:spacing w:line="360" w:lineRule="auto"/>
        <w:ind w:firstLine="420" w:firstLineChars="200"/>
        <w:outlineLvl w:val="0"/>
        <w:rPr>
          <w:rFonts w:ascii="宋体" w:hAnsi="宋体"/>
          <w:szCs w:val="21"/>
        </w:rPr>
      </w:pPr>
      <w:r>
        <w:rPr>
          <w:rFonts w:hint="eastAsia" w:ascii="宋体" w:hAnsi="宋体"/>
          <w:szCs w:val="21"/>
        </w:rPr>
        <w:t>（5）未能按要求完成本合同约定的工作,经过培训或者调整工作岗位仍不能胜任工作的；</w:t>
      </w:r>
    </w:p>
    <w:p>
      <w:pPr>
        <w:spacing w:line="360" w:lineRule="auto"/>
        <w:ind w:firstLine="420" w:firstLineChars="200"/>
        <w:outlineLvl w:val="0"/>
        <w:rPr>
          <w:rFonts w:ascii="宋体" w:hAnsi="宋体"/>
          <w:szCs w:val="21"/>
        </w:rPr>
      </w:pPr>
      <w:r>
        <w:rPr>
          <w:rFonts w:hint="eastAsia" w:ascii="宋体" w:hAnsi="宋体"/>
          <w:szCs w:val="21"/>
        </w:rPr>
        <w:t>（6）蓄意破坏设备设施,违反规程造成重大事故的。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84" w:lineRule="auto"/>
        <w:ind w:left="0" w:right="0" w:firstLine="640"/>
        <w:jc w:val="center"/>
        <w:rPr>
          <w:rFonts w:hint="eastAsia" w:ascii="仿宋_GB2312" w:hAnsi="仿宋_GB2312" w:eastAsia="仿宋_GB2312" w:cs="仿宋_GB2312"/>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E7988"/>
    <w:multiLevelType w:val="singleLevel"/>
    <w:tmpl w:val="1C4E79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69B2"/>
    <w:rsid w:val="04193EC6"/>
    <w:rsid w:val="09250E93"/>
    <w:rsid w:val="13DC47A7"/>
    <w:rsid w:val="16B0364F"/>
    <w:rsid w:val="2E8463F5"/>
    <w:rsid w:val="44B828C1"/>
    <w:rsid w:val="4A7A7BF1"/>
    <w:rsid w:val="603D69B2"/>
    <w:rsid w:val="779D0F2E"/>
    <w:rsid w:val="7977E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annotation reference"/>
    <w:unhideWhenUsed/>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省地方税务局</Company>
  <Pages>1</Pages>
  <Words>0</Words>
  <Characters>0</Characters>
  <Lines>0</Lines>
  <Paragraphs>0</Paragraphs>
  <TotalTime>5</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2024-11-19T10:42:00Z</dcterms:created>
  <dc:creator>廖东娇</dc:creator>
  <cp:lastModifiedBy>caijing</cp:lastModifiedBy>
  <dcterms:modified xsi:type="dcterms:W3CDTF">2024-12-11T09:56:03Z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