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360" w:lineRule="auto"/>
        <w:jc w:val="right"/>
        <w:rPr>
          <w:rFonts w:hint="eastAsia" w:ascii="宋体" w:hAnsi="宋体" w:cs="宋体"/>
          <w:b/>
          <w:sz w:val="32"/>
          <w:szCs w:val="32"/>
        </w:rPr>
      </w:pPr>
      <w:r>
        <w:rPr>
          <w:rFonts w:hint="eastAsia" w:ascii="宋体" w:hAnsi="宋体" w:cs="宋体"/>
          <w:b/>
          <w:sz w:val="32"/>
          <w:szCs w:val="32"/>
        </w:rPr>
        <w:t xml:space="preserve">  </w:t>
      </w:r>
    </w:p>
    <w:p>
      <w:pPr>
        <w:pStyle w:val="2"/>
        <w:ind w:left="480" w:firstLine="482"/>
        <w:rPr>
          <w:rFonts w:hint="eastAsia" w:cs="宋体"/>
        </w:rPr>
      </w:pPr>
    </w:p>
    <w:p>
      <w:pPr>
        <w:adjustRightInd w:val="0"/>
        <w:snapToGrid w:val="0"/>
        <w:spacing w:line="360" w:lineRule="auto"/>
        <w:ind w:right="-281" w:rightChars="-117"/>
        <w:jc w:val="center"/>
        <w:rPr>
          <w:rFonts w:hint="eastAsia" w:ascii="宋体" w:hAnsi="宋体" w:cs="宋体"/>
          <w:b/>
          <w:sz w:val="56"/>
          <w:szCs w:val="56"/>
        </w:rPr>
      </w:pPr>
      <w:r>
        <w:rPr>
          <w:rFonts w:hint="eastAsia" w:ascii="宋体" w:hAnsi="宋体" w:cs="宋体"/>
          <w:b/>
          <w:sz w:val="56"/>
          <w:szCs w:val="56"/>
        </w:rPr>
        <w:t xml:space="preserve">国家税务总局汕头市金平区税务局2025-2027年物业管理服务采购项目 </w:t>
      </w:r>
    </w:p>
    <w:p>
      <w:pPr>
        <w:pStyle w:val="2"/>
        <w:ind w:left="480" w:firstLine="482"/>
        <w:rPr>
          <w:rFonts w:hint="eastAsia" w:cs="宋体"/>
        </w:rPr>
      </w:pPr>
    </w:p>
    <w:p>
      <w:pPr>
        <w:pStyle w:val="5"/>
        <w:rPr>
          <w:rFonts w:hint="eastAsia" w:hAnsi="宋体" w:cs="宋体"/>
        </w:rPr>
      </w:pPr>
    </w:p>
    <w:p>
      <w:pPr>
        <w:jc w:val="center"/>
        <w:rPr>
          <w:rFonts w:hint="eastAsia" w:ascii="宋体" w:hAnsi="宋体" w:cs="宋体"/>
          <w:b/>
          <w:spacing w:val="20"/>
          <w:kern w:val="10"/>
          <w:sz w:val="72"/>
          <w:szCs w:val="72"/>
        </w:rPr>
      </w:pPr>
      <w:r>
        <w:rPr>
          <w:rFonts w:hint="eastAsia" w:ascii="宋体" w:hAnsi="宋体" w:cs="宋体"/>
          <w:b/>
          <w:spacing w:val="20"/>
          <w:kern w:val="10"/>
          <w:sz w:val="72"/>
          <w:szCs w:val="72"/>
        </w:rPr>
        <w:t>采 购 文 件</w:t>
      </w:r>
    </w:p>
    <w:p>
      <w:pPr>
        <w:jc w:val="center"/>
        <w:rPr>
          <w:rFonts w:hint="eastAsia" w:ascii="宋体" w:hAnsi="宋体" w:cs="宋体"/>
          <w:b/>
          <w:spacing w:val="20"/>
          <w:kern w:val="10"/>
          <w:sz w:val="72"/>
          <w:szCs w:val="72"/>
        </w:rPr>
      </w:pPr>
    </w:p>
    <w:p>
      <w:pPr>
        <w:pStyle w:val="2"/>
        <w:ind w:left="480" w:firstLine="482"/>
        <w:rPr>
          <w:rFonts w:hint="eastAsia" w:cs="宋体"/>
        </w:rPr>
      </w:pPr>
    </w:p>
    <w:p>
      <w:pPr>
        <w:jc w:val="center"/>
        <w:rPr>
          <w:rFonts w:hint="eastAsia" w:ascii="宋体" w:hAnsi="宋体" w:cs="宋体"/>
          <w:b/>
          <w:spacing w:val="20"/>
          <w:kern w:val="10"/>
          <w:sz w:val="72"/>
          <w:szCs w:val="72"/>
        </w:rPr>
      </w:pPr>
      <w:r>
        <w:rPr>
          <w:rFonts w:hint="eastAsia" w:ascii="宋体" w:hAnsi="宋体" w:cs="宋体"/>
          <w:b/>
          <w:spacing w:val="20"/>
          <w:kern w:val="10"/>
          <w:sz w:val="44"/>
          <w:szCs w:val="44"/>
        </w:rPr>
        <w:drawing>
          <wp:inline distT="0" distB="0" distL="114300" distR="114300">
            <wp:extent cx="1475105" cy="1447800"/>
            <wp:effectExtent l="0" t="0" r="10795" b="0"/>
            <wp:docPr id="1" name="图片 2" descr="a028ff1cb926e191eb75f435c4575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028ff1cb926e191eb75f435c45756f"/>
                    <pic:cNvPicPr>
                      <a:picLocks noChangeAspect="1"/>
                    </pic:cNvPicPr>
                  </pic:nvPicPr>
                  <pic:blipFill>
                    <a:blip r:embed="rId13"/>
                    <a:stretch>
                      <a:fillRect/>
                    </a:stretch>
                  </pic:blipFill>
                  <pic:spPr>
                    <a:xfrm>
                      <a:off x="0" y="0"/>
                      <a:ext cx="1475105" cy="1447800"/>
                    </a:xfrm>
                    <a:prstGeom prst="rect">
                      <a:avLst/>
                    </a:prstGeom>
                    <a:noFill/>
                    <a:ln>
                      <a:noFill/>
                    </a:ln>
                  </pic:spPr>
                </pic:pic>
              </a:graphicData>
            </a:graphic>
          </wp:inline>
        </w:drawing>
      </w:r>
    </w:p>
    <w:p>
      <w:pPr>
        <w:pStyle w:val="5"/>
        <w:rPr>
          <w:rFonts w:hint="eastAsia" w:hAnsi="宋体" w:cs="宋体"/>
          <w:b/>
          <w:spacing w:val="20"/>
          <w:kern w:val="10"/>
          <w:sz w:val="72"/>
          <w:szCs w:val="72"/>
        </w:rPr>
      </w:pPr>
    </w:p>
    <w:p>
      <w:pPr>
        <w:rPr>
          <w:rFonts w:hint="eastAsia" w:ascii="宋体" w:hAnsi="宋体" w:cs="宋体"/>
        </w:rPr>
      </w:pPr>
    </w:p>
    <w:p>
      <w:pPr>
        <w:adjustRightInd w:val="0"/>
        <w:snapToGrid w:val="0"/>
        <w:spacing w:line="720" w:lineRule="auto"/>
        <w:ind w:firstLine="1440" w:firstLineChars="478"/>
        <w:rPr>
          <w:rFonts w:hint="eastAsia" w:ascii="宋体" w:hAnsi="宋体" w:cs="宋体"/>
          <w:b/>
          <w:sz w:val="30"/>
          <w:szCs w:val="30"/>
        </w:rPr>
      </w:pPr>
      <w:r>
        <w:rPr>
          <w:rFonts w:hint="eastAsia" w:ascii="宋体" w:hAnsi="宋体" w:cs="宋体"/>
          <w:b/>
          <w:sz w:val="30"/>
          <w:szCs w:val="30"/>
        </w:rPr>
        <w:t>项目编号：GZSKST25-B029</w:t>
      </w:r>
    </w:p>
    <w:p>
      <w:pPr>
        <w:adjustRightInd w:val="0"/>
        <w:snapToGrid w:val="0"/>
        <w:spacing w:line="720" w:lineRule="auto"/>
        <w:ind w:firstLine="1440" w:firstLineChars="478"/>
        <w:rPr>
          <w:rFonts w:hint="eastAsia" w:ascii="宋体" w:hAnsi="宋体" w:cs="宋体"/>
          <w:b/>
          <w:sz w:val="30"/>
          <w:szCs w:val="30"/>
        </w:rPr>
      </w:pPr>
      <w:r>
        <w:rPr>
          <w:rFonts w:hint="eastAsia" w:ascii="宋体" w:hAnsi="宋体" w:cs="宋体"/>
          <w:b/>
          <w:sz w:val="30"/>
          <w:szCs w:val="30"/>
        </w:rPr>
        <w:t>采购人：国家税务总局汕头市金平区税务局</w:t>
      </w:r>
    </w:p>
    <w:p>
      <w:pPr>
        <w:adjustRightInd w:val="0"/>
        <w:snapToGrid w:val="0"/>
        <w:spacing w:line="720" w:lineRule="auto"/>
        <w:ind w:firstLine="1440" w:firstLineChars="478"/>
        <w:rPr>
          <w:rFonts w:hint="eastAsia" w:ascii="宋体" w:hAnsi="宋体" w:cs="宋体"/>
          <w:b/>
          <w:sz w:val="30"/>
          <w:szCs w:val="30"/>
        </w:rPr>
      </w:pPr>
      <w:r>
        <w:rPr>
          <w:rFonts w:hint="eastAsia" w:ascii="宋体" w:hAnsi="宋体" w:cs="宋体"/>
          <w:b/>
          <w:sz w:val="30"/>
          <w:szCs w:val="30"/>
        </w:rPr>
        <w:t>采购代理机构：广州穗科建设管理有限公司汕头分公司</w:t>
      </w:r>
    </w:p>
    <w:p>
      <w:pPr>
        <w:pStyle w:val="549"/>
        <w:spacing w:line="480" w:lineRule="auto"/>
        <w:rPr>
          <w:rFonts w:hint="eastAsia" w:cs="宋体"/>
          <w:sz w:val="30"/>
          <w:szCs w:val="30"/>
        </w:rPr>
        <w:sectPr>
          <w:headerReference r:id="rId4" w:type="first"/>
          <w:footerReference r:id="rId7" w:type="first"/>
          <w:headerReference r:id="rId3" w:type="default"/>
          <w:footerReference r:id="rId5" w:type="default"/>
          <w:footerReference r:id="rId6" w:type="even"/>
          <w:pgSz w:w="11907" w:h="16840"/>
          <w:pgMar w:top="1247" w:right="1247" w:bottom="1247" w:left="1247" w:header="737" w:footer="737" w:gutter="0"/>
          <w:pgNumType w:fmt="numberInDash" w:start="0"/>
          <w:cols w:space="720" w:num="1"/>
          <w:titlePg/>
          <w:docGrid w:linePitch="462" w:charSpace="0"/>
        </w:sectPr>
      </w:pPr>
      <w:r>
        <w:rPr>
          <w:rFonts w:hint="eastAsia" w:cs="宋体"/>
          <w:sz w:val="30"/>
          <w:szCs w:val="30"/>
        </w:rPr>
        <w:t>二〇二五年三月</w:t>
      </w:r>
    </w:p>
    <w:p>
      <w:pPr>
        <w:pStyle w:val="549"/>
        <w:adjustRightInd w:val="0"/>
        <w:snapToGrid w:val="0"/>
        <w:spacing w:line="360" w:lineRule="auto"/>
        <w:rPr>
          <w:rFonts w:hint="eastAsia" w:cs="宋体"/>
          <w:sz w:val="24"/>
          <w:szCs w:val="24"/>
        </w:rPr>
      </w:pPr>
    </w:p>
    <w:p>
      <w:pPr>
        <w:adjustRightInd w:val="0"/>
        <w:snapToGrid w:val="0"/>
        <w:spacing w:line="432" w:lineRule="auto"/>
        <w:jc w:val="center"/>
        <w:rPr>
          <w:rFonts w:hint="eastAsia" w:ascii="宋体" w:hAnsi="宋体" w:cs="宋体"/>
          <w:b/>
          <w:sz w:val="36"/>
          <w:szCs w:val="36"/>
        </w:rPr>
      </w:pPr>
      <w:r>
        <w:rPr>
          <w:rFonts w:hint="eastAsia" w:ascii="宋体" w:hAnsi="宋体" w:cs="宋体"/>
          <w:b/>
          <w:sz w:val="36"/>
          <w:szCs w:val="36"/>
        </w:rPr>
        <w:t>目  录</w:t>
      </w:r>
    </w:p>
    <w:p>
      <w:pPr>
        <w:pStyle w:val="48"/>
        <w:tabs>
          <w:tab w:val="right" w:leader="dot" w:pos="9413"/>
          <w:tab w:val="clear" w:pos="8303"/>
        </w:tabs>
        <w:spacing w:after="60" w:line="360" w:lineRule="auto"/>
        <w:rPr>
          <w:rFonts w:hint="eastAsia" w:cs="宋体"/>
        </w:rPr>
      </w:pPr>
      <w:r>
        <w:rPr>
          <w:rFonts w:hint="eastAsia" w:cs="宋体"/>
          <w:sz w:val="28"/>
        </w:rPr>
        <w:fldChar w:fldCharType="begin"/>
      </w:r>
      <w:r>
        <w:rPr>
          <w:rFonts w:hint="eastAsia" w:cs="宋体"/>
          <w:sz w:val="28"/>
        </w:rPr>
        <w:instrText xml:space="preserve"> TOC  \* MERGEFORMAT </w:instrText>
      </w:r>
      <w:r>
        <w:rPr>
          <w:rFonts w:hint="eastAsia" w:cs="宋体"/>
          <w:sz w:val="28"/>
        </w:rPr>
        <w:fldChar w:fldCharType="separate"/>
      </w:r>
      <w:r>
        <w:rPr>
          <w:rFonts w:hint="eastAsia" w:cs="宋体"/>
        </w:rPr>
        <w:t>第一章  招标公告</w:t>
      </w:r>
      <w:r>
        <w:rPr>
          <w:rFonts w:hint="eastAsia" w:cs="宋体"/>
        </w:rPr>
        <w:tab/>
      </w:r>
      <w:r>
        <w:rPr>
          <w:rFonts w:hint="eastAsia" w:cs="宋体"/>
        </w:rPr>
        <w:fldChar w:fldCharType="begin"/>
      </w:r>
      <w:r>
        <w:rPr>
          <w:rFonts w:hint="eastAsia" w:cs="宋体"/>
        </w:rPr>
        <w:instrText xml:space="preserve"> PAGEREF _Toc13478 \h </w:instrText>
      </w:r>
      <w:r>
        <w:rPr>
          <w:rFonts w:hint="eastAsia" w:cs="宋体"/>
        </w:rPr>
        <w:fldChar w:fldCharType="separate"/>
      </w:r>
      <w:r>
        <w:rPr>
          <w:rFonts w:hint="eastAsia" w:cs="宋体"/>
        </w:rPr>
        <w:t>3</w:t>
      </w:r>
      <w:r>
        <w:rPr>
          <w:rFonts w:hint="eastAsia" w:cs="宋体"/>
        </w:rPr>
        <w:fldChar w:fldCharType="end"/>
      </w:r>
    </w:p>
    <w:p>
      <w:pPr>
        <w:pStyle w:val="48"/>
        <w:tabs>
          <w:tab w:val="right" w:leader="dot" w:pos="9413"/>
          <w:tab w:val="clear" w:pos="8303"/>
        </w:tabs>
        <w:spacing w:after="60" w:line="360" w:lineRule="auto"/>
        <w:rPr>
          <w:rFonts w:hint="eastAsia" w:cs="宋体"/>
        </w:rPr>
      </w:pPr>
      <w:r>
        <w:rPr>
          <w:rFonts w:hint="eastAsia" w:cs="宋体"/>
        </w:rPr>
        <w:t>第二章  用户需求书</w:t>
      </w:r>
      <w:r>
        <w:rPr>
          <w:rFonts w:hint="eastAsia" w:cs="宋体"/>
        </w:rPr>
        <w:tab/>
      </w:r>
      <w:r>
        <w:rPr>
          <w:rFonts w:hint="eastAsia" w:cs="宋体"/>
        </w:rPr>
        <w:fldChar w:fldCharType="begin"/>
      </w:r>
      <w:r>
        <w:rPr>
          <w:rFonts w:hint="eastAsia" w:cs="宋体"/>
        </w:rPr>
        <w:instrText xml:space="preserve"> PAGEREF _Toc10545 \h </w:instrText>
      </w:r>
      <w:r>
        <w:rPr>
          <w:rFonts w:hint="eastAsia" w:cs="宋体"/>
        </w:rPr>
        <w:fldChar w:fldCharType="separate"/>
      </w:r>
      <w:r>
        <w:rPr>
          <w:rFonts w:hint="eastAsia" w:cs="宋体"/>
        </w:rPr>
        <w:t>7</w:t>
      </w:r>
      <w:r>
        <w:rPr>
          <w:rFonts w:hint="eastAsia" w:cs="宋体"/>
        </w:rPr>
        <w:fldChar w:fldCharType="end"/>
      </w:r>
    </w:p>
    <w:p>
      <w:pPr>
        <w:pStyle w:val="48"/>
        <w:tabs>
          <w:tab w:val="right" w:leader="dot" w:pos="9413"/>
          <w:tab w:val="clear" w:pos="8303"/>
        </w:tabs>
        <w:spacing w:after="60" w:line="360" w:lineRule="auto"/>
        <w:rPr>
          <w:rFonts w:hint="eastAsia" w:cs="宋体"/>
        </w:rPr>
      </w:pPr>
      <w:r>
        <w:rPr>
          <w:rFonts w:hint="eastAsia" w:cs="宋体"/>
        </w:rPr>
        <w:t>第三章  投标人须知</w:t>
      </w:r>
      <w:r>
        <w:rPr>
          <w:rFonts w:hint="eastAsia" w:cs="宋体"/>
        </w:rPr>
        <w:tab/>
      </w:r>
      <w:r>
        <w:rPr>
          <w:rFonts w:hint="eastAsia" w:cs="宋体"/>
        </w:rPr>
        <w:fldChar w:fldCharType="begin"/>
      </w:r>
      <w:r>
        <w:rPr>
          <w:rFonts w:hint="eastAsia" w:cs="宋体"/>
        </w:rPr>
        <w:instrText xml:space="preserve"> PAGEREF _Toc25305 \h </w:instrText>
      </w:r>
      <w:r>
        <w:rPr>
          <w:rFonts w:hint="eastAsia" w:cs="宋体"/>
        </w:rPr>
        <w:fldChar w:fldCharType="separate"/>
      </w:r>
      <w:r>
        <w:rPr>
          <w:rFonts w:hint="eastAsia" w:cs="宋体"/>
        </w:rPr>
        <w:t>47</w:t>
      </w:r>
      <w:r>
        <w:rPr>
          <w:rFonts w:hint="eastAsia" w:cs="宋体"/>
        </w:rPr>
        <w:fldChar w:fldCharType="end"/>
      </w:r>
    </w:p>
    <w:p>
      <w:pPr>
        <w:pStyle w:val="48"/>
        <w:tabs>
          <w:tab w:val="right" w:leader="dot" w:pos="9413"/>
          <w:tab w:val="clear" w:pos="8303"/>
        </w:tabs>
        <w:spacing w:after="60" w:line="360" w:lineRule="auto"/>
        <w:rPr>
          <w:rFonts w:hint="eastAsia" w:cs="宋体"/>
        </w:rPr>
      </w:pPr>
      <w:r>
        <w:rPr>
          <w:rFonts w:hint="eastAsia" w:cs="宋体"/>
        </w:rPr>
        <w:t>一  说明</w:t>
      </w:r>
      <w:r>
        <w:rPr>
          <w:rFonts w:hint="eastAsia" w:cs="宋体"/>
        </w:rPr>
        <w:tab/>
      </w:r>
      <w:r>
        <w:rPr>
          <w:rFonts w:hint="eastAsia" w:cs="宋体"/>
        </w:rPr>
        <w:fldChar w:fldCharType="begin"/>
      </w:r>
      <w:r>
        <w:rPr>
          <w:rFonts w:hint="eastAsia" w:cs="宋体"/>
        </w:rPr>
        <w:instrText xml:space="preserve"> PAGEREF _Toc18166 \h </w:instrText>
      </w:r>
      <w:r>
        <w:rPr>
          <w:rFonts w:hint="eastAsia" w:cs="宋体"/>
        </w:rPr>
        <w:fldChar w:fldCharType="separate"/>
      </w:r>
      <w:r>
        <w:rPr>
          <w:rFonts w:hint="eastAsia" w:cs="宋体"/>
        </w:rPr>
        <w:t>48</w:t>
      </w:r>
      <w:r>
        <w:rPr>
          <w:rFonts w:hint="eastAsia"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  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_Toc8850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2  采购人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_Toc1626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3  采购代理机构</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_Toc3033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4  合格的投标人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_Toc27335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5  合格的服务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_Toc14834 \h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6  投标费用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_Toc6654 \h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p>
    <w:p>
      <w:pPr>
        <w:pStyle w:val="48"/>
        <w:tabs>
          <w:tab w:val="right" w:leader="dot" w:pos="9413"/>
          <w:tab w:val="clear" w:pos="8303"/>
        </w:tabs>
        <w:spacing w:after="60" w:line="360" w:lineRule="auto"/>
        <w:rPr>
          <w:rFonts w:hint="eastAsia" w:cs="宋体"/>
        </w:rPr>
      </w:pPr>
      <w:r>
        <w:rPr>
          <w:rFonts w:hint="eastAsia" w:cs="宋体"/>
        </w:rPr>
        <w:t>二  采购文件</w:t>
      </w:r>
      <w:r>
        <w:rPr>
          <w:rFonts w:hint="eastAsia" w:cs="宋体"/>
        </w:rPr>
        <w:tab/>
      </w:r>
      <w:r>
        <w:rPr>
          <w:rFonts w:hint="eastAsia" w:cs="宋体"/>
        </w:rPr>
        <w:fldChar w:fldCharType="begin"/>
      </w:r>
      <w:r>
        <w:rPr>
          <w:rFonts w:hint="eastAsia" w:cs="宋体"/>
        </w:rPr>
        <w:instrText xml:space="preserve"> PAGEREF _Toc7390 \h </w:instrText>
      </w:r>
      <w:r>
        <w:rPr>
          <w:rFonts w:hint="eastAsia" w:cs="宋体"/>
        </w:rPr>
        <w:fldChar w:fldCharType="separate"/>
      </w:r>
      <w:r>
        <w:rPr>
          <w:rFonts w:hint="eastAsia" w:cs="宋体"/>
        </w:rPr>
        <w:t>50</w:t>
      </w:r>
      <w:r>
        <w:rPr>
          <w:rFonts w:hint="eastAsia"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7  采购文件构成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_Toc18471 \h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8  采购文件的澄清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_Toc5059 \h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9  采购文件的修改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_Toc19708 \h </w:instrText>
      </w:r>
      <w:r>
        <w:rPr>
          <w:rFonts w:hint="eastAsia" w:ascii="宋体" w:hAnsi="宋体" w:cs="宋体"/>
        </w:rPr>
        <w:fldChar w:fldCharType="separate"/>
      </w:r>
      <w:r>
        <w:rPr>
          <w:rFonts w:hint="eastAsia" w:ascii="宋体" w:hAnsi="宋体" w:cs="宋体"/>
        </w:rPr>
        <w:t>53</w:t>
      </w:r>
      <w:r>
        <w:rPr>
          <w:rFonts w:hint="eastAsia" w:ascii="宋体" w:hAnsi="宋体" w:cs="宋体"/>
        </w:rPr>
        <w:fldChar w:fldCharType="end"/>
      </w:r>
    </w:p>
    <w:p>
      <w:pPr>
        <w:pStyle w:val="48"/>
        <w:tabs>
          <w:tab w:val="right" w:leader="dot" w:pos="9413"/>
          <w:tab w:val="clear" w:pos="8303"/>
        </w:tabs>
        <w:spacing w:after="60" w:line="360" w:lineRule="auto"/>
        <w:rPr>
          <w:rFonts w:hint="eastAsia" w:cs="宋体"/>
        </w:rPr>
      </w:pPr>
      <w:r>
        <w:rPr>
          <w:rFonts w:hint="eastAsia" w:cs="宋体"/>
        </w:rPr>
        <w:t>三  投标文件的编制</w:t>
      </w:r>
      <w:r>
        <w:rPr>
          <w:rFonts w:hint="eastAsia" w:cs="宋体"/>
        </w:rPr>
        <w:tab/>
      </w:r>
      <w:r>
        <w:rPr>
          <w:rFonts w:hint="eastAsia" w:cs="宋体"/>
        </w:rPr>
        <w:fldChar w:fldCharType="begin"/>
      </w:r>
      <w:r>
        <w:rPr>
          <w:rFonts w:hint="eastAsia" w:cs="宋体"/>
        </w:rPr>
        <w:instrText xml:space="preserve"> PAGEREF _Toc32729 \h </w:instrText>
      </w:r>
      <w:r>
        <w:rPr>
          <w:rFonts w:hint="eastAsia" w:cs="宋体"/>
        </w:rPr>
        <w:fldChar w:fldCharType="separate"/>
      </w:r>
      <w:r>
        <w:rPr>
          <w:rFonts w:hint="eastAsia" w:cs="宋体"/>
        </w:rPr>
        <w:t>53</w:t>
      </w:r>
      <w:r>
        <w:rPr>
          <w:rFonts w:hint="eastAsia"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10  投标的语言</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_Toc29589 \h </w:instrText>
      </w:r>
      <w:r>
        <w:rPr>
          <w:rFonts w:hint="eastAsia" w:ascii="宋体" w:hAnsi="宋体" w:cs="宋体"/>
        </w:rPr>
        <w:fldChar w:fldCharType="separate"/>
      </w:r>
      <w:r>
        <w:rPr>
          <w:rFonts w:hint="eastAsia" w:ascii="宋体" w:hAnsi="宋体" w:cs="宋体"/>
        </w:rPr>
        <w:t>53</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11  投标文件构成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_Toc15253 \h </w:instrText>
      </w:r>
      <w:r>
        <w:rPr>
          <w:rFonts w:hint="eastAsia" w:ascii="宋体" w:hAnsi="宋体" w:cs="宋体"/>
        </w:rPr>
        <w:fldChar w:fldCharType="separate"/>
      </w:r>
      <w:r>
        <w:rPr>
          <w:rFonts w:hint="eastAsia" w:ascii="宋体" w:hAnsi="宋体" w:cs="宋体"/>
        </w:rPr>
        <w:t>53</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12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_Toc24939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13  投标报价和货币</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14  投标人资格的证明文件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_Toc5762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15  证明服务的合格性和符合采购文件规定的文件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_Toc21290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16  投标保证金（本项目不收取）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_Toc22494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17  投标有效期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_Toc10860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18  投标文件的式样和签署</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_Toc7858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p>
    <w:p>
      <w:pPr>
        <w:pStyle w:val="48"/>
        <w:tabs>
          <w:tab w:val="right" w:leader="dot" w:pos="9413"/>
          <w:tab w:val="clear" w:pos="8303"/>
        </w:tabs>
        <w:spacing w:after="60" w:line="360" w:lineRule="auto"/>
        <w:rPr>
          <w:rFonts w:hint="eastAsia" w:cs="宋体"/>
        </w:rPr>
      </w:pPr>
      <w:r>
        <w:rPr>
          <w:rFonts w:hint="eastAsia" w:cs="宋体"/>
        </w:rPr>
        <w:t>四  投标文件的递交</w:t>
      </w:r>
      <w:r>
        <w:rPr>
          <w:rFonts w:hint="eastAsia" w:cs="宋体"/>
        </w:rPr>
        <w:tab/>
      </w:r>
      <w:r>
        <w:rPr>
          <w:rFonts w:hint="eastAsia" w:cs="宋体"/>
        </w:rPr>
        <w:fldChar w:fldCharType="begin"/>
      </w:r>
      <w:r>
        <w:rPr>
          <w:rFonts w:hint="eastAsia" w:cs="宋体"/>
        </w:rPr>
        <w:instrText xml:space="preserve"> PAGEREF _Toc5183 \h </w:instrText>
      </w:r>
      <w:r>
        <w:rPr>
          <w:rFonts w:hint="eastAsia" w:cs="宋体"/>
        </w:rPr>
        <w:fldChar w:fldCharType="separate"/>
      </w:r>
      <w:r>
        <w:rPr>
          <w:rFonts w:hint="eastAsia" w:cs="宋体"/>
        </w:rPr>
        <w:t>56</w:t>
      </w:r>
      <w:r>
        <w:rPr>
          <w:rFonts w:hint="eastAsia"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19  投标文件的密封和标记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_Toc14822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20  投标截止时间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_Toc32183 \h </w:instrText>
      </w:r>
      <w:r>
        <w:rPr>
          <w:rFonts w:hint="eastAsia" w:ascii="宋体" w:hAnsi="宋体" w:cs="宋体"/>
        </w:rPr>
        <w:fldChar w:fldCharType="separate"/>
      </w:r>
      <w:r>
        <w:rPr>
          <w:rFonts w:hint="eastAsia" w:ascii="宋体" w:hAnsi="宋体" w:cs="宋体"/>
        </w:rPr>
        <w:t>57</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21  迟交的投标文件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_Toc31974 \h </w:instrText>
      </w:r>
      <w:r>
        <w:rPr>
          <w:rFonts w:hint="eastAsia" w:ascii="宋体" w:hAnsi="宋体" w:cs="宋体"/>
        </w:rPr>
        <w:fldChar w:fldCharType="separate"/>
      </w:r>
      <w:r>
        <w:rPr>
          <w:rFonts w:hint="eastAsia" w:ascii="宋体" w:hAnsi="宋体" w:cs="宋体"/>
        </w:rPr>
        <w:t>57</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22  投标文件的修改与撤回</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_Toc9386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p>
    <w:p>
      <w:pPr>
        <w:pStyle w:val="4"/>
        <w:tabs>
          <w:tab w:val="right" w:leader="dot" w:pos="9413"/>
          <w:tab w:val="clear" w:pos="8303"/>
        </w:tabs>
        <w:spacing w:line="360" w:lineRule="auto"/>
        <w:ind w:firstLine="485"/>
        <w:rPr>
          <w:rFonts w:hint="eastAsia" w:ascii="宋体" w:hAnsi="宋体" w:cs="宋体"/>
        </w:rPr>
      </w:pPr>
      <w:r>
        <w:rPr>
          <w:rFonts w:hint="eastAsia" w:ascii="宋体" w:hAnsi="宋体" w:cs="宋体"/>
        </w:rPr>
        <w:t>23  评标委员会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_Toc28121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p>
    <w:p>
      <w:pPr>
        <w:pStyle w:val="48"/>
        <w:tabs>
          <w:tab w:val="right" w:leader="dot" w:pos="9413"/>
          <w:tab w:val="clear" w:pos="8303"/>
        </w:tabs>
        <w:spacing w:after="60" w:line="360" w:lineRule="auto"/>
        <w:rPr>
          <w:rFonts w:hint="eastAsia" w:cs="宋体"/>
        </w:rPr>
      </w:pPr>
      <w:r>
        <w:rPr>
          <w:rFonts w:hint="eastAsia" w:cs="宋体"/>
        </w:rPr>
        <w:t>五  开标与评标</w:t>
      </w:r>
      <w:r>
        <w:rPr>
          <w:rFonts w:hint="eastAsia" w:cs="宋体"/>
        </w:rPr>
        <w:tab/>
      </w:r>
      <w:r>
        <w:rPr>
          <w:rFonts w:hint="eastAsia" w:cs="宋体"/>
        </w:rPr>
        <w:fldChar w:fldCharType="begin"/>
      </w:r>
      <w:r>
        <w:rPr>
          <w:rFonts w:hint="eastAsia" w:cs="宋体"/>
        </w:rPr>
        <w:instrText xml:space="preserve"> PAGEREF _Toc32648 \h </w:instrText>
      </w:r>
      <w:r>
        <w:rPr>
          <w:rFonts w:hint="eastAsia" w:cs="宋体"/>
        </w:rPr>
        <w:fldChar w:fldCharType="separate"/>
      </w:r>
      <w:r>
        <w:rPr>
          <w:rFonts w:hint="eastAsia" w:cs="宋体"/>
        </w:rPr>
        <w:t>58</w:t>
      </w:r>
      <w:r>
        <w:rPr>
          <w:rFonts w:hint="eastAsia" w:cs="宋体"/>
        </w:rPr>
        <w:fldChar w:fldCharType="end"/>
      </w:r>
    </w:p>
    <w:p>
      <w:pPr>
        <w:pStyle w:val="4"/>
        <w:tabs>
          <w:tab w:val="right" w:leader="dot" w:pos="9413"/>
          <w:tab w:val="clear" w:pos="8303"/>
        </w:tabs>
        <w:spacing w:line="360" w:lineRule="auto"/>
        <w:ind w:firstLine="485"/>
        <w:rPr>
          <w:rFonts w:hint="eastAsia" w:ascii="宋体" w:hAnsi="宋体" w:cs="宋体"/>
        </w:rPr>
      </w:pPr>
      <w:r>
        <w:rPr>
          <w:rFonts w:hint="eastAsia" w:ascii="宋体" w:hAnsi="宋体" w:cs="宋体"/>
        </w:rPr>
        <w:t>24  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_Toc14008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p>
    <w:p>
      <w:pPr>
        <w:pStyle w:val="4"/>
        <w:tabs>
          <w:tab w:val="right" w:leader="dot" w:pos="9413"/>
          <w:tab w:val="clear" w:pos="8303"/>
        </w:tabs>
        <w:spacing w:line="360" w:lineRule="auto"/>
        <w:ind w:firstLine="485"/>
        <w:rPr>
          <w:rFonts w:hint="eastAsia" w:ascii="宋体" w:hAnsi="宋体" w:cs="宋体"/>
        </w:rPr>
      </w:pPr>
      <w:r>
        <w:rPr>
          <w:rFonts w:hint="eastAsia" w:ascii="宋体" w:hAnsi="宋体" w:cs="宋体"/>
        </w:rPr>
        <w:t>25  投标人资格审查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_Toc28837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p>
    <w:p>
      <w:pPr>
        <w:pStyle w:val="4"/>
        <w:tabs>
          <w:tab w:val="right" w:leader="dot" w:pos="9413"/>
          <w:tab w:val="clear" w:pos="8303"/>
        </w:tabs>
        <w:spacing w:line="360" w:lineRule="auto"/>
        <w:ind w:firstLine="485"/>
        <w:rPr>
          <w:rFonts w:hint="eastAsia" w:ascii="宋体" w:hAnsi="宋体" w:cs="宋体"/>
        </w:rPr>
      </w:pPr>
      <w:r>
        <w:rPr>
          <w:rFonts w:hint="eastAsia" w:ascii="宋体" w:hAnsi="宋体" w:cs="宋体"/>
        </w:rPr>
        <w:t>26  投标文件的澄清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_Toc30674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p>
    <w:p>
      <w:pPr>
        <w:pStyle w:val="4"/>
        <w:tabs>
          <w:tab w:val="right" w:leader="dot" w:pos="9413"/>
          <w:tab w:val="clear" w:pos="8303"/>
        </w:tabs>
        <w:spacing w:line="360" w:lineRule="auto"/>
        <w:ind w:firstLine="485"/>
        <w:rPr>
          <w:rFonts w:hint="eastAsia" w:ascii="宋体" w:hAnsi="宋体" w:cs="宋体"/>
        </w:rPr>
      </w:pPr>
      <w:r>
        <w:rPr>
          <w:rFonts w:hint="eastAsia" w:ascii="宋体" w:hAnsi="宋体" w:cs="宋体"/>
        </w:rPr>
        <w:t>27  投标文件的符合性审查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_Toc2330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p>
    <w:p>
      <w:pPr>
        <w:pStyle w:val="4"/>
        <w:tabs>
          <w:tab w:val="right" w:leader="dot" w:pos="9413"/>
          <w:tab w:val="clear" w:pos="8303"/>
        </w:tabs>
        <w:spacing w:line="360" w:lineRule="auto"/>
        <w:ind w:firstLine="485"/>
        <w:rPr>
          <w:rFonts w:hint="eastAsia" w:ascii="宋体" w:hAnsi="宋体" w:cs="宋体"/>
        </w:rPr>
      </w:pPr>
      <w:r>
        <w:rPr>
          <w:rFonts w:hint="eastAsia" w:ascii="宋体" w:hAnsi="宋体" w:cs="宋体"/>
        </w:rPr>
        <w:t>28  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_Toc20422 \h </w:instrText>
      </w:r>
      <w:r>
        <w:rPr>
          <w:rFonts w:hint="eastAsia" w:ascii="宋体" w:hAnsi="宋体" w:cs="宋体"/>
        </w:rPr>
        <w:fldChar w:fldCharType="separate"/>
      </w:r>
      <w:r>
        <w:rPr>
          <w:rFonts w:hint="eastAsia" w:ascii="宋体" w:hAnsi="宋体" w:cs="宋体"/>
        </w:rPr>
        <w:t>60</w:t>
      </w:r>
      <w:r>
        <w:rPr>
          <w:rFonts w:hint="eastAsia" w:ascii="宋体" w:hAnsi="宋体" w:cs="宋体"/>
        </w:rPr>
        <w:fldChar w:fldCharType="end"/>
      </w:r>
    </w:p>
    <w:p>
      <w:pPr>
        <w:pStyle w:val="36"/>
        <w:tabs>
          <w:tab w:val="right" w:leader="dot" w:pos="9413"/>
          <w:tab w:val="clear" w:pos="8303"/>
        </w:tabs>
        <w:spacing w:line="360" w:lineRule="auto"/>
        <w:ind w:left="485"/>
        <w:rPr>
          <w:rFonts w:hint="eastAsia" w:ascii="宋体" w:hAnsi="宋体" w:cs="宋体"/>
        </w:rPr>
      </w:pPr>
      <w:r>
        <w:rPr>
          <w:rFonts w:hint="eastAsia" w:ascii="宋体" w:hAnsi="宋体" w:cs="宋体"/>
        </w:rPr>
        <w:t>29  评标结果公布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_Toc32618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p>
    <w:p>
      <w:pPr>
        <w:pStyle w:val="48"/>
        <w:tabs>
          <w:tab w:val="right" w:leader="dot" w:pos="9413"/>
          <w:tab w:val="clear" w:pos="8303"/>
        </w:tabs>
        <w:spacing w:after="60" w:line="360" w:lineRule="auto"/>
        <w:rPr>
          <w:rFonts w:hint="eastAsia" w:cs="宋体"/>
        </w:rPr>
      </w:pPr>
      <w:r>
        <w:rPr>
          <w:rFonts w:hint="eastAsia" w:cs="宋体"/>
        </w:rPr>
        <w:t>六  授予合同</w:t>
      </w:r>
      <w:r>
        <w:rPr>
          <w:rFonts w:hint="eastAsia" w:cs="宋体"/>
        </w:rPr>
        <w:tab/>
      </w:r>
      <w:r>
        <w:rPr>
          <w:rFonts w:hint="eastAsia" w:cs="宋体"/>
        </w:rPr>
        <w:fldChar w:fldCharType="begin"/>
      </w:r>
      <w:r>
        <w:rPr>
          <w:rFonts w:hint="eastAsia" w:cs="宋体"/>
        </w:rPr>
        <w:instrText xml:space="preserve"> PAGEREF _Toc19449 \h </w:instrText>
      </w:r>
      <w:r>
        <w:rPr>
          <w:rFonts w:hint="eastAsia" w:cs="宋体"/>
        </w:rPr>
        <w:fldChar w:fldCharType="separate"/>
      </w:r>
      <w:r>
        <w:rPr>
          <w:rFonts w:hint="eastAsia" w:cs="宋体"/>
        </w:rPr>
        <w:t>64</w:t>
      </w:r>
      <w:r>
        <w:rPr>
          <w:rFonts w:hint="eastAsia" w:cs="宋体"/>
        </w:rPr>
        <w:fldChar w:fldCharType="end"/>
      </w:r>
    </w:p>
    <w:p>
      <w:pPr>
        <w:pStyle w:val="48"/>
        <w:tabs>
          <w:tab w:val="right" w:leader="dot" w:pos="9413"/>
          <w:tab w:val="clear" w:pos="8303"/>
        </w:tabs>
        <w:spacing w:after="60" w:line="360" w:lineRule="auto"/>
        <w:rPr>
          <w:rFonts w:hint="eastAsia" w:cs="宋体"/>
        </w:rPr>
      </w:pPr>
      <w:r>
        <w:rPr>
          <w:rFonts w:hint="eastAsia" w:cs="宋体"/>
        </w:rPr>
        <w:t>七  采购代理服务费</w:t>
      </w:r>
      <w:r>
        <w:rPr>
          <w:rFonts w:hint="eastAsia" w:cs="宋体"/>
        </w:rPr>
        <w:tab/>
      </w:r>
      <w:r>
        <w:rPr>
          <w:rFonts w:hint="eastAsia" w:cs="宋体"/>
        </w:rPr>
        <w:t>64</w:t>
      </w:r>
    </w:p>
    <w:p>
      <w:pPr>
        <w:pStyle w:val="48"/>
        <w:tabs>
          <w:tab w:val="right" w:leader="dot" w:pos="9413"/>
          <w:tab w:val="clear" w:pos="8303"/>
        </w:tabs>
        <w:spacing w:after="60" w:line="360" w:lineRule="auto"/>
        <w:rPr>
          <w:rFonts w:hint="eastAsia" w:cs="宋体"/>
        </w:rPr>
      </w:pPr>
      <w:r>
        <w:rPr>
          <w:rFonts w:hint="eastAsia" w:cs="宋体"/>
        </w:rPr>
        <w:t>第四章  合同书文本</w:t>
      </w:r>
      <w:r>
        <w:rPr>
          <w:rFonts w:hint="eastAsia" w:cs="宋体"/>
        </w:rPr>
        <w:tab/>
      </w:r>
      <w:r>
        <w:rPr>
          <w:rFonts w:hint="eastAsia" w:cs="宋体"/>
        </w:rPr>
        <w:fldChar w:fldCharType="begin"/>
      </w:r>
      <w:r>
        <w:rPr>
          <w:rFonts w:hint="eastAsia" w:cs="宋体"/>
        </w:rPr>
        <w:instrText xml:space="preserve"> PAGEREF _Toc29246 \h </w:instrText>
      </w:r>
      <w:r>
        <w:rPr>
          <w:rFonts w:hint="eastAsia" w:cs="宋体"/>
        </w:rPr>
        <w:fldChar w:fldCharType="separate"/>
      </w:r>
      <w:r>
        <w:rPr>
          <w:rFonts w:hint="eastAsia" w:cs="宋体"/>
        </w:rPr>
        <w:t>69</w:t>
      </w:r>
      <w:r>
        <w:rPr>
          <w:rFonts w:hint="eastAsia" w:cs="宋体"/>
        </w:rPr>
        <w:fldChar w:fldCharType="end"/>
      </w:r>
    </w:p>
    <w:p>
      <w:pPr>
        <w:pStyle w:val="48"/>
        <w:tabs>
          <w:tab w:val="right" w:leader="dot" w:pos="9413"/>
          <w:tab w:val="clear" w:pos="8303"/>
        </w:tabs>
        <w:spacing w:after="60" w:line="360" w:lineRule="auto"/>
        <w:rPr>
          <w:rFonts w:hint="eastAsia" w:cs="宋体"/>
        </w:rPr>
      </w:pPr>
      <w:r>
        <w:rPr>
          <w:rFonts w:hint="eastAsia" w:cs="宋体"/>
        </w:rPr>
        <w:t>第五章  投标文件格式</w:t>
      </w:r>
      <w:r>
        <w:rPr>
          <w:rFonts w:hint="eastAsia" w:cs="宋体"/>
        </w:rPr>
        <w:tab/>
      </w:r>
      <w:r>
        <w:rPr>
          <w:rFonts w:hint="eastAsia" w:cs="宋体"/>
        </w:rPr>
        <w:fldChar w:fldCharType="begin"/>
      </w:r>
      <w:r>
        <w:rPr>
          <w:rFonts w:hint="eastAsia" w:cs="宋体"/>
        </w:rPr>
        <w:instrText xml:space="preserve"> PAGEREF _Toc15444 \h </w:instrText>
      </w:r>
      <w:r>
        <w:rPr>
          <w:rFonts w:hint="eastAsia" w:cs="宋体"/>
        </w:rPr>
        <w:fldChar w:fldCharType="separate"/>
      </w:r>
      <w:r>
        <w:rPr>
          <w:rFonts w:hint="eastAsia" w:cs="宋体"/>
        </w:rPr>
        <w:t>82</w:t>
      </w:r>
      <w:r>
        <w:rPr>
          <w:rFonts w:hint="eastAsia" w:cs="宋体"/>
        </w:rPr>
        <w:fldChar w:fldCharType="end"/>
      </w:r>
    </w:p>
    <w:p>
      <w:pPr>
        <w:adjustRightInd w:val="0"/>
        <w:snapToGrid w:val="0"/>
        <w:spacing w:line="360" w:lineRule="auto"/>
        <w:rPr>
          <w:rFonts w:hint="eastAsia" w:ascii="宋体" w:hAnsi="宋体" w:cs="宋体"/>
          <w:b/>
          <w:sz w:val="28"/>
        </w:rPr>
      </w:pPr>
      <w:r>
        <w:rPr>
          <w:rFonts w:hint="eastAsia" w:ascii="宋体" w:hAnsi="宋体" w:cs="宋体"/>
          <w:b/>
          <w:sz w:val="28"/>
        </w:rPr>
        <w:fldChar w:fldCharType="end"/>
      </w: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2"/>
        <w:ind w:left="480" w:firstLine="560"/>
        <w:rPr>
          <w:rFonts w:hint="eastAsia" w:cs="宋体"/>
          <w:b w:val="0"/>
          <w:sz w:val="28"/>
        </w:rPr>
      </w:pPr>
    </w:p>
    <w:p>
      <w:pPr>
        <w:pStyle w:val="6"/>
        <w:spacing w:before="240" w:after="240" w:line="312" w:lineRule="auto"/>
        <w:jc w:val="center"/>
        <w:rPr>
          <w:rFonts w:hint="eastAsia" w:ascii="宋体" w:hAnsi="宋体" w:cs="宋体"/>
        </w:rPr>
      </w:pPr>
      <w:bookmarkStart w:id="0" w:name="_Toc102300253"/>
      <w:bookmarkStart w:id="1" w:name="_Toc500229354"/>
      <w:bookmarkStart w:id="2" w:name="_Toc98175176"/>
      <w:bookmarkStart w:id="3" w:name="_Toc13478"/>
      <w:r>
        <w:rPr>
          <w:rFonts w:hint="eastAsia" w:ascii="宋体" w:hAnsi="宋体" w:cs="宋体"/>
        </w:rPr>
        <w:t xml:space="preserve">第一章  </w:t>
      </w:r>
      <w:bookmarkEnd w:id="0"/>
      <w:bookmarkEnd w:id="1"/>
      <w:bookmarkEnd w:id="2"/>
      <w:bookmarkStart w:id="4" w:name="_Hlt98173547"/>
      <w:bookmarkEnd w:id="4"/>
      <w:r>
        <w:rPr>
          <w:rFonts w:hint="eastAsia" w:ascii="宋体" w:hAnsi="宋体" w:cs="宋体"/>
        </w:rPr>
        <w:t>招标公告</w:t>
      </w:r>
      <w:bookmarkEnd w:id="3"/>
    </w:p>
    <w:p>
      <w:pPr>
        <w:spacing w:line="456" w:lineRule="auto"/>
        <w:ind w:firstLine="480" w:firstLineChars="200"/>
        <w:rPr>
          <w:rFonts w:hint="eastAsia" w:ascii="宋体" w:hAnsi="宋体" w:cs="宋体"/>
          <w:szCs w:val="21"/>
        </w:rPr>
      </w:pPr>
      <w:r>
        <w:rPr>
          <w:rFonts w:hint="eastAsia" w:ascii="宋体" w:hAnsi="宋体" w:cs="宋体"/>
        </w:rPr>
        <w:t>广州穗科建设管理有限公司汕头分公司（以下简称“采购代理机构”）受</w:t>
      </w:r>
      <w:r>
        <w:rPr>
          <w:rFonts w:hint="eastAsia" w:ascii="宋体" w:hAnsi="宋体" w:cs="宋体"/>
          <w:szCs w:val="18"/>
        </w:rPr>
        <w:t>国家税务总局汕头市金平区税务局</w:t>
      </w:r>
      <w:r>
        <w:rPr>
          <w:rFonts w:hint="eastAsia" w:ascii="宋体" w:hAnsi="宋体" w:cs="宋体"/>
        </w:rPr>
        <w:t>（以下简称“采购人”）委托，就</w:t>
      </w:r>
      <w:r>
        <w:rPr>
          <w:rFonts w:hint="eastAsia" w:ascii="宋体" w:hAnsi="宋体" w:cs="宋体"/>
          <w:szCs w:val="18"/>
        </w:rPr>
        <w:t>国家税务总局汕头市金平区税务局2025-2027年物业管理服务采购项目进行</w:t>
      </w:r>
      <w:r>
        <w:rPr>
          <w:rFonts w:hint="eastAsia" w:ascii="宋体" w:hAnsi="宋体" w:cs="宋体"/>
        </w:rPr>
        <w:t>公开采购，</w:t>
      </w:r>
      <w:r>
        <w:rPr>
          <w:rFonts w:hint="eastAsia" w:ascii="宋体" w:hAnsi="宋体" w:cs="宋体"/>
          <w:szCs w:val="21"/>
        </w:rPr>
        <w:t>邀请合格投标人就下列内容提交密封投标。有关事项如下：</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一、项目编号：GZSKST25-B029</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二、项目名称：国家税务总局汕头市金平区税务局2025-2027年物业管理服务采购项目</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三、项目概况：</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1、采购内容：国家税务总局汕头市金平区税务局2025-2027年物业管理服务采购项目，详见采购文件“第二章 用户需求书”</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2、服务期限:2年（2025年5月至2027年4月，具体时间以合同签订为准）。</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3、项目预算（最高限价）：</w:t>
      </w:r>
      <w:r>
        <w:rPr>
          <w:rFonts w:hint="eastAsia" w:ascii="宋体" w:hAnsi="宋体" w:cs="宋体"/>
          <w:bCs/>
          <w:szCs w:val="21"/>
        </w:rPr>
        <w:t>人民币 ¥9,102,000.00元。</w:t>
      </w:r>
    </w:p>
    <w:p>
      <w:pPr>
        <w:adjustRightInd w:val="0"/>
        <w:snapToGrid w:val="0"/>
        <w:spacing w:line="456" w:lineRule="auto"/>
        <w:ind w:firstLine="480" w:firstLineChars="200"/>
        <w:rPr>
          <w:rFonts w:hint="eastAsia" w:ascii="宋体" w:hAnsi="宋体" w:cs="宋体"/>
          <w:szCs w:val="24"/>
        </w:rPr>
      </w:pPr>
      <w:r>
        <w:rPr>
          <w:rFonts w:hint="eastAsia" w:ascii="宋体" w:hAnsi="宋体" w:cs="宋体"/>
          <w:szCs w:val="24"/>
        </w:rPr>
        <w:t>4、投标人须对本项目所有内容进行投标，不允许仅对项目其中部分内容进行投标。</w:t>
      </w:r>
    </w:p>
    <w:p>
      <w:pPr>
        <w:adjustRightInd w:val="0"/>
        <w:snapToGrid w:val="0"/>
        <w:spacing w:line="456" w:lineRule="auto"/>
        <w:ind w:firstLine="480" w:firstLineChars="200"/>
        <w:rPr>
          <w:rFonts w:hint="eastAsia" w:ascii="宋体" w:hAnsi="宋体" w:cs="宋体"/>
          <w:szCs w:val="24"/>
        </w:rPr>
      </w:pPr>
      <w:r>
        <w:rPr>
          <w:rFonts w:hint="eastAsia" w:ascii="宋体" w:hAnsi="宋体" w:cs="宋体"/>
          <w:szCs w:val="24"/>
        </w:rPr>
        <w:t>四、投标人资格条件：</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1、投标人应具备《中华人民共和国政府采购法》第二十二条规定的条件。</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1.1、具有独立承担民事责任的能力：提供在中华人民共和国境内注册的法人或其他组织的营业执照复印件（或事业单位法人证书，或社会团体法人登记证书）。分支机构参与投标的，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1.2、有依法缴纳税收和社会保障资金的良好记录：提供2024年度任意1个月缴纳税收和社会保险的凭据证明材料复印件；如依法免税或不需要缴纳社会保障资金的，应提供相应文件证明。</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1.3、具有良好的商业信誉和健全的财务会计制度：提供2023年度财务状况报告或2024年度任意1个月的财务状况报告复印件，或银行出具的资信证明材料复印件 。</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1.4、履行合同所必需的设备和专业技术能力：提供履行合同所必需的设备和专业技术能力的书面声明（提供《投标人资格声明函》）；</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1.5、参加采购活动前3年内，在经营活动中没有重大违法记录：（提供《参加政府采购活动前三年内在经营活动中没有重大违法记录的声明函》）。 重大违法记录，是指供应商因违法经营受到刑事处罚或者责令停产停业、吊销许可证或者执照、较大数额罚款等行政处罚。（根据《财政部关于</w:t>
      </w:r>
      <w:r>
        <w:rPr>
          <w:rFonts w:hint="eastAsia" w:hAnsi="宋体" w:cs="宋体"/>
          <w:kern w:val="2"/>
          <w:sz w:val="24"/>
          <w:szCs w:val="24"/>
          <w:lang w:val="en-US" w:eastAsia="zh-CN"/>
        </w:rPr>
        <w:t>&lt;中华人民共和国政府采购法实施条例&gt;第十九条第一款“较大数额罚款”具体使用问题</w:t>
      </w:r>
      <w:r>
        <w:rPr>
          <w:rFonts w:hint="eastAsia" w:hAnsi="宋体" w:cs="宋体"/>
          <w:kern w:val="2"/>
          <w:sz w:val="24"/>
          <w:szCs w:val="24"/>
        </w:rPr>
        <w:t>的意见》财库〔2022〕3号文，“较大数额罚款”认定为200万元以上的罚款，法律、行政法规以及国务院有关部门明确规定相关领域“较大数额罚款”标准高于200万元的，从其规定）；</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2、落实政府采购政策需满足的资格要求：本项目属于服务项目，且专门面向小微企业采购。投标人须为符合本项目采购标的对应行业（物业管理）划分标准的小型、微型企业（监狱企业、残疾人福利单位视同小型、微型企业）。注：小型、微型企业以投标人填写的《中小企业声明函》（见投标格式）为判定标准，残疾人福利性单位以投标人填写的《残疾人福利性单位声明函》（见投标格式）为判定标准，监狱企业须投标人提供由省级以上监狱管理局、戒毒管理局（含新疆生产建设兵团）出具的属于监狱企业的证明文件，否则不予认定。</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3、本项目的特定资格要求：</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3.1、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 (响应) 截止时间当天在“信用中国”网站 (www.creditchina.gov.cn) 及中国政府采购网( http://www.ccgp.gov.cn/) 查询结果为准，如相关失信记录已失效，投标人需提供相关证明资料)；</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不得再参与本项目投标（响应）。投标人应在《投标人资格声明函》中如实做出承诺；</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3.3、投标人必须满足以下条件之一：</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①具有《保安服务许可证》，投标时提交许可证复印件并加盖投标人公章；</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②投标时承诺签订合同之后按《保安服务管理条例》的要求到公安机关备案（承诺函格式自拟）。</w:t>
      </w:r>
    </w:p>
    <w:p>
      <w:pPr>
        <w:pStyle w:val="59"/>
        <w:numPr>
          <w:ilvl w:val="0"/>
          <w:numId w:val="16"/>
        </w:numPr>
        <w:spacing w:line="456" w:lineRule="auto"/>
        <w:ind w:firstLine="480" w:firstLineChars="200"/>
        <w:rPr>
          <w:rFonts w:hint="eastAsia" w:hAnsi="宋体" w:cs="宋体"/>
          <w:kern w:val="2"/>
          <w:sz w:val="24"/>
          <w:szCs w:val="24"/>
        </w:rPr>
      </w:pPr>
      <w:r>
        <w:rPr>
          <w:rFonts w:hint="eastAsia" w:hAnsi="宋体" w:cs="宋体"/>
          <w:kern w:val="2"/>
          <w:sz w:val="24"/>
          <w:szCs w:val="24"/>
        </w:rPr>
        <w:t>本项目不接受联合体投标，不允许分包、转包。</w:t>
      </w:r>
    </w:p>
    <w:p>
      <w:pPr>
        <w:pStyle w:val="59"/>
        <w:numPr>
          <w:ilvl w:val="0"/>
          <w:numId w:val="16"/>
        </w:numPr>
        <w:spacing w:line="456" w:lineRule="auto"/>
        <w:ind w:firstLine="480" w:firstLineChars="200"/>
        <w:rPr>
          <w:rFonts w:hint="eastAsia" w:hAnsi="宋体" w:cs="宋体"/>
          <w:kern w:val="2"/>
          <w:sz w:val="24"/>
          <w:szCs w:val="24"/>
        </w:rPr>
      </w:pPr>
      <w:r>
        <w:rPr>
          <w:rFonts w:hint="eastAsia" w:hAnsi="宋体" w:cs="宋体"/>
          <w:kern w:val="2"/>
          <w:sz w:val="24"/>
          <w:szCs w:val="24"/>
        </w:rPr>
        <w:t>已登记报名并获取本项目采购文件。</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五、获取采购文件及报名登记时间。</w:t>
      </w:r>
    </w:p>
    <w:p>
      <w:pPr>
        <w:pStyle w:val="2"/>
        <w:spacing w:line="360" w:lineRule="auto"/>
        <w:ind w:left="480" w:firstLine="480"/>
        <w:rPr>
          <w:rFonts w:hint="eastAsia" w:cs="宋体"/>
          <w:b w:val="0"/>
          <w:bCs/>
          <w:szCs w:val="21"/>
        </w:rPr>
      </w:pPr>
      <w:r>
        <w:rPr>
          <w:rFonts w:hint="eastAsia" w:cs="宋体"/>
          <w:b w:val="0"/>
          <w:bCs/>
          <w:szCs w:val="21"/>
        </w:rPr>
        <w:t>时间</w:t>
      </w:r>
      <w:r>
        <w:rPr>
          <w:rFonts w:hint="eastAsia" w:cs="宋体"/>
          <w:b w:val="0"/>
          <w:bCs/>
          <w:szCs w:val="21"/>
          <w:highlight w:val="none"/>
        </w:rPr>
        <w:t>： 2025年03月</w:t>
      </w:r>
      <w:r>
        <w:rPr>
          <w:rFonts w:hint="eastAsia" w:cs="宋体"/>
          <w:b w:val="0"/>
          <w:bCs/>
          <w:szCs w:val="21"/>
          <w:highlight w:val="none"/>
          <w:lang w:val="en-US" w:eastAsia="zh-CN"/>
        </w:rPr>
        <w:t>26</w:t>
      </w:r>
      <w:r>
        <w:rPr>
          <w:rFonts w:hint="eastAsia" w:cs="宋体"/>
          <w:b w:val="0"/>
          <w:bCs/>
          <w:szCs w:val="21"/>
          <w:highlight w:val="none"/>
        </w:rPr>
        <w:t>日 至 2025年0</w:t>
      </w:r>
      <w:r>
        <w:rPr>
          <w:rFonts w:hint="eastAsia" w:cs="宋体"/>
          <w:b w:val="0"/>
          <w:bCs/>
          <w:szCs w:val="21"/>
          <w:highlight w:val="none"/>
          <w:lang w:val="en-US" w:eastAsia="zh-CN"/>
        </w:rPr>
        <w:t>4</w:t>
      </w:r>
      <w:r>
        <w:rPr>
          <w:rFonts w:hint="eastAsia" w:cs="宋体"/>
          <w:b w:val="0"/>
          <w:bCs/>
          <w:szCs w:val="21"/>
          <w:highlight w:val="none"/>
        </w:rPr>
        <w:t>月</w:t>
      </w:r>
      <w:r>
        <w:rPr>
          <w:rFonts w:hint="eastAsia" w:cs="宋体"/>
          <w:b w:val="0"/>
          <w:bCs/>
          <w:szCs w:val="21"/>
          <w:highlight w:val="none"/>
          <w:lang w:val="en-US" w:eastAsia="zh-CN"/>
        </w:rPr>
        <w:t>01</w:t>
      </w:r>
      <w:r>
        <w:rPr>
          <w:rFonts w:hint="eastAsia" w:cs="宋体"/>
          <w:b w:val="0"/>
          <w:bCs/>
          <w:szCs w:val="21"/>
          <w:highlight w:val="none"/>
        </w:rPr>
        <w:t>日 ，</w:t>
      </w:r>
      <w:r>
        <w:rPr>
          <w:rFonts w:hint="eastAsia" w:cs="宋体"/>
          <w:b w:val="0"/>
          <w:bCs/>
          <w:szCs w:val="21"/>
        </w:rPr>
        <w:t>每天上午 09:00:00 至 12:00:00 ，下午 14:30:00 至 17:30:00 （北京时间,法定节假日除外）</w:t>
      </w:r>
    </w:p>
    <w:p>
      <w:pPr>
        <w:pStyle w:val="2"/>
        <w:spacing w:line="360" w:lineRule="auto"/>
        <w:ind w:left="480" w:firstLine="480"/>
        <w:rPr>
          <w:rFonts w:hint="eastAsia" w:cs="宋体"/>
          <w:b w:val="0"/>
          <w:bCs/>
          <w:szCs w:val="21"/>
        </w:rPr>
      </w:pPr>
      <w:r>
        <w:rPr>
          <w:rFonts w:hint="eastAsia" w:cs="宋体"/>
          <w:b w:val="0"/>
          <w:bCs/>
          <w:szCs w:val="21"/>
        </w:rPr>
        <w:t>地点：中国政府采购网https://www.ccgp.gov.cn/</w:t>
      </w:r>
    </w:p>
    <w:p>
      <w:pPr>
        <w:pStyle w:val="2"/>
        <w:spacing w:line="360" w:lineRule="auto"/>
        <w:ind w:left="480" w:firstLine="480"/>
        <w:rPr>
          <w:rFonts w:hint="eastAsia" w:cs="宋体"/>
          <w:b w:val="0"/>
          <w:bCs/>
          <w:szCs w:val="21"/>
        </w:rPr>
      </w:pPr>
      <w:r>
        <w:rPr>
          <w:rFonts w:hint="eastAsia" w:cs="宋体"/>
          <w:b w:val="0"/>
          <w:bCs/>
          <w:szCs w:val="21"/>
        </w:rPr>
        <w:t>方式：通过在线下载获取</w:t>
      </w:r>
    </w:p>
    <w:p>
      <w:pPr>
        <w:pStyle w:val="2"/>
        <w:spacing w:line="360" w:lineRule="auto"/>
        <w:ind w:left="480" w:firstLine="480"/>
        <w:rPr>
          <w:rFonts w:hint="eastAsia" w:cs="宋体"/>
          <w:b w:val="0"/>
          <w:bCs/>
          <w:szCs w:val="21"/>
        </w:rPr>
      </w:pPr>
      <w:r>
        <w:rPr>
          <w:rFonts w:hint="eastAsia" w:cs="宋体"/>
          <w:b w:val="0"/>
          <w:bCs/>
          <w:szCs w:val="21"/>
        </w:rPr>
        <w:t>售价： 免费获取</w:t>
      </w:r>
    </w:p>
    <w:p>
      <w:pPr>
        <w:adjustRightInd w:val="0"/>
        <w:snapToGrid w:val="0"/>
        <w:spacing w:line="456" w:lineRule="auto"/>
        <w:ind w:firstLine="480" w:firstLineChars="200"/>
        <w:rPr>
          <w:rFonts w:hint="eastAsia" w:ascii="宋体" w:hAnsi="宋体" w:cs="宋体"/>
          <w:b/>
          <w:szCs w:val="21"/>
        </w:rPr>
      </w:pPr>
      <w:r>
        <w:rPr>
          <w:rFonts w:hint="eastAsia" w:ascii="宋体" w:hAnsi="宋体" w:cs="宋体"/>
          <w:bCs/>
          <w:szCs w:val="21"/>
        </w:rPr>
        <w:t xml:space="preserve">   </w:t>
      </w:r>
      <w:r>
        <w:rPr>
          <w:rFonts w:hint="eastAsia" w:ascii="宋体" w:hAnsi="宋体" w:cs="宋体"/>
          <w:b/>
          <w:szCs w:val="21"/>
        </w:rPr>
        <w:t>说明：获取采购文件后，投标人代表须下载附件“投标人报名表”发往采购代理机构邮箱（3252316415@qq.com）进行报名</w:t>
      </w:r>
      <w:r>
        <w:rPr>
          <w:rFonts w:hint="eastAsia" w:ascii="宋体" w:hAnsi="宋体" w:cs="宋体"/>
          <w:b/>
          <w:szCs w:val="21"/>
          <w:lang w:eastAsia="zh-CN"/>
        </w:rPr>
        <w:t>并</w:t>
      </w:r>
      <w:r>
        <w:rPr>
          <w:rFonts w:hint="eastAsia" w:ascii="宋体" w:hAnsi="宋体" w:cs="宋体"/>
          <w:b/>
          <w:szCs w:val="21"/>
        </w:rPr>
        <w:t>获取代理机构回执即视为已登记报名成功。</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六、投标文件递交截止时点：2025年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日上午</w:t>
      </w:r>
      <w:r>
        <w:rPr>
          <w:rFonts w:hint="eastAsia" w:ascii="宋体" w:hAnsi="宋体" w:cs="宋体"/>
          <w:szCs w:val="21"/>
          <w:lang w:val="en-US" w:eastAsia="zh-CN"/>
        </w:rPr>
        <w:t>0</w:t>
      </w:r>
      <w:r>
        <w:rPr>
          <w:rFonts w:hint="eastAsia" w:ascii="宋体" w:hAnsi="宋体" w:cs="宋体"/>
          <w:szCs w:val="21"/>
        </w:rPr>
        <w:t>9时30分。</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七、投标文件递交地点：汕头市金平区东厦路1号世纪海岸雅园6栋1810房，1811房。</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八、开标时间：2025年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日上午</w:t>
      </w:r>
      <w:r>
        <w:rPr>
          <w:rFonts w:hint="eastAsia" w:ascii="宋体" w:hAnsi="宋体" w:cs="宋体"/>
          <w:szCs w:val="21"/>
          <w:lang w:val="en-US" w:eastAsia="zh-CN"/>
        </w:rPr>
        <w:t>09</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九、开标地点：汕头市金平区东厦路1号世纪海岸雅园6栋1810房，1811房。</w:t>
      </w:r>
    </w:p>
    <w:p>
      <w:pPr>
        <w:spacing w:line="360" w:lineRule="auto"/>
        <w:ind w:firstLine="480" w:firstLineChars="200"/>
        <w:rPr>
          <w:rFonts w:hint="eastAsia" w:ascii="宋体" w:hAnsi="宋体" w:cs="宋体"/>
          <w:szCs w:val="21"/>
          <w:highlight w:val="none"/>
        </w:rPr>
      </w:pPr>
      <w:r>
        <w:rPr>
          <w:rFonts w:hint="eastAsia" w:ascii="宋体" w:hAnsi="宋体" w:cs="宋体"/>
          <w:szCs w:val="21"/>
        </w:rPr>
        <w:t>十、公告期限：自本公告发布之日起5个工作日</w:t>
      </w:r>
      <w:r>
        <w:rPr>
          <w:rFonts w:hint="eastAsia" w:ascii="宋体" w:hAnsi="宋体" w:cs="宋体"/>
          <w:szCs w:val="21"/>
          <w:highlight w:val="none"/>
        </w:rPr>
        <w:t>，2025年</w:t>
      </w:r>
      <w:r>
        <w:rPr>
          <w:rFonts w:hint="eastAsia" w:ascii="宋体" w:hAnsi="宋体" w:cs="宋体"/>
          <w:szCs w:val="21"/>
          <w:highlight w:val="none"/>
          <w:lang w:val="en-US" w:eastAsia="zh-CN"/>
        </w:rPr>
        <w:t>03</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日至2025年</w:t>
      </w:r>
      <w:r>
        <w:rPr>
          <w:rFonts w:hint="eastAsia" w:ascii="宋体" w:hAnsi="宋体" w:cs="宋体"/>
          <w:szCs w:val="21"/>
          <w:highlight w:val="none"/>
          <w:lang w:val="en-US" w:eastAsia="zh-CN"/>
        </w:rPr>
        <w:t>04</w:t>
      </w:r>
      <w:r>
        <w:rPr>
          <w:rFonts w:hint="eastAsia" w:ascii="宋体" w:hAnsi="宋体" w:cs="宋体"/>
          <w:szCs w:val="21"/>
          <w:highlight w:val="none"/>
        </w:rPr>
        <w:t>月</w:t>
      </w:r>
      <w:r>
        <w:rPr>
          <w:rFonts w:hint="eastAsia" w:ascii="宋体" w:hAnsi="宋体" w:cs="宋体"/>
          <w:szCs w:val="21"/>
          <w:highlight w:val="none"/>
          <w:lang w:val="en-US" w:eastAsia="zh-CN"/>
        </w:rPr>
        <w:t>01</w:t>
      </w:r>
      <w:r>
        <w:rPr>
          <w:rFonts w:hint="eastAsia" w:ascii="宋体" w:hAnsi="宋体" w:cs="宋体"/>
          <w:szCs w:val="21"/>
          <w:highlight w:val="none"/>
        </w:rPr>
        <w:t>日。</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十一、采购人、采购代理机构、政府采购监督管理机构的名称、地址和联系方式。</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1、采购人联系方式</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采购人名称：国家税务总局汕头市金平区税务局</w:t>
      </w:r>
      <w:bookmarkStart w:id="235" w:name="_GoBack"/>
      <w:bookmarkEnd w:id="235"/>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 xml:space="preserve">采购人联系人：黄小姐     </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采购人联系电话：0754-88639216</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lang w:eastAsia="zh-CN"/>
        </w:rPr>
        <w:t>采购人地址：广东省汕头市金砂路</w:t>
      </w:r>
      <w:r>
        <w:rPr>
          <w:rFonts w:hint="eastAsia" w:ascii="宋体" w:hAnsi="宋体" w:cs="宋体"/>
          <w:szCs w:val="21"/>
          <w:lang w:val="en-US" w:eastAsia="zh-CN"/>
        </w:rPr>
        <w:t>56号</w:t>
      </w:r>
      <w:r>
        <w:rPr>
          <w:rFonts w:hint="eastAsia" w:ascii="宋体" w:hAnsi="宋体" w:cs="宋体"/>
          <w:szCs w:val="21"/>
        </w:rPr>
        <w:t xml:space="preserve">  </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2、采购代理机构联系方式</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采购代理机构名称：广州穗科建设管理有限公司汕头分公司</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采购代理机构地址：广东省汕头市金平区东厦路1号世纪海岸雅园6栋1810房，1811房</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采购代理机构联系人：陈工</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 xml:space="preserve">采购代理机构联系电话：0754-87123068           </w:t>
      </w:r>
    </w:p>
    <w:p>
      <w:pPr>
        <w:snapToGrid w:val="0"/>
        <w:spacing w:line="456" w:lineRule="auto"/>
        <w:ind w:firstLine="480" w:firstLineChars="200"/>
        <w:rPr>
          <w:rFonts w:hint="eastAsia" w:ascii="宋体" w:hAnsi="宋体" w:cs="宋体"/>
          <w:szCs w:val="21"/>
        </w:rPr>
      </w:pPr>
      <w:r>
        <w:rPr>
          <w:rFonts w:hint="eastAsia" w:ascii="宋体" w:hAnsi="宋体" w:cs="宋体"/>
          <w:szCs w:val="21"/>
        </w:rPr>
        <w:t>采购代理机构传真：0754-87279975</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3、政府采购监督管理机构：财政部国库司政府采购监督裁决处</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地 址：北京市西城区月坛北小街13号中船宾馆北楼四层8401室、8403室</w:t>
      </w:r>
    </w:p>
    <w:p>
      <w:pPr>
        <w:adjustRightInd w:val="0"/>
        <w:snapToGrid w:val="0"/>
        <w:spacing w:line="456" w:lineRule="auto"/>
        <w:ind w:firstLine="480" w:firstLineChars="200"/>
        <w:rPr>
          <w:rFonts w:hint="eastAsia" w:ascii="宋体" w:hAnsi="宋体" w:cs="宋体"/>
          <w:szCs w:val="21"/>
        </w:rPr>
      </w:pPr>
      <w:r>
        <w:rPr>
          <w:rFonts w:hint="eastAsia" w:ascii="宋体" w:hAnsi="宋体" w:cs="宋体"/>
          <w:szCs w:val="21"/>
        </w:rPr>
        <w:t>电 话：010-68513070，68519967</w:t>
      </w:r>
    </w:p>
    <w:p>
      <w:pPr>
        <w:pStyle w:val="5"/>
        <w:rPr>
          <w:rFonts w:hint="eastAsia" w:hAnsi="宋体" w:cs="宋体"/>
          <w:sz w:val="24"/>
          <w:szCs w:val="21"/>
        </w:rPr>
      </w:pPr>
    </w:p>
    <w:p>
      <w:pPr>
        <w:adjustRightInd w:val="0"/>
        <w:snapToGrid w:val="0"/>
        <w:spacing w:line="456" w:lineRule="auto"/>
        <w:ind w:firstLine="480" w:firstLineChars="200"/>
        <w:jc w:val="right"/>
        <w:rPr>
          <w:rFonts w:hint="eastAsia" w:ascii="宋体" w:hAnsi="宋体" w:cs="宋体"/>
          <w:szCs w:val="21"/>
        </w:rPr>
      </w:pPr>
      <w:r>
        <w:rPr>
          <w:rFonts w:hint="eastAsia" w:ascii="宋体" w:hAnsi="宋体" w:cs="宋体"/>
          <w:szCs w:val="21"/>
        </w:rPr>
        <w:t>国家税务总局汕头市金平区税务局</w:t>
      </w:r>
    </w:p>
    <w:p>
      <w:pPr>
        <w:adjustRightInd w:val="0"/>
        <w:snapToGrid w:val="0"/>
        <w:spacing w:line="456" w:lineRule="auto"/>
        <w:ind w:firstLine="480" w:firstLineChars="200"/>
        <w:jc w:val="right"/>
        <w:rPr>
          <w:rFonts w:hint="eastAsia" w:ascii="宋体" w:hAnsi="宋体" w:cs="宋体"/>
          <w:szCs w:val="21"/>
        </w:rPr>
      </w:pPr>
      <w:r>
        <w:rPr>
          <w:rFonts w:hint="eastAsia" w:ascii="宋体" w:hAnsi="宋体" w:cs="宋体"/>
          <w:szCs w:val="21"/>
        </w:rPr>
        <w:t>广州穗科建设管理有限公司汕头分公司</w:t>
      </w:r>
    </w:p>
    <w:p>
      <w:pPr>
        <w:adjustRightInd w:val="0"/>
        <w:snapToGrid w:val="0"/>
        <w:spacing w:line="456" w:lineRule="auto"/>
        <w:ind w:firstLine="480" w:firstLineChars="200"/>
        <w:jc w:val="right"/>
        <w:rPr>
          <w:rFonts w:hint="eastAsia" w:ascii="宋体" w:hAnsi="宋体" w:cs="宋体"/>
          <w:sz w:val="21"/>
          <w:szCs w:val="21"/>
        </w:rPr>
      </w:pPr>
      <w:r>
        <w:rPr>
          <w:rFonts w:hint="eastAsia" w:ascii="宋体" w:hAnsi="宋体" w:cs="宋体"/>
          <w:szCs w:val="21"/>
        </w:rPr>
        <w:t>2025年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p>
    <w:p>
      <w:pPr>
        <w:rPr>
          <w:rFonts w:hint="eastAsia" w:ascii="宋体" w:hAnsi="宋体" w:cs="宋体"/>
        </w:rPr>
      </w:pPr>
    </w:p>
    <w:p>
      <w:pPr>
        <w:pStyle w:val="2"/>
        <w:ind w:left="480" w:firstLine="482"/>
        <w:rPr>
          <w:rFonts w:hint="eastAsia" w:cs="宋体"/>
        </w:rPr>
      </w:pPr>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6"/>
        <w:spacing w:line="360" w:lineRule="auto"/>
        <w:jc w:val="center"/>
        <w:rPr>
          <w:rFonts w:hint="eastAsia" w:ascii="宋体" w:hAnsi="宋体" w:cs="宋体"/>
        </w:rPr>
      </w:pPr>
      <w:bookmarkStart w:id="5" w:name="_Toc98175177"/>
      <w:bookmarkStart w:id="6" w:name="_Toc102300254"/>
      <w:bookmarkStart w:id="7" w:name="_Toc500229355"/>
    </w:p>
    <w:p>
      <w:pPr>
        <w:pStyle w:val="6"/>
        <w:spacing w:line="360" w:lineRule="auto"/>
        <w:jc w:val="center"/>
        <w:rPr>
          <w:rFonts w:hint="eastAsia" w:ascii="宋体" w:hAnsi="宋体" w:cs="宋体"/>
        </w:rPr>
      </w:pPr>
    </w:p>
    <w:p>
      <w:pPr>
        <w:rPr>
          <w:rFonts w:hint="eastAsia" w:ascii="宋体" w:hAnsi="宋体" w:cs="宋体"/>
        </w:rPr>
      </w:pPr>
    </w:p>
    <w:p>
      <w:pPr>
        <w:pStyle w:val="7"/>
        <w:rPr>
          <w:rFonts w:hint="eastAsia" w:ascii="宋体" w:hAnsi="宋体" w:eastAsia="宋体" w:cs="宋体"/>
        </w:rPr>
      </w:pPr>
    </w:p>
    <w:p>
      <w:pPr>
        <w:pStyle w:val="6"/>
        <w:spacing w:line="360" w:lineRule="auto"/>
        <w:jc w:val="center"/>
        <w:rPr>
          <w:rFonts w:hint="eastAsia" w:ascii="宋体" w:hAnsi="宋体" w:cs="宋体"/>
        </w:rPr>
      </w:pPr>
    </w:p>
    <w:p>
      <w:pPr>
        <w:rPr>
          <w:rFonts w:hint="eastAsia" w:ascii="宋体" w:hAnsi="宋体" w:cs="宋体"/>
        </w:rPr>
      </w:pPr>
    </w:p>
    <w:p>
      <w:pPr>
        <w:pStyle w:val="10"/>
        <w:rPr>
          <w:rFonts w:hint="eastAsia" w:ascii="宋体" w:hAnsi="宋体" w:cs="宋体"/>
        </w:rPr>
      </w:pPr>
    </w:p>
    <w:p>
      <w:pPr>
        <w:rPr>
          <w:rFonts w:hint="eastAsia" w:ascii="宋体" w:hAnsi="宋体" w:cs="宋体"/>
        </w:rPr>
      </w:pPr>
    </w:p>
    <w:p>
      <w:pPr>
        <w:pStyle w:val="6"/>
        <w:spacing w:line="360" w:lineRule="auto"/>
        <w:jc w:val="center"/>
        <w:rPr>
          <w:rFonts w:hint="eastAsia" w:ascii="宋体" w:hAnsi="宋体" w:cs="宋体"/>
        </w:rPr>
      </w:pPr>
      <w:bookmarkStart w:id="8" w:name="_Toc10545"/>
      <w:r>
        <w:rPr>
          <w:rFonts w:hint="eastAsia" w:ascii="宋体" w:hAnsi="宋体" w:cs="宋体"/>
        </w:rPr>
        <w:t xml:space="preserve">第二章 </w:t>
      </w:r>
      <w:bookmarkStart w:id="9" w:name="_Hlt98173553"/>
      <w:bookmarkEnd w:id="9"/>
      <w:r>
        <w:rPr>
          <w:rFonts w:hint="eastAsia" w:ascii="宋体" w:hAnsi="宋体" w:cs="宋体"/>
        </w:rPr>
        <w:t xml:space="preserve"> </w:t>
      </w:r>
      <w:bookmarkEnd w:id="5"/>
      <w:bookmarkEnd w:id="6"/>
      <w:r>
        <w:rPr>
          <w:rFonts w:hint="eastAsia" w:ascii="宋体" w:hAnsi="宋体" w:cs="宋体"/>
        </w:rPr>
        <w:t>用户需求书</w:t>
      </w:r>
      <w:bookmarkEnd w:id="7"/>
      <w:bookmarkEnd w:id="8"/>
    </w:p>
    <w:p>
      <w:pPr>
        <w:spacing w:line="560" w:lineRule="exact"/>
        <w:jc w:val="left"/>
        <w:rPr>
          <w:rFonts w:hint="eastAsia" w:ascii="宋体" w:hAnsi="宋体" w:cs="宋体"/>
          <w:b/>
          <w:szCs w:val="24"/>
        </w:rPr>
      </w:pPr>
      <w:r>
        <w:rPr>
          <w:rFonts w:hint="eastAsia" w:ascii="宋体" w:hAnsi="宋体" w:cs="宋体"/>
          <w:b/>
          <w:szCs w:val="24"/>
        </w:rPr>
        <w:t xml:space="preserve"> </w:t>
      </w: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spacing w:line="560" w:lineRule="exact"/>
        <w:ind w:firstLine="420" w:firstLineChars="200"/>
        <w:rPr>
          <w:rFonts w:hint="eastAsia" w:ascii="宋体" w:hAnsi="宋体" w:cs="宋体"/>
          <w:sz w:val="21"/>
          <w:szCs w:val="21"/>
        </w:rPr>
      </w:pPr>
      <w:bookmarkStart w:id="10" w:name="_Hlk173922159"/>
    </w:p>
    <w:p>
      <w:pPr>
        <w:pStyle w:val="2"/>
        <w:ind w:left="480" w:firstLine="422"/>
        <w:rPr>
          <w:rFonts w:hint="eastAsia" w:cs="宋体"/>
          <w:sz w:val="21"/>
          <w:szCs w:val="21"/>
        </w:rPr>
      </w:pPr>
    </w:p>
    <w:p>
      <w:pPr>
        <w:pStyle w:val="5"/>
        <w:rPr>
          <w:rFonts w:hint="eastAsia" w:hAnsi="宋体" w:cs="宋体"/>
          <w:sz w:val="21"/>
          <w:szCs w:val="21"/>
        </w:rPr>
      </w:pPr>
    </w:p>
    <w:p>
      <w:pPr>
        <w:rPr>
          <w:rFonts w:hint="eastAsia" w:ascii="宋体" w:hAnsi="宋体" w:cs="宋体"/>
          <w:sz w:val="21"/>
          <w:szCs w:val="21"/>
        </w:rPr>
      </w:pPr>
    </w:p>
    <w:p>
      <w:pPr>
        <w:pStyle w:val="2"/>
        <w:ind w:left="480" w:firstLine="422"/>
        <w:rPr>
          <w:rFonts w:hint="eastAsia" w:cs="宋体"/>
          <w:sz w:val="21"/>
          <w:szCs w:val="21"/>
        </w:rPr>
      </w:pPr>
    </w:p>
    <w:p>
      <w:pPr>
        <w:spacing w:line="360" w:lineRule="auto"/>
        <w:jc w:val="center"/>
        <w:rPr>
          <w:rFonts w:hint="eastAsia" w:ascii="宋体" w:hAnsi="宋体" w:cs="宋体"/>
          <w:sz w:val="32"/>
        </w:rPr>
      </w:pPr>
      <w:r>
        <w:rPr>
          <w:rFonts w:hint="eastAsia" w:ascii="宋体" w:hAnsi="宋体" w:cs="宋体"/>
          <w:sz w:val="32"/>
        </w:rPr>
        <w:t>目 录</w:t>
      </w:r>
    </w:p>
    <w:p>
      <w:pPr>
        <w:pStyle w:val="48"/>
        <w:tabs>
          <w:tab w:val="right" w:leader="dot" w:pos="9016"/>
          <w:tab w:val="clear" w:pos="8303"/>
        </w:tabs>
        <w:spacing w:after="60" w:line="360" w:lineRule="auto"/>
        <w:rPr>
          <w:rFonts w:hint="eastAsia" w:cs="宋体"/>
          <w:sz w:val="22"/>
        </w:rPr>
      </w:pPr>
      <w:r>
        <w:rPr>
          <w:rFonts w:hint="eastAsia" w:cs="宋体"/>
          <w:sz w:val="32"/>
        </w:rPr>
        <w:fldChar w:fldCharType="begin"/>
      </w:r>
      <w:r>
        <w:rPr>
          <w:rFonts w:hint="eastAsia" w:cs="宋体"/>
          <w:sz w:val="32"/>
        </w:rPr>
        <w:instrText xml:space="preserve">TOC \o "1-3" \h \z \u</w:instrText>
      </w:r>
      <w:r>
        <w:rPr>
          <w:rFonts w:hint="eastAsia" w:cs="宋体"/>
          <w:sz w:val="32"/>
        </w:rPr>
        <w:fldChar w:fldCharType="separate"/>
      </w:r>
      <w:r>
        <w:fldChar w:fldCharType="begin"/>
      </w:r>
      <w:r>
        <w:instrText xml:space="preserve"> HYPERLINK \l "_Toc256000000" </w:instrText>
      </w:r>
      <w:r>
        <w:fldChar w:fldCharType="separate"/>
      </w:r>
      <w:r>
        <w:rPr>
          <w:rStyle w:val="72"/>
          <w:rFonts w:hint="eastAsia" w:cs="宋体"/>
          <w:kern w:val="36"/>
        </w:rPr>
        <w:t>1项目概述</w:t>
      </w:r>
      <w:r>
        <w:rPr>
          <w:rFonts w:hint="eastAsia" w:cs="宋体"/>
        </w:rPr>
        <w:tab/>
      </w:r>
      <w:r>
        <w:rPr>
          <w:rFonts w:hint="eastAsia" w:cs="宋体"/>
        </w:rPr>
        <w:fldChar w:fldCharType="begin"/>
      </w:r>
      <w:r>
        <w:rPr>
          <w:rFonts w:hint="eastAsia" w:cs="宋体"/>
        </w:rPr>
        <w:instrText xml:space="preserve"> PAGEREF _Toc256000000 \h </w:instrText>
      </w:r>
      <w:r>
        <w:rPr>
          <w:rFonts w:hint="eastAsia" w:cs="宋体"/>
        </w:rPr>
        <w:fldChar w:fldCharType="separate"/>
      </w:r>
      <w:r>
        <w:rPr>
          <w:rFonts w:hint="eastAsia" w:cs="宋体"/>
        </w:rPr>
        <w:t>10</w:t>
      </w:r>
      <w:r>
        <w:rPr>
          <w:rFonts w:hint="eastAsia" w:cs="宋体"/>
        </w:rPr>
        <w:fldChar w:fldCharType="end"/>
      </w:r>
      <w:r>
        <w:rPr>
          <w:rFonts w:hint="eastAsia"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"_Toc256000001" </w:instrText>
      </w:r>
      <w:r>
        <w:fldChar w:fldCharType="separate"/>
      </w:r>
      <w:r>
        <w:rPr>
          <w:rStyle w:val="72"/>
          <w:rFonts w:hint="eastAsia" w:ascii="宋体" w:hAnsi="宋体" w:cs="宋体"/>
        </w:rPr>
        <w:t>1.1项目背景</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_Toc256000001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"_Toc256000002" </w:instrText>
      </w:r>
      <w:r>
        <w:fldChar w:fldCharType="separate"/>
      </w:r>
      <w:r>
        <w:rPr>
          <w:rStyle w:val="72"/>
          <w:rFonts w:hint="eastAsia" w:ascii="宋体" w:hAnsi="宋体" w:cs="宋体"/>
        </w:rPr>
        <w:t>1.1.1项目目的及背景</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_Toc256000002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"_Toc256000003" </w:instrText>
      </w:r>
      <w:r>
        <w:fldChar w:fldCharType="separate"/>
      </w:r>
      <w:r>
        <w:rPr>
          <w:rStyle w:val="72"/>
          <w:rFonts w:hint="eastAsia" w:ascii="宋体" w:hAnsi="宋体" w:cs="宋体"/>
        </w:rPr>
        <w:t>1.2项目内容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_Toc256000003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"_Toc256000004" </w:instrText>
      </w:r>
      <w:r>
        <w:fldChar w:fldCharType="separate"/>
      </w:r>
      <w:r>
        <w:rPr>
          <w:rStyle w:val="72"/>
          <w:rFonts w:hint="eastAsia" w:ascii="宋体" w:hAnsi="宋体" w:cs="宋体"/>
        </w:rPr>
        <w:t>1.2.1采购内容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_Toc256000004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"_Toc256000005" </w:instrText>
      </w:r>
      <w:r>
        <w:fldChar w:fldCharType="separate"/>
      </w:r>
      <w:r>
        <w:rPr>
          <w:rStyle w:val="72"/>
          <w:rFonts w:hint="eastAsia" w:ascii="宋体" w:hAnsi="宋体" w:cs="宋体"/>
        </w:rPr>
        <w:t>1.2.2项目实施要求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_Toc256000005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"_Toc256000006" </w:instrText>
      </w:r>
      <w:r>
        <w:fldChar w:fldCharType="separate"/>
      </w:r>
      <w:r>
        <w:rPr>
          <w:rStyle w:val="72"/>
          <w:rFonts w:hint="eastAsia" w:ascii="宋体" w:hAnsi="宋体" w:cs="宋体"/>
        </w:rPr>
        <w:t>1.3其他要求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_Toc256000006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"_Toc256000007" </w:instrText>
      </w:r>
      <w:r>
        <w:fldChar w:fldCharType="separate"/>
      </w:r>
      <w:r>
        <w:rPr>
          <w:rStyle w:val="72"/>
          <w:rFonts w:hint="eastAsia" w:ascii="宋体" w:hAnsi="宋体" w:cs="宋体"/>
        </w:rPr>
        <w:t>1.3.1采购人提供供应商使用以下的场地、设施、设备、材料等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_Toc256000007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48"/>
        <w:tabs>
          <w:tab w:val="right" w:leader="dot" w:pos="9016"/>
          <w:tab w:val="clear" w:pos="8303"/>
        </w:tabs>
        <w:spacing w:after="60" w:line="360" w:lineRule="auto"/>
        <w:rPr>
          <w:rFonts w:hint="eastAsia" w:cs="宋体"/>
          <w:sz w:val="22"/>
        </w:rPr>
      </w:pPr>
      <w:r>
        <w:fldChar w:fldCharType="begin"/>
      </w:r>
      <w:r>
        <w:instrText xml:space="preserve"> HYPERLINK \l "_Toc256000008" </w:instrText>
      </w:r>
      <w:r>
        <w:fldChar w:fldCharType="separate"/>
      </w:r>
      <w:r>
        <w:rPr>
          <w:rStyle w:val="72"/>
          <w:rFonts w:hint="eastAsia" w:cs="宋体"/>
          <w:kern w:val="36"/>
        </w:rPr>
        <w:t>2投标/响应要求</w:t>
      </w:r>
      <w:r>
        <w:rPr>
          <w:rFonts w:hint="eastAsia" w:cs="宋体"/>
        </w:rPr>
        <w:tab/>
      </w:r>
      <w:r>
        <w:rPr>
          <w:rFonts w:hint="eastAsia" w:cs="宋体"/>
        </w:rPr>
        <w:fldChar w:fldCharType="begin"/>
      </w:r>
      <w:r>
        <w:rPr>
          <w:rFonts w:hint="eastAsia" w:cs="宋体"/>
        </w:rPr>
        <w:instrText xml:space="preserve"> PAGEREF _Toc256000008 \h </w:instrText>
      </w:r>
      <w:r>
        <w:rPr>
          <w:rFonts w:hint="eastAsia" w:cs="宋体"/>
        </w:rPr>
        <w:fldChar w:fldCharType="separate"/>
      </w:r>
      <w:r>
        <w:rPr>
          <w:rFonts w:hint="eastAsia" w:cs="宋体"/>
        </w:rPr>
        <w:t>28</w:t>
      </w:r>
      <w:r>
        <w:rPr>
          <w:rFonts w:hint="eastAsia" w:cs="宋体"/>
        </w:rPr>
        <w:fldChar w:fldCharType="end"/>
      </w:r>
      <w:r>
        <w:rPr>
          <w:rFonts w:hint="eastAsia"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"_Toc256000009" </w:instrText>
      </w:r>
      <w:r>
        <w:fldChar w:fldCharType="separate"/>
      </w:r>
      <w:r>
        <w:rPr>
          <w:rStyle w:val="72"/>
          <w:rFonts w:hint="eastAsia" w:ascii="宋体" w:hAnsi="宋体" w:cs="宋体"/>
        </w:rPr>
        <w:t>2.1对供应商的要求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_Toc256000009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"_Toc256000010" </w:instrText>
      </w:r>
      <w:r>
        <w:fldChar w:fldCharType="separate"/>
      </w:r>
      <w:r>
        <w:rPr>
          <w:rStyle w:val="72"/>
          <w:rFonts w:hint="eastAsia" w:ascii="宋体" w:hAnsi="宋体" w:cs="宋体"/>
        </w:rPr>
        <w:t>2.1.1必备资质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_Toc256000010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"_Toc256000011" </w:instrText>
      </w:r>
      <w:r>
        <w:fldChar w:fldCharType="separate"/>
      </w:r>
      <w:r>
        <w:rPr>
          <w:rStyle w:val="72"/>
          <w:rFonts w:hint="eastAsia" w:ascii="宋体" w:hAnsi="宋体" w:cs="宋体"/>
        </w:rPr>
        <w:t>2.1.2优选指标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_Toc256000011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"_Toc256000012" </w:instrText>
      </w:r>
      <w:r>
        <w:fldChar w:fldCharType="separate"/>
      </w:r>
      <w:r>
        <w:rPr>
          <w:rStyle w:val="72"/>
          <w:rFonts w:hint="eastAsia" w:ascii="宋体" w:hAnsi="宋体" w:cs="宋体"/>
        </w:rPr>
        <w:t>2.1.3是否允许联合体</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_Toc256000012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"_Toc256000013" </w:instrText>
      </w:r>
      <w:r>
        <w:fldChar w:fldCharType="separate"/>
      </w:r>
      <w:r>
        <w:rPr>
          <w:rStyle w:val="72"/>
          <w:rFonts w:hint="eastAsia" w:ascii="宋体" w:hAnsi="宋体" w:cs="宋体"/>
        </w:rPr>
        <w:t>2.1.4是否专门面向中小企业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_Toc256000013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"_Toc256000014" </w:instrText>
      </w:r>
      <w:r>
        <w:fldChar w:fldCharType="separate"/>
      </w:r>
      <w:r>
        <w:rPr>
          <w:rStyle w:val="72"/>
          <w:rFonts w:hint="eastAsia" w:ascii="宋体" w:hAnsi="宋体" w:cs="宋体"/>
        </w:rPr>
        <w:t>2.1.5其他要求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_Toc256000014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"_Toc256000015" </w:instrText>
      </w:r>
      <w:r>
        <w:fldChar w:fldCharType="separate"/>
      </w:r>
      <w:r>
        <w:rPr>
          <w:rStyle w:val="72"/>
          <w:rFonts w:hint="eastAsia" w:ascii="宋体" w:hAnsi="宋体" w:cs="宋体"/>
        </w:rPr>
        <w:t>2.2技术部分投标/响应内容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_Toc256000015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"_Toc256000016" </w:instrText>
      </w:r>
      <w:r>
        <w:fldChar w:fldCharType="separate"/>
      </w:r>
      <w:r>
        <w:rPr>
          <w:rStyle w:val="72"/>
          <w:rFonts w:hint="eastAsia" w:ascii="宋体" w:hAnsi="宋体" w:cs="宋体"/>
        </w:rPr>
        <w:t>2.2.1投标/响应方案要求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_Toc256000016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"_Toc256000017" </w:instrText>
      </w:r>
      <w:r>
        <w:fldChar w:fldCharType="separate"/>
      </w:r>
      <w:r>
        <w:rPr>
          <w:rStyle w:val="72"/>
          <w:rFonts w:hint="eastAsia" w:ascii="宋体" w:hAnsi="宋体" w:cs="宋体"/>
        </w:rPr>
        <w:t>2.2.2实质性响应要求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_Toc256000017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48"/>
        <w:tabs>
          <w:tab w:val="right" w:leader="dot" w:pos="9016"/>
          <w:tab w:val="clear" w:pos="8303"/>
        </w:tabs>
        <w:spacing w:after="60" w:line="360" w:lineRule="auto"/>
        <w:rPr>
          <w:rFonts w:hint="eastAsia" w:cs="宋体"/>
          <w:sz w:val="22"/>
        </w:rPr>
      </w:pPr>
      <w:r>
        <w:fldChar w:fldCharType="begin"/>
      </w:r>
      <w:r>
        <w:instrText xml:space="preserve"> HYPERLINK \l "_Toc256000018" </w:instrText>
      </w:r>
      <w:r>
        <w:fldChar w:fldCharType="separate"/>
      </w:r>
      <w:r>
        <w:rPr>
          <w:rStyle w:val="72"/>
          <w:rFonts w:hint="eastAsia" w:cs="宋体"/>
          <w:kern w:val="36"/>
        </w:rPr>
        <w:t>3项目需求</w:t>
      </w:r>
      <w:r>
        <w:rPr>
          <w:rFonts w:hint="eastAsia" w:cs="宋体"/>
        </w:rPr>
        <w:tab/>
      </w:r>
      <w:r>
        <w:rPr>
          <w:rFonts w:hint="eastAsia" w:cs="宋体"/>
        </w:rPr>
        <w:fldChar w:fldCharType="begin"/>
      </w:r>
      <w:r>
        <w:rPr>
          <w:rFonts w:hint="eastAsia" w:cs="宋体"/>
        </w:rPr>
        <w:instrText xml:space="preserve"> PAGEREF _Toc256000018 \h </w:instrText>
      </w:r>
      <w:r>
        <w:rPr>
          <w:rFonts w:hint="eastAsia" w:cs="宋体"/>
        </w:rPr>
        <w:fldChar w:fldCharType="separate"/>
      </w:r>
      <w:r>
        <w:rPr>
          <w:rFonts w:hint="eastAsia" w:cs="宋体"/>
        </w:rPr>
        <w:t>30</w:t>
      </w:r>
      <w:r>
        <w:rPr>
          <w:rFonts w:hint="eastAsia" w:cs="宋体"/>
        </w:rPr>
        <w:fldChar w:fldCharType="end"/>
      </w:r>
      <w:r>
        <w:rPr>
          <w:rFonts w:hint="eastAsia"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"_Toc256000019" </w:instrText>
      </w:r>
      <w:r>
        <w:fldChar w:fldCharType="separate"/>
      </w:r>
      <w:r>
        <w:rPr>
          <w:rStyle w:val="72"/>
          <w:rFonts w:hint="eastAsia" w:ascii="宋体" w:hAnsi="宋体" w:cs="宋体"/>
        </w:rPr>
        <w:t>3.1总体要求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_Toc256000019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"_Toc256000020" </w:instrText>
      </w:r>
      <w:r>
        <w:fldChar w:fldCharType="separate"/>
      </w:r>
      <w:r>
        <w:rPr>
          <w:rStyle w:val="72"/>
          <w:rFonts w:hint="eastAsia" w:ascii="宋体" w:hAnsi="宋体" w:cs="宋体"/>
        </w:rPr>
        <w:t>3.2服务内容和要求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_Toc256000020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"_Toc256000021" </w:instrText>
      </w:r>
      <w:r>
        <w:fldChar w:fldCharType="separate"/>
      </w:r>
      <w:r>
        <w:rPr>
          <w:rStyle w:val="72"/>
          <w:rFonts w:hint="eastAsia" w:ascii="宋体" w:hAnsi="宋体" w:cs="宋体"/>
        </w:rPr>
        <w:t>3.2.1技术和服务客观指标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_Toc256000021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48"/>
        <w:tabs>
          <w:tab w:val="right" w:leader="dot" w:pos="9016"/>
          <w:tab w:val="clear" w:pos="8303"/>
        </w:tabs>
        <w:spacing w:after="60" w:line="360" w:lineRule="auto"/>
        <w:rPr>
          <w:rFonts w:hint="eastAsia" w:cs="宋体"/>
          <w:sz w:val="22"/>
        </w:rPr>
      </w:pPr>
      <w:r>
        <w:fldChar w:fldCharType="begin"/>
      </w:r>
      <w:r>
        <w:instrText xml:space="preserve"> HYPERLINK \l "_Toc256000022" </w:instrText>
      </w:r>
      <w:r>
        <w:fldChar w:fldCharType="separate"/>
      </w:r>
      <w:r>
        <w:rPr>
          <w:rStyle w:val="72"/>
          <w:rFonts w:hint="eastAsia" w:cs="宋体"/>
          <w:kern w:val="36"/>
        </w:rPr>
        <w:t>4人员要求</w:t>
      </w:r>
      <w:r>
        <w:rPr>
          <w:rFonts w:hint="eastAsia" w:cs="宋体"/>
        </w:rPr>
        <w:tab/>
      </w:r>
      <w:r>
        <w:rPr>
          <w:rFonts w:hint="eastAsia" w:cs="宋体"/>
        </w:rPr>
        <w:fldChar w:fldCharType="begin"/>
      </w:r>
      <w:r>
        <w:rPr>
          <w:rFonts w:hint="eastAsia" w:cs="宋体"/>
        </w:rPr>
        <w:instrText xml:space="preserve"> PAGEREF _Toc256000022 \h </w:instrText>
      </w:r>
      <w:r>
        <w:rPr>
          <w:rFonts w:hint="eastAsia" w:cs="宋体"/>
        </w:rPr>
        <w:fldChar w:fldCharType="separate"/>
      </w:r>
      <w:r>
        <w:rPr>
          <w:rFonts w:hint="eastAsia" w:cs="宋体"/>
        </w:rPr>
        <w:t>40</w:t>
      </w:r>
      <w:r>
        <w:rPr>
          <w:rFonts w:hint="eastAsia" w:cs="宋体"/>
        </w:rPr>
        <w:fldChar w:fldCharType="end"/>
      </w:r>
      <w:r>
        <w:rPr>
          <w:rFonts w:hint="eastAsia"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"_Toc256000023" </w:instrText>
      </w:r>
      <w:r>
        <w:fldChar w:fldCharType="separate"/>
      </w:r>
      <w:r>
        <w:rPr>
          <w:rStyle w:val="72"/>
          <w:rFonts w:hint="eastAsia" w:ascii="宋体" w:hAnsi="宋体" w:cs="宋体"/>
        </w:rPr>
        <w:t>4.1总体要求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_Toc256000023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"_Toc256000024" </w:instrText>
      </w:r>
      <w:r>
        <w:fldChar w:fldCharType="separate"/>
      </w:r>
      <w:r>
        <w:rPr>
          <w:rStyle w:val="72"/>
          <w:rFonts w:hint="eastAsia" w:ascii="宋体" w:hAnsi="宋体" w:cs="宋体"/>
        </w:rPr>
        <w:t>4.2管理团队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_Toc256000024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"_Toc256000025" </w:instrText>
      </w:r>
      <w:r>
        <w:fldChar w:fldCharType="separate"/>
      </w:r>
      <w:r>
        <w:rPr>
          <w:rStyle w:val="72"/>
          <w:rFonts w:hint="eastAsia" w:ascii="宋体" w:hAnsi="宋体" w:cs="宋体"/>
        </w:rPr>
        <w:t>4.2.1项目经理及内务助理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_Toc256000025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"_Toc256000026" </w:instrText>
      </w:r>
      <w:r>
        <w:fldChar w:fldCharType="separate"/>
      </w:r>
      <w:r>
        <w:rPr>
          <w:rStyle w:val="72"/>
          <w:rFonts w:hint="eastAsia" w:ascii="宋体" w:hAnsi="宋体" w:cs="宋体"/>
        </w:rPr>
        <w:t>4.3技术团队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_Toc256000026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"_Toc256000027" </w:instrText>
      </w:r>
      <w:r>
        <w:fldChar w:fldCharType="separate"/>
      </w:r>
      <w:r>
        <w:rPr>
          <w:rStyle w:val="72"/>
          <w:rFonts w:hint="eastAsia" w:ascii="宋体" w:hAnsi="宋体" w:cs="宋体"/>
        </w:rPr>
        <w:t>4.4优选资质/优选指标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_Toc256000027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48"/>
        <w:tabs>
          <w:tab w:val="right" w:leader="dot" w:pos="9016"/>
          <w:tab w:val="clear" w:pos="8303"/>
        </w:tabs>
        <w:spacing w:after="60" w:line="360" w:lineRule="auto"/>
        <w:rPr>
          <w:rFonts w:hint="eastAsia" w:cs="宋体"/>
          <w:sz w:val="22"/>
        </w:rPr>
      </w:pPr>
      <w:r>
        <w:fldChar w:fldCharType="begin"/>
      </w:r>
      <w:r>
        <w:instrText xml:space="preserve"> HYPERLINK \l "_Toc256000028" </w:instrText>
      </w:r>
      <w:r>
        <w:fldChar w:fldCharType="separate"/>
      </w:r>
      <w:r>
        <w:rPr>
          <w:rStyle w:val="72"/>
          <w:rFonts w:hint="eastAsia" w:cs="宋体"/>
          <w:kern w:val="36"/>
        </w:rPr>
        <w:t>5管理实施要求</w:t>
      </w:r>
      <w:r>
        <w:rPr>
          <w:rFonts w:hint="eastAsia" w:cs="宋体"/>
        </w:rPr>
        <w:tab/>
      </w:r>
      <w:r>
        <w:rPr>
          <w:rFonts w:hint="eastAsia" w:cs="宋体"/>
        </w:rPr>
        <w:fldChar w:fldCharType="begin"/>
      </w:r>
      <w:r>
        <w:rPr>
          <w:rFonts w:hint="eastAsia" w:cs="宋体"/>
        </w:rPr>
        <w:instrText xml:space="preserve"> PAGEREF _Toc256000028 \h </w:instrText>
      </w:r>
      <w:r>
        <w:rPr>
          <w:rFonts w:hint="eastAsia" w:cs="宋体"/>
        </w:rPr>
        <w:fldChar w:fldCharType="separate"/>
      </w:r>
      <w:r>
        <w:rPr>
          <w:rFonts w:hint="eastAsia" w:cs="宋体"/>
        </w:rPr>
        <w:t>41</w:t>
      </w:r>
      <w:r>
        <w:rPr>
          <w:rFonts w:hint="eastAsia" w:cs="宋体"/>
        </w:rPr>
        <w:fldChar w:fldCharType="end"/>
      </w:r>
      <w:r>
        <w:rPr>
          <w:rFonts w:hint="eastAsia" w:cs="宋体"/>
        </w:rPr>
        <w:fldChar w:fldCharType="end"/>
      </w:r>
    </w:p>
    <w:p>
      <w:pPr>
        <w:pStyle w:val="48"/>
        <w:tabs>
          <w:tab w:val="right" w:leader="dot" w:pos="9016"/>
          <w:tab w:val="clear" w:pos="8303"/>
        </w:tabs>
        <w:spacing w:after="60" w:line="360" w:lineRule="auto"/>
        <w:rPr>
          <w:rFonts w:hint="eastAsia" w:cs="宋体"/>
          <w:sz w:val="22"/>
        </w:rPr>
      </w:pPr>
      <w:r>
        <w:fldChar w:fldCharType="begin"/>
      </w:r>
      <w:r>
        <w:instrText xml:space="preserve"> HYPERLINK \l "_Toc256000029" </w:instrText>
      </w:r>
      <w:r>
        <w:fldChar w:fldCharType="separate"/>
      </w:r>
      <w:r>
        <w:rPr>
          <w:rStyle w:val="72"/>
          <w:rFonts w:hint="eastAsia" w:cs="宋体"/>
          <w:kern w:val="36"/>
        </w:rPr>
        <w:t>6风险管控要求</w:t>
      </w:r>
      <w:r>
        <w:rPr>
          <w:rFonts w:hint="eastAsia" w:cs="宋体"/>
        </w:rPr>
        <w:tab/>
      </w:r>
      <w:r>
        <w:rPr>
          <w:rFonts w:hint="eastAsia" w:cs="宋体"/>
        </w:rPr>
        <w:fldChar w:fldCharType="begin"/>
      </w:r>
      <w:r>
        <w:rPr>
          <w:rFonts w:hint="eastAsia" w:cs="宋体"/>
        </w:rPr>
        <w:instrText xml:space="preserve"> PAGEREF _Toc256000029 \h </w:instrText>
      </w:r>
      <w:r>
        <w:rPr>
          <w:rFonts w:hint="eastAsia" w:cs="宋体"/>
        </w:rPr>
        <w:fldChar w:fldCharType="separate"/>
      </w:r>
      <w:r>
        <w:rPr>
          <w:rFonts w:hint="eastAsia" w:cs="宋体"/>
        </w:rPr>
        <w:t>42</w:t>
      </w:r>
      <w:r>
        <w:rPr>
          <w:rFonts w:hint="eastAsia" w:cs="宋体"/>
        </w:rPr>
        <w:fldChar w:fldCharType="end"/>
      </w:r>
      <w:r>
        <w:rPr>
          <w:rFonts w:hint="eastAsia" w:cs="宋体"/>
        </w:rPr>
        <w:fldChar w:fldCharType="end"/>
      </w:r>
    </w:p>
    <w:p>
      <w:pPr>
        <w:pStyle w:val="48"/>
        <w:tabs>
          <w:tab w:val="right" w:leader="dot" w:pos="9016"/>
          <w:tab w:val="clear" w:pos="8303"/>
        </w:tabs>
        <w:spacing w:after="60" w:line="360" w:lineRule="auto"/>
        <w:rPr>
          <w:rFonts w:hint="eastAsia" w:cs="宋体"/>
          <w:sz w:val="22"/>
        </w:rPr>
      </w:pPr>
      <w:r>
        <w:fldChar w:fldCharType="begin"/>
      </w:r>
      <w:r>
        <w:instrText xml:space="preserve"> HYPERLINK \l "_Toc256000030" </w:instrText>
      </w:r>
      <w:r>
        <w:fldChar w:fldCharType="separate"/>
      </w:r>
      <w:r>
        <w:rPr>
          <w:rStyle w:val="72"/>
          <w:rFonts w:hint="eastAsia" w:cs="宋体"/>
          <w:kern w:val="36"/>
        </w:rPr>
        <w:t>7履约验收要求</w:t>
      </w:r>
      <w:r>
        <w:rPr>
          <w:rFonts w:hint="eastAsia" w:cs="宋体"/>
        </w:rPr>
        <w:tab/>
      </w:r>
      <w:r>
        <w:rPr>
          <w:rFonts w:hint="eastAsia" w:cs="宋体"/>
        </w:rPr>
        <w:fldChar w:fldCharType="begin"/>
      </w:r>
      <w:r>
        <w:rPr>
          <w:rFonts w:hint="eastAsia" w:cs="宋体"/>
        </w:rPr>
        <w:instrText xml:space="preserve"> PAGEREF _Toc256000030 \h </w:instrText>
      </w:r>
      <w:r>
        <w:rPr>
          <w:rFonts w:hint="eastAsia" w:cs="宋体"/>
        </w:rPr>
        <w:fldChar w:fldCharType="separate"/>
      </w:r>
      <w:r>
        <w:rPr>
          <w:rFonts w:hint="eastAsia" w:cs="宋体"/>
        </w:rPr>
        <w:t>42</w:t>
      </w:r>
      <w:r>
        <w:rPr>
          <w:rFonts w:hint="eastAsia" w:cs="宋体"/>
        </w:rPr>
        <w:fldChar w:fldCharType="end"/>
      </w:r>
      <w:r>
        <w:rPr>
          <w:rFonts w:hint="eastAsia"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"_Toc256000031" </w:instrText>
      </w:r>
      <w:r>
        <w:fldChar w:fldCharType="separate"/>
      </w:r>
      <w:r>
        <w:rPr>
          <w:rStyle w:val="72"/>
          <w:rFonts w:hint="eastAsia" w:ascii="宋体" w:hAnsi="宋体" w:cs="宋体"/>
        </w:rPr>
        <w:t>7.1总体要求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_Toc256000031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"_Toc256000032" </w:instrText>
      </w:r>
      <w:r>
        <w:fldChar w:fldCharType="separate"/>
      </w:r>
      <w:r>
        <w:rPr>
          <w:rStyle w:val="72"/>
          <w:rFonts w:hint="eastAsia" w:ascii="宋体" w:hAnsi="宋体" w:cs="宋体"/>
        </w:rPr>
        <w:t>7.2综合考评表及验收书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_Toc256000032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rPr>
        <w:fldChar w:fldCharType="end"/>
      </w:r>
    </w:p>
    <w:p>
      <w:pPr>
        <w:pStyle w:val="48"/>
        <w:tabs>
          <w:tab w:val="right" w:leader="dot" w:pos="9016"/>
          <w:tab w:val="clear" w:pos="8303"/>
        </w:tabs>
        <w:spacing w:after="60" w:line="360" w:lineRule="auto"/>
        <w:rPr>
          <w:rFonts w:hint="eastAsia" w:cs="宋体"/>
          <w:sz w:val="22"/>
        </w:rPr>
      </w:pPr>
      <w:r>
        <w:fldChar w:fldCharType="begin"/>
      </w:r>
      <w:r>
        <w:instrText xml:space="preserve"> HYPERLINK \l "_Toc256000033" </w:instrText>
      </w:r>
      <w:r>
        <w:fldChar w:fldCharType="separate"/>
      </w:r>
      <w:r>
        <w:rPr>
          <w:rStyle w:val="72"/>
          <w:rFonts w:hint="eastAsia" w:cs="宋体"/>
          <w:kern w:val="36"/>
        </w:rPr>
        <w:t>8其他要求</w:t>
      </w:r>
      <w:r>
        <w:rPr>
          <w:rFonts w:hint="eastAsia" w:cs="宋体"/>
        </w:rPr>
        <w:tab/>
      </w:r>
      <w:r>
        <w:rPr>
          <w:rFonts w:hint="eastAsia" w:cs="宋体"/>
        </w:rPr>
        <w:fldChar w:fldCharType="begin"/>
      </w:r>
      <w:r>
        <w:rPr>
          <w:rFonts w:hint="eastAsia" w:cs="宋体"/>
        </w:rPr>
        <w:instrText xml:space="preserve"> PAGEREF _Toc256000033 \h </w:instrText>
      </w:r>
      <w:r>
        <w:rPr>
          <w:rFonts w:hint="eastAsia" w:cs="宋体"/>
        </w:rPr>
        <w:fldChar w:fldCharType="separate"/>
      </w:r>
      <w:r>
        <w:rPr>
          <w:rFonts w:hint="eastAsia" w:cs="宋体"/>
        </w:rPr>
        <w:t>44</w:t>
      </w:r>
      <w:r>
        <w:rPr>
          <w:rFonts w:hint="eastAsia" w:cs="宋体"/>
        </w:rPr>
        <w:fldChar w:fldCharType="end"/>
      </w:r>
      <w:r>
        <w:rPr>
          <w:rFonts w:hint="eastAsia"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"_Toc256000034" </w:instrText>
      </w:r>
      <w:r>
        <w:fldChar w:fldCharType="separate"/>
      </w:r>
      <w:r>
        <w:rPr>
          <w:rStyle w:val="72"/>
          <w:rFonts w:hint="eastAsia" w:ascii="宋体" w:hAnsi="宋体" w:cs="宋体"/>
        </w:rPr>
        <w:t>8.1必备要求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_Toc256000034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"_Toc256000035" </w:instrText>
      </w:r>
      <w:r>
        <w:fldChar w:fldCharType="separate"/>
      </w:r>
      <w:r>
        <w:rPr>
          <w:rStyle w:val="72"/>
          <w:rFonts w:hint="eastAsia" w:ascii="宋体" w:hAnsi="宋体" w:cs="宋体"/>
        </w:rPr>
        <w:t>8.1.1通用必备要求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_Toc256000035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"_Toc256000036" </w:instrText>
      </w:r>
      <w:r>
        <w:fldChar w:fldCharType="separate"/>
      </w:r>
      <w:r>
        <w:rPr>
          <w:rStyle w:val="72"/>
          <w:rFonts w:hint="eastAsia" w:ascii="宋体" w:hAnsi="宋体" w:cs="宋体"/>
        </w:rPr>
        <w:t>8.2付款安排建议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_Toc256000036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57"/>
        <w:tabs>
          <w:tab w:val="right" w:leader="dot" w:pos="9016"/>
          <w:tab w:val="clear" w:pos="8303"/>
        </w:tabs>
        <w:spacing w:line="360" w:lineRule="auto"/>
        <w:ind w:left="480" w:firstLine="5"/>
        <w:rPr>
          <w:rFonts w:hint="eastAsia" w:ascii="宋体" w:hAnsi="宋体" w:cs="宋体"/>
          <w:sz w:val="22"/>
        </w:rPr>
      </w:pPr>
      <w:r>
        <w:fldChar w:fldCharType="begin"/>
      </w:r>
      <w:r>
        <w:instrText xml:space="preserve"> HYPERLINK \l "_Toc256000037" </w:instrText>
      </w:r>
      <w:r>
        <w:fldChar w:fldCharType="separate"/>
      </w:r>
      <w:r>
        <w:rPr>
          <w:rStyle w:val="72"/>
          <w:rFonts w:hint="eastAsia" w:ascii="宋体" w:hAnsi="宋体" w:cs="宋体"/>
        </w:rPr>
        <w:t>8.3其他要求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_Toc256000037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"_Toc256000038" </w:instrText>
      </w:r>
      <w:r>
        <w:fldChar w:fldCharType="separate"/>
      </w:r>
      <w:r>
        <w:rPr>
          <w:rStyle w:val="72"/>
          <w:rFonts w:hint="eastAsia" w:ascii="宋体" w:hAnsi="宋体" w:cs="宋体"/>
        </w:rPr>
        <w:t>8.3.1保密要求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_Toc256000038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36"/>
        <w:tabs>
          <w:tab w:val="right" w:leader="dot" w:pos="9016"/>
          <w:tab w:val="clear" w:pos="8303"/>
        </w:tabs>
        <w:spacing w:line="360" w:lineRule="auto"/>
        <w:ind w:left="485"/>
        <w:rPr>
          <w:rFonts w:hint="eastAsia" w:ascii="宋体" w:hAnsi="宋体" w:cs="宋体"/>
          <w:sz w:val="22"/>
        </w:rPr>
      </w:pPr>
      <w:r>
        <w:fldChar w:fldCharType="begin"/>
      </w:r>
      <w:r>
        <w:instrText xml:space="preserve"> HYPERLINK \l "_Toc256000039" </w:instrText>
      </w:r>
      <w:r>
        <w:fldChar w:fldCharType="separate"/>
      </w:r>
      <w:r>
        <w:rPr>
          <w:rStyle w:val="72"/>
          <w:rFonts w:hint="eastAsia" w:ascii="宋体" w:hAnsi="宋体" w:cs="宋体"/>
        </w:rPr>
        <w:t>8.3.2其他说明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_Toc256000039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rPr>
        <w:fldChar w:fldCharType="end"/>
      </w:r>
    </w:p>
    <w:p>
      <w:pPr>
        <w:pStyle w:val="5"/>
        <w:rPr>
          <w:rFonts w:hint="eastAsia" w:hAnsi="宋体" w:cs="宋体"/>
        </w:rPr>
      </w:pPr>
      <w:r>
        <w:rPr>
          <w:rFonts w:hint="eastAsia" w:hAnsi="宋体" w:cs="宋体"/>
          <w:sz w:val="32"/>
        </w:rPr>
        <w:fldChar w:fldCharType="end"/>
      </w:r>
    </w:p>
    <w:bookmarkEnd w:id="10"/>
    <w:p>
      <w:pPr>
        <w:spacing w:line="360" w:lineRule="auto"/>
        <w:jc w:val="left"/>
        <w:rPr>
          <w:rFonts w:hint="eastAsia" w:ascii="宋体" w:hAnsi="宋体" w:cs="宋体"/>
        </w:rPr>
      </w:pPr>
      <w:bookmarkStart w:id="11" w:name="_Toc500229356"/>
      <w:bookmarkStart w:id="12" w:name="_Toc102300269"/>
      <w:bookmarkStart w:id="13" w:name="_Toc98175188"/>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5"/>
        <w:rPr>
          <w:rFonts w:hint="eastAsia" w:hAnsi="宋体" w:cs="宋体"/>
        </w:rPr>
      </w:pPr>
    </w:p>
    <w:p>
      <w:pPr>
        <w:rPr>
          <w:rFonts w:hint="eastAsia" w:ascii="宋体" w:hAnsi="宋体" w:cs="宋体"/>
        </w:rPr>
      </w:pPr>
    </w:p>
    <w:p>
      <w:pPr>
        <w:pStyle w:val="2"/>
        <w:ind w:left="480" w:firstLine="482"/>
        <w:rPr>
          <w:rFonts w:hint="eastAsia" w:cs="宋体"/>
        </w:rPr>
      </w:pPr>
    </w:p>
    <w:p>
      <w:pPr>
        <w:pStyle w:val="6"/>
        <w:keepNext w:val="0"/>
        <w:spacing w:before="0" w:after="0" w:line="360" w:lineRule="auto"/>
        <w:jc w:val="center"/>
        <w:rPr>
          <w:rFonts w:hint="eastAsia" w:ascii="宋体" w:hAnsi="宋体" w:cs="宋体"/>
          <w:bCs/>
          <w:sz w:val="32"/>
          <w:szCs w:val="32"/>
        </w:rPr>
      </w:pPr>
      <w:bookmarkStart w:id="14" w:name="_Toc256000000"/>
      <w:r>
        <w:rPr>
          <w:rFonts w:hint="eastAsia" w:ascii="宋体" w:hAnsi="宋体" w:cs="宋体"/>
          <w:kern w:val="36"/>
        </w:rPr>
        <w:t>1项目概述</w:t>
      </w:r>
      <w:bookmarkEnd w:id="14"/>
    </w:p>
    <w:p>
      <w:pPr>
        <w:pStyle w:val="7"/>
        <w:keepNext w:val="0"/>
        <w:spacing w:before="0" w:after="0" w:line="360" w:lineRule="auto"/>
        <w:rPr>
          <w:rFonts w:hint="eastAsia" w:ascii="宋体" w:hAnsi="宋体" w:eastAsia="宋体" w:cs="宋体"/>
          <w:bCs/>
          <w:sz w:val="28"/>
          <w:szCs w:val="28"/>
        </w:rPr>
      </w:pPr>
      <w:bookmarkStart w:id="15" w:name="_Toc256000001"/>
      <w:r>
        <w:rPr>
          <w:rFonts w:hint="eastAsia" w:ascii="宋体" w:hAnsi="宋体" w:eastAsia="宋体" w:cs="宋体"/>
        </w:rPr>
        <w:t>1.1项目背景</w:t>
      </w:r>
      <w:bookmarkEnd w:id="15"/>
    </w:p>
    <w:p>
      <w:pPr>
        <w:pStyle w:val="8"/>
        <w:keepNext w:val="0"/>
        <w:spacing w:before="0" w:after="0" w:line="360" w:lineRule="auto"/>
        <w:rPr>
          <w:rFonts w:hint="eastAsia" w:ascii="宋体" w:hAnsi="宋体" w:cs="宋体"/>
          <w:bCs/>
          <w:sz w:val="28"/>
          <w:szCs w:val="28"/>
        </w:rPr>
      </w:pPr>
      <w:bookmarkStart w:id="16" w:name="_Toc256000002"/>
      <w:r>
        <w:rPr>
          <w:rFonts w:hint="eastAsia" w:ascii="宋体" w:hAnsi="宋体" w:cs="宋体"/>
          <w:sz w:val="28"/>
          <w:szCs w:val="28"/>
        </w:rPr>
        <w:t>1.1.1项目目的及背景</w:t>
      </w:r>
      <w:bookmarkEnd w:id="16"/>
    </w:p>
    <w:p>
      <w:pPr>
        <w:pStyle w:val="936"/>
        <w:spacing w:line="360" w:lineRule="auto"/>
        <w:ind w:firstLine="420"/>
        <w:rPr>
          <w:rFonts w:hint="eastAsia" w:ascii="宋体" w:hAnsi="宋体" w:cs="宋体"/>
        </w:rPr>
      </w:pPr>
      <w:r>
        <w:rPr>
          <w:rFonts w:hint="eastAsia" w:ascii="宋体" w:hAnsi="宋体" w:cs="宋体"/>
          <w:sz w:val="21"/>
          <w:szCs w:val="21"/>
        </w:rPr>
        <w:t>为进一步规范和加强物业管理服务工作，提高服务质量，对突发情况及时响应处置，保证各项后勤保障工作顺利开展。根据《中华人民共和国政府采购法》等文件的规定，拟确定一家供应商，为采购人提供物业管理服务。</w:t>
      </w:r>
    </w:p>
    <w:p>
      <w:pPr>
        <w:pStyle w:val="7"/>
        <w:keepNext w:val="0"/>
        <w:spacing w:before="0" w:after="0" w:line="360" w:lineRule="auto"/>
        <w:rPr>
          <w:rFonts w:hint="eastAsia" w:ascii="宋体" w:hAnsi="宋体" w:eastAsia="宋体" w:cs="宋体"/>
          <w:bCs/>
          <w:sz w:val="28"/>
          <w:szCs w:val="28"/>
        </w:rPr>
      </w:pPr>
      <w:bookmarkStart w:id="17" w:name="_Toc256000003"/>
      <w:r>
        <w:rPr>
          <w:rFonts w:hint="eastAsia" w:ascii="宋体" w:hAnsi="宋体" w:eastAsia="宋体" w:cs="宋体"/>
        </w:rPr>
        <w:t>1.2项目内容</w:t>
      </w:r>
      <w:bookmarkEnd w:id="17"/>
    </w:p>
    <w:p>
      <w:pPr>
        <w:pStyle w:val="8"/>
        <w:keepNext w:val="0"/>
        <w:spacing w:before="0" w:after="0" w:line="360" w:lineRule="auto"/>
        <w:rPr>
          <w:rFonts w:hint="eastAsia" w:ascii="宋体" w:hAnsi="宋体" w:cs="宋体"/>
          <w:bCs/>
          <w:sz w:val="28"/>
          <w:szCs w:val="28"/>
        </w:rPr>
      </w:pPr>
      <w:bookmarkStart w:id="18" w:name="_Toc256000004"/>
      <w:r>
        <w:rPr>
          <w:rFonts w:hint="eastAsia" w:ascii="宋体" w:hAnsi="宋体" w:cs="宋体"/>
          <w:sz w:val="28"/>
          <w:szCs w:val="28"/>
        </w:rPr>
        <w:t>1.2.1采购内容</w:t>
      </w:r>
      <w:bookmarkEnd w:id="18"/>
    </w:p>
    <w:p>
      <w:pPr>
        <w:pStyle w:val="935"/>
        <w:spacing w:line="360" w:lineRule="auto"/>
        <w:rPr>
          <w:rFonts w:hint="eastAsia" w:ascii="宋体" w:hAnsi="宋体" w:cs="宋体"/>
        </w:rPr>
      </w:pPr>
      <w:r>
        <w:rPr>
          <w:rFonts w:hint="eastAsia" w:ascii="宋体" w:hAnsi="宋体" w:cs="宋体"/>
          <w:sz w:val="21"/>
          <w:szCs w:val="21"/>
        </w:rPr>
        <w:t>（1）服务概述</w:t>
      </w:r>
    </w:p>
    <w:p>
      <w:pPr>
        <w:pStyle w:val="935"/>
        <w:spacing w:line="360" w:lineRule="auto"/>
        <w:rPr>
          <w:rFonts w:hint="eastAsia" w:ascii="宋体" w:hAnsi="宋体" w:cs="宋体"/>
        </w:rPr>
      </w:pPr>
      <w:r>
        <w:rPr>
          <w:rFonts w:hint="eastAsia" w:ascii="宋体" w:hAnsi="宋体" w:cs="宋体"/>
          <w:sz w:val="21"/>
          <w:szCs w:val="21"/>
        </w:rPr>
        <w:t>拟确定一家供应商为采购人提供以下物业管理服务项目：1.基本服务；2.公用设施设备维护服务；3.保洁服务；4.绿化服务；5.保安服务；6.会议服务。</w:t>
      </w:r>
    </w:p>
    <w:p>
      <w:pPr>
        <w:pStyle w:val="935"/>
        <w:spacing w:line="360" w:lineRule="auto"/>
        <w:rPr>
          <w:rFonts w:hint="eastAsia" w:ascii="宋体" w:hAnsi="宋体" w:cs="宋体"/>
        </w:rPr>
      </w:pPr>
      <w:r>
        <w:rPr>
          <w:rFonts w:hint="eastAsia" w:ascii="宋体" w:hAnsi="宋体" w:cs="宋体"/>
          <w:sz w:val="21"/>
          <w:szCs w:val="21"/>
        </w:rPr>
        <w:t>（2）项目预算</w:t>
      </w:r>
    </w:p>
    <w:p>
      <w:pPr>
        <w:pStyle w:val="935"/>
        <w:spacing w:line="360" w:lineRule="auto"/>
        <w:rPr>
          <w:rFonts w:hint="eastAsia" w:ascii="宋体" w:hAnsi="宋体" w:cs="宋体"/>
        </w:rPr>
      </w:pPr>
      <w:r>
        <w:rPr>
          <w:rFonts w:hint="eastAsia" w:ascii="宋体" w:hAnsi="宋体" w:cs="宋体"/>
          <w:sz w:val="21"/>
          <w:szCs w:val="21"/>
        </w:rPr>
        <w:t>项目预算910.20万元。该预算金额为包干费用，包括但不限于为完成本项目服务的所有费用以及不可预见费用，供应商应充分考虑成本及风险因素后进行报价。</w:t>
      </w:r>
    </w:p>
    <w:p>
      <w:pPr>
        <w:pStyle w:val="8"/>
        <w:keepNext w:val="0"/>
        <w:spacing w:before="0" w:after="0" w:line="360" w:lineRule="auto"/>
        <w:rPr>
          <w:rFonts w:hint="eastAsia" w:ascii="宋体" w:hAnsi="宋体" w:cs="宋体"/>
          <w:bCs/>
          <w:sz w:val="28"/>
          <w:szCs w:val="28"/>
        </w:rPr>
      </w:pPr>
      <w:bookmarkStart w:id="19" w:name="_Toc256000005"/>
      <w:r>
        <w:rPr>
          <w:rFonts w:hint="eastAsia" w:ascii="宋体" w:hAnsi="宋体" w:cs="宋体"/>
          <w:sz w:val="28"/>
          <w:szCs w:val="28"/>
        </w:rPr>
        <w:t>1.2.2项目实施要求</w:t>
      </w:r>
      <w:bookmarkEnd w:id="19"/>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1.2.2.1实施范围要求</w:t>
      </w:r>
    </w:p>
    <w:p>
      <w:pPr>
        <w:pStyle w:val="937"/>
        <w:spacing w:line="360" w:lineRule="auto"/>
        <w:ind w:left="420" w:hanging="420"/>
        <w:rPr>
          <w:rFonts w:hint="eastAsia" w:ascii="宋体" w:hAnsi="宋体" w:cs="宋体"/>
        </w:rPr>
      </w:pPr>
      <w:r>
        <w:rPr>
          <w:rFonts w:hint="eastAsia" w:ascii="宋体" w:hAnsi="宋体" w:cs="宋体"/>
          <w:b/>
          <w:bCs/>
          <w:spacing w:val="-2"/>
          <w:sz w:val="21"/>
          <w:szCs w:val="21"/>
        </w:rPr>
        <w:t>【国家税务总局汕头市金平区税务局区局办公</w:t>
      </w:r>
      <w:r>
        <w:rPr>
          <w:rFonts w:hint="eastAsia" w:ascii="宋体" w:hAnsi="宋体" w:cs="宋体"/>
          <w:b/>
          <w:bCs/>
          <w:spacing w:val="-2"/>
          <w:sz w:val="21"/>
          <w:szCs w:val="21"/>
          <w:lang w:eastAsia="zh-CN"/>
        </w:rPr>
        <w:t>区</w:t>
      </w:r>
      <w:r>
        <w:rPr>
          <w:rFonts w:hint="eastAsia" w:ascii="宋体" w:hAnsi="宋体" w:cs="宋体"/>
          <w:b/>
          <w:bCs/>
          <w:spacing w:val="-2"/>
          <w:sz w:val="21"/>
          <w:szCs w:val="21"/>
        </w:rPr>
        <w:t>】</w:t>
      </w:r>
    </w:p>
    <w:p>
      <w:pPr>
        <w:pStyle w:val="937"/>
        <w:spacing w:line="360" w:lineRule="auto"/>
        <w:rPr>
          <w:rFonts w:hint="eastAsia" w:ascii="宋体" w:hAnsi="宋体" w:cs="宋体"/>
        </w:rPr>
      </w:pPr>
      <w:r>
        <w:rPr>
          <w:rFonts w:hint="eastAsia" w:ascii="宋体" w:hAnsi="宋体" w:cs="宋体"/>
          <w:b/>
          <w:bCs/>
          <w:spacing w:val="-2"/>
          <w:sz w:val="21"/>
          <w:szCs w:val="21"/>
        </w:rPr>
        <w:t>（1）物业管理（建筑物）</w:t>
      </w:r>
    </w:p>
    <w:tbl>
      <w:tblPr>
        <w:tblStyle w:val="939"/>
        <w:tblW w:w="9072" w:type="dxa"/>
        <w:tblCellSpacing w:w="0" w:type="dxa"/>
        <w:tblInd w:w="236" w:type="dxa"/>
        <w:tblLayout w:type="fixed"/>
        <w:tblCellMar>
          <w:top w:w="15" w:type="dxa"/>
          <w:left w:w="15" w:type="dxa"/>
          <w:bottom w:w="15" w:type="dxa"/>
          <w:right w:w="15" w:type="dxa"/>
        </w:tblCellMar>
      </w:tblPr>
      <w:tblGrid>
        <w:gridCol w:w="1136"/>
        <w:gridCol w:w="2671"/>
        <w:gridCol w:w="2760"/>
        <w:gridCol w:w="2505"/>
      </w:tblGrid>
      <w:tr>
        <w:tblPrEx>
          <w:tblLayout w:type="fixed"/>
          <w:tblCellMar>
            <w:top w:w="15" w:type="dxa"/>
            <w:left w:w="15" w:type="dxa"/>
            <w:bottom w:w="15" w:type="dxa"/>
            <w:right w:w="15" w:type="dxa"/>
          </w:tblCellMar>
        </w:tblPrEx>
        <w:trPr>
          <w:trHeight w:val="944" w:hRule="atLeast"/>
          <w:tblCellSpacing w:w="0" w:type="dxa"/>
        </w:trPr>
        <w:tc>
          <w:tcPr>
            <w:tcW w:w="3807" w:type="dxa"/>
            <w:gridSpan w:val="2"/>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名称</w:t>
            </w:r>
          </w:p>
        </w:tc>
        <w:tc>
          <w:tcPr>
            <w:tcW w:w="2760"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明细</w:t>
            </w:r>
          </w:p>
        </w:tc>
        <w:tc>
          <w:tcPr>
            <w:tcW w:w="2505"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rHeight w:val="1381" w:hRule="atLeast"/>
          <w:tblCellSpacing w:w="0" w:type="dxa"/>
        </w:trPr>
        <w:tc>
          <w:tcPr>
            <w:tcW w:w="3807"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eastAsia="宋体" w:cs="宋体"/>
                <w:color w:val="000000"/>
                <w:lang w:eastAsia="zh-CN"/>
              </w:rPr>
            </w:pPr>
            <w:r>
              <w:rPr>
                <w:rFonts w:hint="eastAsia" w:ascii="宋体" w:hAnsi="宋体" w:cs="宋体"/>
                <w:color w:val="000000"/>
                <w:sz w:val="21"/>
                <w:szCs w:val="21"/>
              </w:rPr>
              <w:t>国家税务总局汕头市金平区税务局区局办公</w:t>
            </w:r>
            <w:r>
              <w:rPr>
                <w:rFonts w:hint="eastAsia" w:ascii="宋体" w:hAnsi="宋体" w:cs="宋体"/>
                <w:color w:val="000000"/>
                <w:sz w:val="21"/>
                <w:szCs w:val="21"/>
                <w:lang w:eastAsia="zh-CN"/>
              </w:rPr>
              <w:t>区</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位于汕头市金平区金砂路56号，办公大楼共14层，建筑面积约16400㎡。</w:t>
            </w:r>
          </w:p>
        </w:tc>
        <w:tc>
          <w:tcPr>
            <w:tcW w:w="2505"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268" w:hRule="atLeast"/>
          <w:tblCellSpacing w:w="0" w:type="dxa"/>
        </w:trPr>
        <w:tc>
          <w:tcPr>
            <w:tcW w:w="1136"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总面积</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建筑面积（㎡）</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16400㎡</w:t>
            </w:r>
          </w:p>
        </w:tc>
        <w:tc>
          <w:tcPr>
            <w:tcW w:w="2505"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需保洁面积（㎡）</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17500㎡</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rHeight w:val="1744" w:hRule="atLeast"/>
          <w:tblCellSpacing w:w="0" w:type="dxa"/>
        </w:trPr>
        <w:tc>
          <w:tcPr>
            <w:tcW w:w="1136"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门窗总数量（个）及总面积（㎡）</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窗总面积：3370㎡，窗门2088个；门总面积：880㎡，办公室门400个</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2480" w:hRule="atLeast"/>
          <w:tblCellSpacing w:w="0" w:type="dxa"/>
        </w:trPr>
        <w:tc>
          <w:tcPr>
            <w:tcW w:w="1136"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地面各材质及总面积（㎡）</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1-12层各1300㎡，13-14层各404㎡，其中首层大理石1300平方米，瓷砖2000平方米，其它水磨地面。</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36"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内墙饰面</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内墙饰面各材质及总面积</w:t>
            </w:r>
            <w:r>
              <w:rPr>
                <w:rFonts w:hint="eastAsia" w:ascii="宋体" w:hAnsi="宋体" w:cs="宋体"/>
                <w:color w:val="000000"/>
                <w:spacing w:val="-2"/>
                <w:sz w:val="21"/>
                <w:szCs w:val="21"/>
              </w:rPr>
              <w:t>（㎡）</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乳胶漆总面积10000㎡</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36"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顶面</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顶面各材质及总面积</w:t>
            </w:r>
            <w:r>
              <w:rPr>
                <w:rFonts w:hint="eastAsia" w:ascii="宋体" w:hAnsi="宋体" w:cs="宋体"/>
                <w:color w:val="000000"/>
                <w:spacing w:val="-2"/>
                <w:sz w:val="21"/>
                <w:szCs w:val="21"/>
              </w:rPr>
              <w:t>（㎡）</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顶面总16400㎡（大部分石膏板封顶）</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36"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外墙</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外墙各材质及总面积（㎡）</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  16800㎡</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外墙需清洗面积（㎡）</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  12000㎡</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4784" w:hRule="atLeast"/>
          <w:tblCellSpacing w:w="0" w:type="dxa"/>
        </w:trPr>
        <w:tc>
          <w:tcPr>
            <w:tcW w:w="1136"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会议室</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xml:space="preserve">室内设施说明 </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2楼会议室1个，椭圆形会议桌1张，长方形会议桌18张，椅50张；11楼会议室3个，大长会议桌2张，小长桌36张，大靠背椅子12张，其它椅子64张，话筒13支，电子显示屏2个，音响2套，视频设备一套；12楼会议室1个,大长方会议桌1张，会议椅20张，长型桌子6张。</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2480"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会议室数量（个）及总面积（㎡）</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2楼会议室1个面积122平方米；11楼会议室3个面积234平方米；12楼会议室1个面积54平方米，总面积410平方米。</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2480" w:hRule="atLeast"/>
          <w:tblCellSpacing w:w="0" w:type="dxa"/>
        </w:trPr>
        <w:tc>
          <w:tcPr>
            <w:tcW w:w="1136"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报告厅</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室内设施说明</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13楼会议室1个，椅子131张，桌子15张，话筒6支，投影机1部，音响1套，电子显示屏1个，视频设备1套。</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856"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报告厅数量（个）及总面积（㎡）</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13楼会议室1个面积227㎡，音控房1间7.5㎡。</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456" w:hRule="atLeast"/>
          <w:tblCellSpacing w:w="0" w:type="dxa"/>
        </w:trPr>
        <w:tc>
          <w:tcPr>
            <w:tcW w:w="1136"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卫生间</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卫生间数量（个）及总面积（㎡）</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30个，面积约496平方米</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2480" w:hRule="atLeast"/>
          <w:tblCellSpacing w:w="0" w:type="dxa"/>
        </w:trPr>
        <w:tc>
          <w:tcPr>
            <w:tcW w:w="1136"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垃圾存放点</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各垃圾存放点位置、面积（㎡）及数量（个）</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餐厨设备处理间2个；临时生活垃圾存放间1个；危害物暂存间0；楼层垃圾桶26个；分类垃圾桶4个，总面积20㎡。</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944" w:hRule="atLeast"/>
          <w:tblCellSpacing w:w="0" w:type="dxa"/>
        </w:trPr>
        <w:tc>
          <w:tcPr>
            <w:tcW w:w="1136"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车位数</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地下车位数</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b/>
                <w:bCs/>
                <w:color w:val="000000"/>
                <w:sz w:val="21"/>
                <w:szCs w:val="21"/>
              </w:rPr>
              <w:t> </w:t>
            </w:r>
          </w:p>
        </w:tc>
      </w:tr>
      <w:tr>
        <w:tblPrEx>
          <w:tblLayout w:type="fixed"/>
          <w:tblCellMar>
            <w:top w:w="15" w:type="dxa"/>
            <w:left w:w="15" w:type="dxa"/>
            <w:bottom w:w="15" w:type="dxa"/>
            <w:right w:w="15" w:type="dxa"/>
          </w:tblCellMar>
        </w:tblPrEx>
        <w:trPr>
          <w:trHeight w:val="1712"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b/>
                <w:bCs/>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地面车位数</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前停车场1050㎡，后停车场3400㎡，总4450㎡，车位144个</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2480" w:hRule="atLeast"/>
          <w:tblCellSpacing w:w="0" w:type="dxa"/>
        </w:trPr>
        <w:tc>
          <w:tcPr>
            <w:tcW w:w="1136"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车行/人行</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前停车场门北面2个道闸伸缩门，后停车场东面道闸栏杆1座，中间道闸栏杆1座，后停车场西门道闸栏杆1座</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人行</w:t>
            </w:r>
          </w:p>
        </w:tc>
        <w:tc>
          <w:tcPr>
            <w:tcW w:w="2760"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办公楼(室内大厅)内2套人行通道闸机。</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2864" w:hRule="atLeast"/>
          <w:tblCellSpacing w:w="0" w:type="dxa"/>
        </w:trPr>
        <w:tc>
          <w:tcPr>
            <w:tcW w:w="1136"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设施设备</w:t>
            </w: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电梯系统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办公楼共有3台三菱电梯客用电梯 ,型号：LEHY-2为两台LEHY-Ш-S一台；分别是功率15KW；额定容量：1050KG；不在质保期内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xml:space="preserve">见 </w:t>
            </w:r>
            <w:r>
              <w:rPr>
                <w:rFonts w:hint="eastAsia" w:ascii="宋体" w:hAnsi="宋体" w:cs="宋体"/>
                <w:color w:val="000000"/>
                <w:spacing w:val="-2"/>
                <w:sz w:val="21"/>
                <w:szCs w:val="21"/>
              </w:rPr>
              <w:t> “3.2.1.1.（3）保洁服务”</w:t>
            </w:r>
            <w:r>
              <w:rPr>
                <w:rFonts w:hint="eastAsia" w:ascii="宋体" w:hAnsi="宋体" w:cs="宋体"/>
                <w:color w:val="000000"/>
                <w:sz w:val="21"/>
                <w:szCs w:val="21"/>
              </w:rPr>
              <w:t>“3.2.1.1.（5）保安服务”</w:t>
            </w:r>
          </w:p>
        </w:tc>
      </w:tr>
      <w:tr>
        <w:tblPrEx>
          <w:tblLayout w:type="fixed"/>
          <w:tblCellMar>
            <w:top w:w="15" w:type="dxa"/>
            <w:left w:w="15" w:type="dxa"/>
            <w:bottom w:w="15" w:type="dxa"/>
            <w:right w:w="15" w:type="dxa"/>
          </w:tblCellMar>
        </w:tblPrEx>
        <w:trPr>
          <w:trHeight w:val="1328"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vMerge w:val="restart"/>
            <w:tcBorders>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空调系统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多联机3台21KW，不在质保期内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vMerge w:val="continue"/>
            <w:tcBorders>
              <w:right w:val="single" w:color="000000" w:sz="8" w:space="0"/>
            </w:tcBorders>
            <w:vAlign w:val="center"/>
          </w:tcPr>
          <w:p>
            <w:pPr>
              <w:rPr>
                <w:rFonts w:hint="eastAsia" w:ascii="宋体" w:hAnsi="宋体" w:cs="宋体"/>
                <w:color w:val="000000"/>
                <w:sz w:val="21"/>
                <w:szCs w:val="21"/>
              </w:rPr>
            </w:pP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3匹天花及风管机35台74KW，不在质保期内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b/>
                <w:bCs/>
                <w:color w:val="000000"/>
                <w:sz w:val="21"/>
                <w:szCs w:val="21"/>
              </w:rPr>
              <w:t> </w:t>
            </w:r>
          </w:p>
        </w:tc>
      </w:tr>
      <w:tr>
        <w:tblPrEx>
          <w:tblLayout w:type="fixed"/>
          <w:tblCellMar>
            <w:top w:w="15" w:type="dxa"/>
            <w:left w:w="15" w:type="dxa"/>
            <w:bottom w:w="15" w:type="dxa"/>
            <w:right w:w="15" w:type="dxa"/>
          </w:tblCellMar>
        </w:tblPrEx>
        <w:trPr>
          <w:trHeight w:val="1712"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b/>
                <w:bCs/>
                <w:color w:val="000000"/>
                <w:sz w:val="21"/>
                <w:szCs w:val="21"/>
              </w:rPr>
            </w:pPr>
          </w:p>
        </w:tc>
        <w:tc>
          <w:tcPr>
            <w:tcW w:w="2671" w:type="dxa"/>
            <w:vMerge w:val="continue"/>
            <w:tcBorders>
              <w:right w:val="single" w:color="000000" w:sz="8" w:space="0"/>
            </w:tcBorders>
            <w:vAlign w:val="center"/>
          </w:tcPr>
          <w:p>
            <w:pPr>
              <w:rPr>
                <w:rFonts w:hint="eastAsia" w:ascii="宋体" w:hAnsi="宋体" w:cs="宋体"/>
                <w:b/>
                <w:bCs/>
                <w:color w:val="000000"/>
                <w:sz w:val="21"/>
                <w:szCs w:val="21"/>
              </w:rPr>
            </w:pP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5匹立式3台12KW，3匹立式7台16KW，2匹立式20台30KW,不在质保期内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b/>
                <w:bCs/>
                <w:color w:val="000000"/>
                <w:sz w:val="21"/>
                <w:szCs w:val="21"/>
              </w:rPr>
              <w:t> </w:t>
            </w:r>
          </w:p>
        </w:tc>
      </w:tr>
      <w:tr>
        <w:tblPrEx>
          <w:tblLayout w:type="fixed"/>
          <w:tblCellMar>
            <w:top w:w="15" w:type="dxa"/>
            <w:left w:w="15" w:type="dxa"/>
            <w:bottom w:w="15" w:type="dxa"/>
            <w:right w:w="15" w:type="dxa"/>
          </w:tblCellMar>
        </w:tblPrEx>
        <w:trPr>
          <w:trHeight w:val="1712"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b/>
                <w:bCs/>
                <w:color w:val="000000"/>
                <w:sz w:val="21"/>
                <w:szCs w:val="21"/>
              </w:rPr>
            </w:pPr>
          </w:p>
        </w:tc>
        <w:tc>
          <w:tcPr>
            <w:tcW w:w="2671" w:type="dxa"/>
            <w:vMerge w:val="continue"/>
            <w:tcBorders>
              <w:right w:val="single" w:color="000000" w:sz="8" w:space="0"/>
            </w:tcBorders>
            <w:vAlign w:val="center"/>
          </w:tcPr>
          <w:p>
            <w:pPr>
              <w:rPr>
                <w:rFonts w:hint="eastAsia" w:ascii="宋体" w:hAnsi="宋体" w:cs="宋体"/>
                <w:b/>
                <w:bCs/>
                <w:color w:val="000000"/>
                <w:sz w:val="21"/>
                <w:szCs w:val="21"/>
              </w:rPr>
            </w:pP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3匹挂式2台7KW，2匹挂式220台320KW, 1.5匹挂式50台52KW，不在质保期内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b/>
                <w:bCs/>
                <w:color w:val="000000"/>
                <w:sz w:val="21"/>
                <w:szCs w:val="21"/>
              </w:rPr>
              <w:t> </w:t>
            </w:r>
          </w:p>
        </w:tc>
      </w:tr>
      <w:tr>
        <w:tblPrEx>
          <w:tblLayout w:type="fixed"/>
          <w:tblCellMar>
            <w:top w:w="15" w:type="dxa"/>
            <w:left w:w="15" w:type="dxa"/>
            <w:bottom w:w="15" w:type="dxa"/>
            <w:right w:w="15" w:type="dxa"/>
          </w:tblCellMar>
        </w:tblPrEx>
        <w:trPr>
          <w:trHeight w:val="976"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b/>
                <w:bCs/>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采暖系统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给排水系统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市政进水表，不在质保期内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消防系统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楼层消防栓24个，消防水池1个，</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944"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锅炉设备</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安防系统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1套，不在保质期内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2864"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照明系统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LED 筒灯：630支；LED灯管：1324支；LED射灯：47支；LED面板灯：187支；梯间智能感应灯：62支：吸顶灯31支，不在质保期内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360" w:lineRule="auto"/>
              <w:rPr>
                <w:rFonts w:hint="eastAsia" w:ascii="宋体" w:hAnsi="宋体" w:cs="宋体"/>
                <w:color w:val="000000"/>
              </w:rPr>
            </w:pPr>
            <w:r>
              <w:rPr>
                <w:rFonts w:hint="eastAsia" w:ascii="宋体" w:hAnsi="宋体" w:cs="宋体"/>
                <w:color w:val="000000"/>
                <w:sz w:val="21"/>
                <w:szCs w:val="21"/>
              </w:rPr>
              <w:t>见“3.2.1.1.（2）</w:t>
            </w:r>
          </w:p>
          <w:p>
            <w:pPr>
              <w:pStyle w:val="938"/>
              <w:spacing w:before="240"/>
              <w:rPr>
                <w:rFonts w:hint="eastAsia" w:ascii="宋体" w:hAnsi="宋体" w:cs="宋体"/>
                <w:color w:val="000000"/>
              </w:rPr>
            </w:pPr>
            <w:r>
              <w:rPr>
                <w:rFonts w:hint="eastAsia" w:ascii="宋体" w:hAnsi="宋体" w:cs="宋体"/>
                <w:color w:val="000000"/>
                <w:sz w:val="21"/>
                <w:szCs w:val="21"/>
              </w:rPr>
              <w:t>公用设施设备维护服务”</w:t>
            </w:r>
          </w:p>
        </w:tc>
      </w:tr>
      <w:tr>
        <w:tblPrEx>
          <w:tblLayout w:type="fixed"/>
          <w:tblCellMar>
            <w:top w:w="15" w:type="dxa"/>
            <w:left w:w="15" w:type="dxa"/>
            <w:bottom w:w="15" w:type="dxa"/>
            <w:right w:w="15" w:type="dxa"/>
          </w:tblCellMar>
        </w:tblPrEx>
        <w:trPr>
          <w:trHeight w:val="1712" w:hRule="atLeast"/>
          <w:tblCellSpacing w:w="0" w:type="dxa"/>
        </w:trPr>
        <w:tc>
          <w:tcPr>
            <w:tcW w:w="113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67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供配电系统</w:t>
            </w:r>
          </w:p>
        </w:tc>
        <w:tc>
          <w:tcPr>
            <w:tcW w:w="2760"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1套，不在保质期内</w:t>
            </w:r>
          </w:p>
        </w:tc>
        <w:tc>
          <w:tcPr>
            <w:tcW w:w="2505"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见“3.2.1.1.（2）公用设施设备维护服务”</w:t>
            </w:r>
          </w:p>
        </w:tc>
      </w:tr>
    </w:tbl>
    <w:p>
      <w:pPr>
        <w:pStyle w:val="937"/>
        <w:spacing w:line="360" w:lineRule="auto"/>
        <w:rPr>
          <w:rFonts w:hint="eastAsia" w:ascii="宋体" w:hAnsi="宋体" w:cs="宋体"/>
        </w:rPr>
      </w:pPr>
      <w:r>
        <w:rPr>
          <w:rFonts w:hint="eastAsia" w:ascii="宋体" w:hAnsi="宋体" w:cs="宋体"/>
          <w:b/>
          <w:bCs/>
          <w:spacing w:val="-2"/>
          <w:sz w:val="21"/>
          <w:szCs w:val="21"/>
        </w:rPr>
        <w:t>（2）物业管理（室外）</w:t>
      </w:r>
    </w:p>
    <w:tbl>
      <w:tblPr>
        <w:tblStyle w:val="940"/>
        <w:tblW w:w="8114" w:type="dxa"/>
        <w:jc w:val="center"/>
        <w:tblCellSpacing w:w="0" w:type="dxa"/>
        <w:tblInd w:w="0" w:type="dxa"/>
        <w:tblLayout w:type="fixed"/>
        <w:tblCellMar>
          <w:top w:w="15" w:type="dxa"/>
          <w:left w:w="15" w:type="dxa"/>
          <w:bottom w:w="15" w:type="dxa"/>
          <w:right w:w="15" w:type="dxa"/>
        </w:tblCellMar>
      </w:tblPr>
      <w:tblGrid>
        <w:gridCol w:w="2155"/>
        <w:gridCol w:w="1888"/>
        <w:gridCol w:w="4071"/>
      </w:tblGrid>
      <w:tr>
        <w:tblPrEx>
          <w:tblLayout w:type="fixed"/>
          <w:tblCellMar>
            <w:top w:w="15" w:type="dxa"/>
            <w:left w:w="15" w:type="dxa"/>
            <w:bottom w:w="15" w:type="dxa"/>
            <w:right w:w="15" w:type="dxa"/>
          </w:tblCellMar>
        </w:tblPrEx>
        <w:trPr>
          <w:tblCellSpacing w:w="0" w:type="dxa"/>
          <w:jc w:val="center"/>
        </w:trPr>
        <w:tc>
          <w:tcPr>
            <w:tcW w:w="215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名称</w:t>
            </w:r>
          </w:p>
        </w:tc>
        <w:tc>
          <w:tcPr>
            <w:tcW w:w="1888"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明细</w:t>
            </w:r>
          </w:p>
        </w:tc>
        <w:tc>
          <w:tcPr>
            <w:tcW w:w="4071"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室外面积</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4450㎡</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见“3.2.1.1.（3）保洁服务”“3.2.1.1.（5）保安服务”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绿化</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pacing w:val="-2"/>
                <w:sz w:val="21"/>
                <w:szCs w:val="21"/>
              </w:rPr>
              <w:t>100㎡</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见“3.2.1.1.（3）保洁服务”“3.2.1.1.（4）绿化服务”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广场</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路灯、草坪灯、音箱</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93" w:hRule="atLeast"/>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消防栓</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消防大栓2个</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见“3.2.1.1.（2）公用设施设备维护服务”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垃圾箱</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8个</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室外配电箱</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门前三包</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1000㎡</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监控</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指示牌、显示屏</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2套</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w:t>
            </w:r>
            <w:r>
              <w:rPr>
                <w:rFonts w:hint="eastAsia" w:ascii="宋体" w:hAnsi="宋体" w:cs="宋体"/>
                <w:color w:val="000000"/>
                <w:spacing w:val="-2"/>
                <w:sz w:val="21"/>
                <w:szCs w:val="21"/>
              </w:rPr>
              <w:t>“3.2.1.1.（2）公用设施设备维护服务”</w:t>
            </w:r>
            <w:r>
              <w:rPr>
                <w:rFonts w:hint="eastAsia" w:ascii="宋体" w:hAnsi="宋体" w:cs="宋体"/>
                <w:color w:val="000000"/>
                <w:sz w:val="21"/>
                <w:szCs w:val="21"/>
              </w:rPr>
              <w:t>“3.2.1.1.（3）保洁服务”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室外充电桩</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9台</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见“3.2.1.1.（5）保安服务”</w:t>
            </w:r>
          </w:p>
        </w:tc>
      </w:tr>
    </w:tbl>
    <w:p>
      <w:pPr>
        <w:pStyle w:val="937"/>
        <w:spacing w:line="360" w:lineRule="auto"/>
        <w:rPr>
          <w:rFonts w:hint="eastAsia" w:ascii="宋体" w:hAnsi="宋体" w:cs="宋体"/>
        </w:rPr>
      </w:pPr>
      <w:r>
        <w:rPr>
          <w:rFonts w:hint="eastAsia" w:ascii="宋体" w:hAnsi="宋体" w:cs="宋体"/>
          <w:b/>
          <w:bCs/>
          <w:spacing w:val="-2"/>
          <w:sz w:val="21"/>
          <w:szCs w:val="21"/>
        </w:rPr>
        <w:t> </w:t>
      </w:r>
    </w:p>
    <w:p>
      <w:pPr>
        <w:pStyle w:val="937"/>
        <w:spacing w:line="360" w:lineRule="auto"/>
        <w:rPr>
          <w:rFonts w:hint="eastAsia" w:ascii="宋体" w:hAnsi="宋体" w:cs="宋体"/>
        </w:rPr>
      </w:pPr>
      <w:r>
        <w:rPr>
          <w:rFonts w:hint="eastAsia" w:ascii="宋体" w:hAnsi="宋体" w:cs="宋体"/>
          <w:b/>
          <w:bCs/>
          <w:spacing w:val="-2"/>
          <w:sz w:val="21"/>
          <w:szCs w:val="21"/>
        </w:rPr>
        <w:t>【国家税务总局汕头市金平区税务局新厦</w:t>
      </w:r>
      <w:r>
        <w:rPr>
          <w:rFonts w:hint="eastAsia" w:ascii="宋体" w:hAnsi="宋体" w:cs="宋体"/>
          <w:b/>
          <w:bCs/>
          <w:spacing w:val="-2"/>
          <w:sz w:val="21"/>
          <w:szCs w:val="21"/>
          <w:lang w:eastAsia="zh-CN"/>
        </w:rPr>
        <w:t>路</w:t>
      </w:r>
      <w:r>
        <w:rPr>
          <w:rFonts w:hint="eastAsia" w:ascii="宋体" w:hAnsi="宋体" w:cs="宋体"/>
          <w:b/>
          <w:bCs/>
          <w:spacing w:val="-2"/>
          <w:sz w:val="21"/>
          <w:szCs w:val="21"/>
        </w:rPr>
        <w:t>办公区】</w:t>
      </w:r>
    </w:p>
    <w:p>
      <w:pPr>
        <w:pStyle w:val="937"/>
        <w:spacing w:line="360" w:lineRule="auto"/>
        <w:rPr>
          <w:rFonts w:hint="eastAsia" w:ascii="宋体" w:hAnsi="宋体" w:cs="宋体"/>
        </w:rPr>
      </w:pPr>
      <w:r>
        <w:rPr>
          <w:rFonts w:hint="eastAsia" w:ascii="宋体" w:hAnsi="宋体" w:cs="宋体"/>
          <w:b/>
          <w:bCs/>
          <w:spacing w:val="-2"/>
          <w:sz w:val="21"/>
          <w:szCs w:val="21"/>
        </w:rPr>
        <w:t>（1）物业管理（建筑物）</w:t>
      </w:r>
    </w:p>
    <w:tbl>
      <w:tblPr>
        <w:tblStyle w:val="939"/>
        <w:tblW w:w="8657" w:type="dxa"/>
        <w:tblCellSpacing w:w="0" w:type="dxa"/>
        <w:tblInd w:w="236" w:type="dxa"/>
        <w:tblLayout w:type="fixed"/>
        <w:tblCellMar>
          <w:top w:w="15" w:type="dxa"/>
          <w:left w:w="15" w:type="dxa"/>
          <w:bottom w:w="15" w:type="dxa"/>
          <w:right w:w="15" w:type="dxa"/>
        </w:tblCellMar>
      </w:tblPr>
      <w:tblGrid>
        <w:gridCol w:w="1151"/>
        <w:gridCol w:w="2486"/>
        <w:gridCol w:w="2693"/>
        <w:gridCol w:w="2327"/>
      </w:tblGrid>
      <w:tr>
        <w:tblPrEx>
          <w:tblLayout w:type="fixed"/>
          <w:tblCellMar>
            <w:top w:w="15" w:type="dxa"/>
            <w:left w:w="15" w:type="dxa"/>
            <w:bottom w:w="15" w:type="dxa"/>
            <w:right w:w="15" w:type="dxa"/>
          </w:tblCellMar>
        </w:tblPrEx>
        <w:trPr>
          <w:trHeight w:val="944" w:hRule="atLeast"/>
          <w:tblCellSpacing w:w="0" w:type="dxa"/>
        </w:trPr>
        <w:tc>
          <w:tcPr>
            <w:tcW w:w="3637" w:type="dxa"/>
            <w:gridSpan w:val="2"/>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名称</w:t>
            </w:r>
          </w:p>
        </w:tc>
        <w:tc>
          <w:tcPr>
            <w:tcW w:w="2693"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明细</w:t>
            </w:r>
          </w:p>
        </w:tc>
        <w:tc>
          <w:tcPr>
            <w:tcW w:w="2327"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rHeight w:val="2096" w:hRule="atLeast"/>
          <w:tblCellSpacing w:w="0" w:type="dxa"/>
        </w:trPr>
        <w:tc>
          <w:tcPr>
            <w:tcW w:w="3637"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eastAsia="宋体" w:cs="宋体"/>
                <w:color w:val="000000"/>
                <w:lang w:eastAsia="zh-CN"/>
              </w:rPr>
            </w:pPr>
            <w:r>
              <w:rPr>
                <w:rFonts w:hint="eastAsia" w:ascii="宋体" w:hAnsi="宋体" w:cs="宋体"/>
                <w:color w:val="000000"/>
                <w:sz w:val="21"/>
                <w:szCs w:val="21"/>
              </w:rPr>
              <w:t>国家税务总局汕头市金平区税务局新厦路办公</w:t>
            </w:r>
            <w:r>
              <w:rPr>
                <w:rFonts w:hint="eastAsia" w:ascii="宋体" w:hAnsi="宋体" w:cs="宋体"/>
                <w:color w:val="000000"/>
                <w:sz w:val="21"/>
                <w:szCs w:val="21"/>
                <w:lang w:eastAsia="zh-CN"/>
              </w:rPr>
              <w:t>区</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位于汕头市金平区新厦路13号，办公楼地下1层，地上15层，总建筑面积为16392㎡。</w:t>
            </w:r>
          </w:p>
        </w:tc>
        <w:tc>
          <w:tcPr>
            <w:tcW w:w="232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51"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总面积</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建筑面积（㎡）</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16392㎡</w:t>
            </w:r>
          </w:p>
        </w:tc>
        <w:tc>
          <w:tcPr>
            <w:tcW w:w="2327"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552"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需保洁面积（㎡）</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16392㎡</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rHeight w:val="1760" w:hRule="atLeast"/>
          <w:tblCellSpacing w:w="0" w:type="dxa"/>
        </w:trPr>
        <w:tc>
          <w:tcPr>
            <w:tcW w:w="1151"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门窗总数量（个）及总面积（㎡）</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窗户678个，113个消防门，办公室门298个，总面积2743㎡</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1"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地面各材质及总面积（㎡）</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瓷砖地面，各楼层地面面积1000㎡。</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1"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内墙饰面</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内墙饰面各材质及总面积</w:t>
            </w:r>
            <w:r>
              <w:rPr>
                <w:rFonts w:hint="eastAsia" w:ascii="宋体" w:hAnsi="宋体" w:cs="宋体"/>
                <w:color w:val="000000"/>
                <w:spacing w:val="-2"/>
                <w:sz w:val="21"/>
                <w:szCs w:val="21"/>
              </w:rPr>
              <w:t>（㎡）</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乳胶漆总面积13649㎡</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1"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顶面</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顶面各材质及总面积</w:t>
            </w:r>
            <w:r>
              <w:rPr>
                <w:rFonts w:hint="eastAsia" w:ascii="宋体" w:hAnsi="宋体" w:cs="宋体"/>
                <w:color w:val="000000"/>
                <w:spacing w:val="-2"/>
                <w:sz w:val="21"/>
                <w:szCs w:val="21"/>
              </w:rPr>
              <w:t>（㎡）</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乳胶漆，顶面面积16392㎡</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1"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外墙</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外墙各材质及总面积（㎡）</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14500㎡</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外墙需清洗面积（㎡）</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9200㎡</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856" w:hRule="atLeast"/>
          <w:tblCellSpacing w:w="0" w:type="dxa"/>
        </w:trPr>
        <w:tc>
          <w:tcPr>
            <w:tcW w:w="1151"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会议室</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xml:space="preserve">室内设施说明 </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会议桌80套、话筒10个、电子视频幕墙1个。</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856"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会议室数量（个）及总面积（㎡）</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1楼会议室1个，3楼会议室2个，4楼会议室2个， 15楼会议室1个。</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856" w:hRule="atLeast"/>
          <w:tblCellSpacing w:w="0" w:type="dxa"/>
        </w:trPr>
        <w:tc>
          <w:tcPr>
            <w:tcW w:w="1151"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电教室</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室内设施说明</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卡座27套、30张转椅、话筒1个。</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856"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报告厅数量（个）及总面积（㎡）</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1个</w:t>
            </w:r>
            <w:r>
              <w:rPr>
                <w:rStyle w:val="941"/>
                <w:rFonts w:hint="eastAsia" w:ascii="宋体" w:hAnsi="宋体" w:cs="宋体"/>
                <w:color w:val="000000"/>
                <w:sz w:val="21"/>
                <w:szCs w:val="21"/>
              </w:rPr>
              <w:t>，</w:t>
            </w:r>
            <w:r>
              <w:rPr>
                <w:rFonts w:hint="eastAsia" w:ascii="宋体" w:hAnsi="宋体" w:cs="宋体"/>
                <w:color w:val="000000"/>
                <w:sz w:val="21"/>
                <w:szCs w:val="21"/>
              </w:rPr>
              <w:t>110㎡</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472" w:hRule="atLeast"/>
          <w:tblCellSpacing w:w="0" w:type="dxa"/>
        </w:trPr>
        <w:tc>
          <w:tcPr>
            <w:tcW w:w="1151"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卫生间</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卫生间数量（个）及总面积（㎡）</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88个总550㎡，其中44个275㎡未启用。</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2480" w:hRule="atLeast"/>
          <w:tblCellSpacing w:w="0" w:type="dxa"/>
        </w:trPr>
        <w:tc>
          <w:tcPr>
            <w:tcW w:w="1151"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垃圾存放点</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各垃圾存放点位置、面积（㎡）及数量（个）</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餐厨设备处理间大约30平方米；临时生活垃圾存放间1；危害物暂存间；楼层垃圾桶16个；分类垃圾桶4个。</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328" w:hRule="atLeast"/>
          <w:tblCellSpacing w:w="0" w:type="dxa"/>
        </w:trPr>
        <w:tc>
          <w:tcPr>
            <w:tcW w:w="1151"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车位数</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地下车位数</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18个</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地面车位数</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78个</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712" w:hRule="atLeast"/>
          <w:tblCellSpacing w:w="0" w:type="dxa"/>
        </w:trPr>
        <w:tc>
          <w:tcPr>
            <w:tcW w:w="1151"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车行/人行</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停车场东门、西门，地下车库东门、西门，外围1 个伸缩门，出入道闸2个</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人行</w:t>
            </w:r>
          </w:p>
        </w:tc>
        <w:tc>
          <w:tcPr>
            <w:tcW w:w="2693"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外围1 个伸缩门，3 个玻璃门。</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2096" w:hRule="atLeast"/>
          <w:tblCellSpacing w:w="0" w:type="dxa"/>
        </w:trPr>
        <w:tc>
          <w:tcPr>
            <w:tcW w:w="1151"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设施设备</w:t>
            </w: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电梯系统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办公楼共有2台客梯电梯，型号：VPMG；功率 15KW；额定容量：1000KG</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w:t>
            </w:r>
            <w:r>
              <w:rPr>
                <w:rFonts w:hint="eastAsia" w:ascii="宋体" w:hAnsi="宋体" w:cs="宋体"/>
                <w:color w:val="000000"/>
                <w:spacing w:val="-2"/>
                <w:sz w:val="21"/>
                <w:szCs w:val="21"/>
              </w:rPr>
              <w:t> “3.2.1.1.（3）保洁服务”</w:t>
            </w:r>
            <w:r>
              <w:rPr>
                <w:rFonts w:hint="eastAsia" w:ascii="宋体" w:hAnsi="宋体" w:cs="宋体"/>
                <w:color w:val="000000"/>
                <w:sz w:val="21"/>
                <w:szCs w:val="21"/>
              </w:rPr>
              <w:t>“3.2.1.1.（5）保安服务”</w:t>
            </w:r>
          </w:p>
        </w:tc>
      </w:tr>
      <w:tr>
        <w:tblPrEx>
          <w:tblLayout w:type="fixed"/>
          <w:tblCellMar>
            <w:top w:w="15" w:type="dxa"/>
            <w:left w:w="15" w:type="dxa"/>
            <w:bottom w:w="15" w:type="dxa"/>
            <w:right w:w="15" w:type="dxa"/>
          </w:tblCellMar>
        </w:tblPrEx>
        <w:trPr>
          <w:trHeight w:val="944"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空调系统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吸顶分体104台</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采暖系统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给排水系统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4台潜水泵，不在质保期</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2096"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消防系统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消防控制中心智能火灾报警控制器（联动型），烟感探测器 620个；手报 160个。不在质保期内</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944"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锅炉设备</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安防系统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1套，不在质保期内</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3632"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照明系统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LED 筒灯：156支；LED灯管：1460支；LED射灯：202支； LED60X60面板灯：31支； LED25X25面板灯：154支；T5管60支；LED 灯带800米；外围路灯8支；LED灯箱30个。不在质保期内</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见“3.2.1.1.（2）公用设施设备维护服务”</w:t>
            </w:r>
          </w:p>
        </w:tc>
      </w:tr>
      <w:tr>
        <w:tblPrEx>
          <w:tblLayout w:type="fixed"/>
          <w:tblCellMar>
            <w:top w:w="15" w:type="dxa"/>
            <w:left w:w="15" w:type="dxa"/>
            <w:bottom w:w="15" w:type="dxa"/>
            <w:right w:w="15" w:type="dxa"/>
          </w:tblCellMar>
        </w:tblPrEx>
        <w:trPr>
          <w:trHeight w:val="1328" w:hRule="atLeast"/>
          <w:tblCellSpacing w:w="0" w:type="dxa"/>
        </w:trPr>
        <w:tc>
          <w:tcPr>
            <w:tcW w:w="11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48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供配电系统</w:t>
            </w:r>
          </w:p>
        </w:tc>
        <w:tc>
          <w:tcPr>
            <w:tcW w:w="2693"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1套，不在质保期内。</w:t>
            </w:r>
          </w:p>
        </w:tc>
        <w:tc>
          <w:tcPr>
            <w:tcW w:w="232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见“3.2.1.1.（2）公用设施设备维护服务”</w:t>
            </w:r>
          </w:p>
        </w:tc>
      </w:tr>
    </w:tbl>
    <w:p>
      <w:pPr>
        <w:pStyle w:val="937"/>
        <w:spacing w:line="360" w:lineRule="auto"/>
        <w:rPr>
          <w:rFonts w:hint="eastAsia" w:ascii="宋体" w:hAnsi="宋体" w:cs="宋体"/>
        </w:rPr>
      </w:pPr>
      <w:r>
        <w:rPr>
          <w:rFonts w:hint="eastAsia" w:ascii="宋体" w:hAnsi="宋体" w:cs="宋体"/>
          <w:b/>
          <w:bCs/>
          <w:spacing w:val="-2"/>
          <w:sz w:val="21"/>
          <w:szCs w:val="21"/>
        </w:rPr>
        <w:t>（2）物业管理（室外）</w:t>
      </w:r>
    </w:p>
    <w:tbl>
      <w:tblPr>
        <w:tblStyle w:val="940"/>
        <w:tblW w:w="8114" w:type="dxa"/>
        <w:jc w:val="center"/>
        <w:tblCellSpacing w:w="0" w:type="dxa"/>
        <w:tblInd w:w="0" w:type="dxa"/>
        <w:tblLayout w:type="fixed"/>
        <w:tblCellMar>
          <w:top w:w="15" w:type="dxa"/>
          <w:left w:w="15" w:type="dxa"/>
          <w:bottom w:w="15" w:type="dxa"/>
          <w:right w:w="15" w:type="dxa"/>
        </w:tblCellMar>
      </w:tblPr>
      <w:tblGrid>
        <w:gridCol w:w="2155"/>
        <w:gridCol w:w="1888"/>
        <w:gridCol w:w="4071"/>
      </w:tblGrid>
      <w:tr>
        <w:tblPrEx>
          <w:tblLayout w:type="fixed"/>
          <w:tblCellMar>
            <w:top w:w="15" w:type="dxa"/>
            <w:left w:w="15" w:type="dxa"/>
            <w:bottom w:w="15" w:type="dxa"/>
            <w:right w:w="15" w:type="dxa"/>
          </w:tblCellMar>
        </w:tblPrEx>
        <w:trPr>
          <w:tblCellSpacing w:w="0" w:type="dxa"/>
          <w:jc w:val="center"/>
        </w:trPr>
        <w:tc>
          <w:tcPr>
            <w:tcW w:w="215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名称</w:t>
            </w:r>
          </w:p>
        </w:tc>
        <w:tc>
          <w:tcPr>
            <w:tcW w:w="1888"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明细</w:t>
            </w:r>
          </w:p>
        </w:tc>
        <w:tc>
          <w:tcPr>
            <w:tcW w:w="4071"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室外面积</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2500</w:t>
            </w:r>
            <w:r>
              <w:rPr>
                <w:rFonts w:hint="eastAsia" w:ascii="宋体" w:hAnsi="宋体" w:cs="宋体"/>
                <w:color w:val="000000"/>
                <w:spacing w:val="-2"/>
                <w:sz w:val="21"/>
                <w:szCs w:val="21"/>
              </w:rPr>
              <w:t>㎡</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见“3.2.1.1.（3）保洁服务”“3.2.1.1.（5）保安服务”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绿化</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pacing w:val="-2"/>
                <w:sz w:val="21"/>
                <w:szCs w:val="21"/>
              </w:rPr>
              <w:t>460㎡</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见“3.2.1.1.（3）保洁服务”“3.2.1.1.（4）绿化服务”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广场</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路灯、草坪灯、音箱</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路灯19支</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r>
              <w:rPr>
                <w:rFonts w:hint="eastAsia" w:ascii="宋体" w:hAnsi="宋体" w:cs="宋体"/>
                <w:color w:val="000000"/>
                <w:spacing w:val="-2"/>
                <w:sz w:val="21"/>
                <w:szCs w:val="21"/>
              </w:rPr>
              <w:t>“3.2.1.1.（2）公用设施设备维护服务”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消防栓</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8个</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见“3.2.1.1.（2）公用设施设备维护服务”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垃圾箱</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5个</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室外配电箱</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门前三包</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100㎡</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监控</w:t>
            </w:r>
          </w:p>
        </w:tc>
        <w:tc>
          <w:tcPr>
            <w:tcW w:w="1888" w:type="dxa"/>
            <w:tcBorders>
              <w:bottom w:val="single" w:color="000000" w:sz="8" w:space="0"/>
              <w:right w:val="single" w:color="000000" w:sz="8" w:space="0"/>
            </w:tcBorders>
            <w:tcMar>
              <w:top w:w="0" w:type="dxa"/>
              <w:left w:w="0" w:type="dxa"/>
              <w:bottom w:w="0" w:type="dxa"/>
              <w:right w:w="0" w:type="dxa"/>
            </w:tcMar>
            <w:vAlign w:val="cente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闭路监控枪45支</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指示牌、显示屏</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1套</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w:t>
            </w:r>
            <w:r>
              <w:rPr>
                <w:rFonts w:hint="eastAsia" w:ascii="宋体" w:hAnsi="宋体" w:cs="宋体"/>
                <w:color w:val="000000"/>
                <w:spacing w:val="-2"/>
                <w:sz w:val="21"/>
                <w:szCs w:val="21"/>
              </w:rPr>
              <w:t>“3.2.1.1.（2）公用设施设备维护服务”</w:t>
            </w:r>
            <w:r>
              <w:rPr>
                <w:rFonts w:hint="eastAsia" w:ascii="宋体" w:hAnsi="宋体" w:cs="宋体"/>
                <w:color w:val="000000"/>
                <w:sz w:val="21"/>
                <w:szCs w:val="21"/>
              </w:rPr>
              <w:t>“3.2.1.1.（3）保洁服务”</w:t>
            </w:r>
          </w:p>
        </w:tc>
      </w:tr>
      <w:tr>
        <w:tblPrEx>
          <w:tblLayout w:type="fixed"/>
          <w:tblCellMar>
            <w:top w:w="15" w:type="dxa"/>
            <w:left w:w="15" w:type="dxa"/>
            <w:bottom w:w="15" w:type="dxa"/>
            <w:right w:w="15" w:type="dxa"/>
          </w:tblCellMar>
        </w:tblPrEx>
        <w:trPr>
          <w:tblCellSpacing w:w="0" w:type="dxa"/>
          <w:jc w:val="center"/>
        </w:trPr>
        <w:tc>
          <w:tcPr>
            <w:tcW w:w="2155"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室外充电桩</w:t>
            </w:r>
          </w:p>
        </w:tc>
        <w:tc>
          <w:tcPr>
            <w:tcW w:w="1888"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6台</w:t>
            </w:r>
          </w:p>
        </w:tc>
        <w:tc>
          <w:tcPr>
            <w:tcW w:w="4071"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见“3.2.1.1.（5）保安服务”</w:t>
            </w:r>
          </w:p>
        </w:tc>
      </w:tr>
    </w:tbl>
    <w:p>
      <w:pPr>
        <w:pStyle w:val="938"/>
        <w:spacing w:line="360" w:lineRule="auto"/>
        <w:rPr>
          <w:rFonts w:hint="eastAsia" w:ascii="宋体" w:hAnsi="宋体" w:cs="宋体"/>
        </w:rPr>
      </w:pPr>
      <w:r>
        <w:rPr>
          <w:rFonts w:hint="eastAsia" w:ascii="宋体" w:hAnsi="宋体" w:cs="宋体"/>
          <w:sz w:val="21"/>
          <w:szCs w:val="21"/>
        </w:rPr>
        <w:t> </w:t>
      </w:r>
    </w:p>
    <w:p>
      <w:pPr>
        <w:pStyle w:val="937"/>
        <w:spacing w:line="360" w:lineRule="auto"/>
        <w:rPr>
          <w:rFonts w:hint="eastAsia" w:ascii="宋体" w:hAnsi="宋体" w:cs="宋体"/>
        </w:rPr>
      </w:pPr>
      <w:r>
        <w:rPr>
          <w:rFonts w:hint="eastAsia" w:ascii="宋体" w:hAnsi="宋体" w:cs="宋体"/>
          <w:b/>
          <w:bCs/>
          <w:spacing w:val="-2"/>
          <w:sz w:val="21"/>
          <w:szCs w:val="21"/>
        </w:rPr>
        <w:t>【国家税务总局汕头市金平区税务局同益税务分局办公</w:t>
      </w:r>
      <w:r>
        <w:rPr>
          <w:rFonts w:hint="eastAsia" w:ascii="宋体" w:hAnsi="宋体" w:cs="宋体"/>
          <w:b/>
          <w:bCs/>
          <w:spacing w:val="-2"/>
          <w:sz w:val="21"/>
          <w:szCs w:val="21"/>
          <w:lang w:eastAsia="zh-CN"/>
        </w:rPr>
        <w:t>区</w:t>
      </w:r>
      <w:r>
        <w:rPr>
          <w:rFonts w:hint="eastAsia" w:ascii="宋体" w:hAnsi="宋体" w:cs="宋体"/>
          <w:b/>
          <w:bCs/>
          <w:spacing w:val="-2"/>
          <w:sz w:val="21"/>
          <w:szCs w:val="21"/>
        </w:rPr>
        <w:t>】</w:t>
      </w:r>
    </w:p>
    <w:p>
      <w:pPr>
        <w:pStyle w:val="937"/>
        <w:spacing w:line="360" w:lineRule="auto"/>
        <w:rPr>
          <w:rFonts w:hint="eastAsia" w:ascii="宋体" w:hAnsi="宋体" w:cs="宋体"/>
        </w:rPr>
      </w:pPr>
      <w:r>
        <w:rPr>
          <w:rFonts w:hint="eastAsia" w:ascii="宋体" w:hAnsi="宋体" w:cs="宋体"/>
          <w:b/>
          <w:bCs/>
          <w:spacing w:val="-2"/>
          <w:sz w:val="21"/>
          <w:szCs w:val="21"/>
        </w:rPr>
        <w:t>（1）物业管理（建筑物）</w:t>
      </w:r>
    </w:p>
    <w:tbl>
      <w:tblPr>
        <w:tblStyle w:val="939"/>
        <w:tblW w:w="9092" w:type="dxa"/>
        <w:tblCellSpacing w:w="0" w:type="dxa"/>
        <w:tblInd w:w="236" w:type="dxa"/>
        <w:tblLayout w:type="fixed"/>
        <w:tblCellMar>
          <w:top w:w="15" w:type="dxa"/>
          <w:left w:w="15" w:type="dxa"/>
          <w:bottom w:w="15" w:type="dxa"/>
          <w:right w:w="15" w:type="dxa"/>
        </w:tblCellMar>
      </w:tblPr>
      <w:tblGrid>
        <w:gridCol w:w="1224"/>
        <w:gridCol w:w="2520"/>
        <w:gridCol w:w="2697"/>
        <w:gridCol w:w="2651"/>
      </w:tblGrid>
      <w:tr>
        <w:tblPrEx>
          <w:tblLayout w:type="fixed"/>
          <w:tblCellMar>
            <w:top w:w="15" w:type="dxa"/>
            <w:left w:w="15" w:type="dxa"/>
            <w:bottom w:w="15" w:type="dxa"/>
            <w:right w:w="15" w:type="dxa"/>
          </w:tblCellMar>
        </w:tblPrEx>
        <w:trPr>
          <w:trHeight w:val="944" w:hRule="atLeast"/>
          <w:tblCellSpacing w:w="0" w:type="dxa"/>
        </w:trPr>
        <w:tc>
          <w:tcPr>
            <w:tcW w:w="3744" w:type="dxa"/>
            <w:gridSpan w:val="2"/>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名称</w:t>
            </w:r>
          </w:p>
        </w:tc>
        <w:tc>
          <w:tcPr>
            <w:tcW w:w="2697"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明细</w:t>
            </w:r>
          </w:p>
        </w:tc>
        <w:tc>
          <w:tcPr>
            <w:tcW w:w="2651"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rHeight w:val="1712" w:hRule="atLeast"/>
          <w:tblCellSpacing w:w="0" w:type="dxa"/>
        </w:trPr>
        <w:tc>
          <w:tcPr>
            <w:tcW w:w="3744"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eastAsia="宋体" w:cs="宋体"/>
                <w:color w:val="000000"/>
                <w:lang w:eastAsia="zh-CN"/>
              </w:rPr>
            </w:pPr>
            <w:r>
              <w:rPr>
                <w:rFonts w:hint="eastAsia" w:ascii="宋体" w:hAnsi="宋体" w:cs="宋体"/>
                <w:color w:val="000000"/>
                <w:sz w:val="21"/>
                <w:szCs w:val="21"/>
              </w:rPr>
              <w:t>国家税务总局汕头市金平区税务局同益税务分局办公</w:t>
            </w:r>
            <w:r>
              <w:rPr>
                <w:rFonts w:hint="eastAsia" w:ascii="宋体" w:hAnsi="宋体" w:cs="宋体"/>
                <w:color w:val="000000"/>
                <w:sz w:val="21"/>
                <w:szCs w:val="21"/>
                <w:lang w:eastAsia="zh-CN"/>
              </w:rPr>
              <w:t>区</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位于汕头市金平区福平路4号，办公楼共10层，建筑面积4731.69㎡。</w:t>
            </w:r>
          </w:p>
        </w:tc>
        <w:tc>
          <w:tcPr>
            <w:tcW w:w="2651"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总面积</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建筑面积（㎡）</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4731.69㎡</w:t>
            </w:r>
          </w:p>
        </w:tc>
        <w:tc>
          <w:tcPr>
            <w:tcW w:w="2651"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需保洁面积（㎡）</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5284㎡</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rHeight w:val="1456" w:hRule="atLeast"/>
          <w:tblCellSpacing w:w="0" w:type="dxa"/>
        </w:trPr>
        <w:tc>
          <w:tcPr>
            <w:tcW w:w="1224"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门窗总数量（个）及总面积（㎡）</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门总面积284㎡.门121个；窗总面积538㎡，窗206个</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224"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地面各材质及总面积（㎡）</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瓷砖地面，各楼层地面面积540㎡。</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224"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内墙饰面</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内墙饰面各材质及总面积</w:t>
            </w:r>
            <w:r>
              <w:rPr>
                <w:rFonts w:hint="eastAsia" w:ascii="宋体" w:hAnsi="宋体" w:cs="宋体"/>
                <w:color w:val="000000"/>
                <w:spacing w:val="-2"/>
                <w:sz w:val="21"/>
                <w:szCs w:val="21"/>
              </w:rPr>
              <w:t>（㎡）</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乳胶漆总面积2100㎡</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224"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顶面</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顶面各材质及总面积</w:t>
            </w:r>
            <w:r>
              <w:rPr>
                <w:rFonts w:hint="eastAsia" w:ascii="宋体" w:hAnsi="宋体" w:cs="宋体"/>
                <w:color w:val="000000"/>
                <w:spacing w:val="-2"/>
                <w:sz w:val="21"/>
                <w:szCs w:val="21"/>
              </w:rPr>
              <w:t>（㎡）</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乳胶漆，顶面面积约4070㎡</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224"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外墙</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外墙各材质及总面积（㎡）</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3500㎡</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外墙需清洗面积（㎡）</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2300㎡</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856" w:hRule="atLeast"/>
          <w:tblCellSpacing w:w="0" w:type="dxa"/>
        </w:trPr>
        <w:tc>
          <w:tcPr>
            <w:tcW w:w="1224"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会议室</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xml:space="preserve">室内设施说明 </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会议桌2套、会议椅68张、话筒1个。</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856"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会议室数量（个）及总面积（㎡）</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3楼会议室1个,面积16㎡、5楼会议室1个，面积40㎡。</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856" w:hRule="atLeast"/>
          <w:tblCellSpacing w:w="0" w:type="dxa"/>
        </w:trPr>
        <w:tc>
          <w:tcPr>
            <w:tcW w:w="1224"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报告厅</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室内设施说明</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会议桌12张、会议椅24张，讲台1张、沙发1套、话筒1个、音箱1套。</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856"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报告厅数量（个）及总面积（㎡）</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1个、92㎡。</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456" w:hRule="atLeast"/>
          <w:tblCellSpacing w:w="0" w:type="dxa"/>
        </w:trPr>
        <w:tc>
          <w:tcPr>
            <w:tcW w:w="1224"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卫生间</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卫生间数量（个）及总面积（㎡）</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17个，总面积192㎡</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2096" w:hRule="atLeast"/>
          <w:tblCellSpacing w:w="0" w:type="dxa"/>
        </w:trPr>
        <w:tc>
          <w:tcPr>
            <w:tcW w:w="1224"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垃圾存放点</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各垃圾存放点位置、面积（㎡）及数量（个）</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餐厨设备处理间；临时生活垃圾存放间；危害物暂存间；楼层垃圾桶19个；分类垃圾桶2个。</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车位数</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地下车位数</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b/>
                <w:bCs/>
                <w:caps/>
                <w:color w:val="000000"/>
                <w:sz w:val="21"/>
                <w:szCs w:val="21"/>
              </w:rPr>
              <w:t>/</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地面车位数</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10个</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车行/人行¨</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1个</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人行</w:t>
            </w:r>
          </w:p>
        </w:tc>
        <w:tc>
          <w:tcPr>
            <w:tcW w:w="2697"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南门1个，车库北门1个。</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2096" w:hRule="atLeast"/>
          <w:tblCellSpacing w:w="0" w:type="dxa"/>
        </w:trPr>
        <w:tc>
          <w:tcPr>
            <w:tcW w:w="1224"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设施设备</w:t>
            </w: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电梯系统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办公楼共有1台客梯电梯，日立客梯，型号：HGP；功率 15KW；额定容量：1050KG</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w:t>
            </w:r>
            <w:r>
              <w:rPr>
                <w:rFonts w:hint="eastAsia" w:ascii="宋体" w:hAnsi="宋体" w:cs="宋体"/>
                <w:color w:val="000000"/>
                <w:spacing w:val="-2"/>
                <w:sz w:val="21"/>
                <w:szCs w:val="21"/>
              </w:rPr>
              <w:t>“3.2.1.1.（3）保洁服务”</w:t>
            </w:r>
            <w:r>
              <w:rPr>
                <w:rFonts w:hint="eastAsia" w:ascii="宋体" w:hAnsi="宋体" w:cs="宋体"/>
                <w:color w:val="000000"/>
                <w:sz w:val="21"/>
                <w:szCs w:val="21"/>
              </w:rPr>
              <w:t>“3.2.1.1.（5）保安服务”</w:t>
            </w:r>
          </w:p>
        </w:tc>
      </w:tr>
      <w:tr>
        <w:tblPrEx>
          <w:tblLayout w:type="fixed"/>
          <w:tblCellMar>
            <w:top w:w="15" w:type="dxa"/>
            <w:left w:w="15" w:type="dxa"/>
            <w:bottom w:w="15" w:type="dxa"/>
            <w:right w:w="15" w:type="dxa"/>
          </w:tblCellMar>
        </w:tblPrEx>
        <w:trPr>
          <w:trHeight w:val="944"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空调系统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吸顶分体86台</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采暖系统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给排水系统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市政进水表，不在质保期内</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消防系统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楼层消防栓</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944"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锅炉设备</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安防系统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2864"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照明系统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LED 筒灯：311支；LED灯管：97支；LED射灯：14支；LED面板灯：273支；T8 双槽灯：84支；LED 灯带：9 个； 不在质保期内</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见“3.2.1.1.（2）公用设施设备维护服务”</w:t>
            </w:r>
          </w:p>
        </w:tc>
      </w:tr>
      <w:tr>
        <w:tblPrEx>
          <w:tblLayout w:type="fixed"/>
          <w:tblCellMar>
            <w:top w:w="15" w:type="dxa"/>
            <w:left w:w="15" w:type="dxa"/>
            <w:bottom w:w="15" w:type="dxa"/>
            <w:right w:w="15" w:type="dxa"/>
          </w:tblCellMar>
        </w:tblPrEx>
        <w:trPr>
          <w:trHeight w:val="1328" w:hRule="atLeast"/>
          <w:tblCellSpacing w:w="0" w:type="dxa"/>
        </w:trPr>
        <w:tc>
          <w:tcPr>
            <w:tcW w:w="1224"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20"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供配电系统</w:t>
            </w:r>
          </w:p>
        </w:tc>
        <w:tc>
          <w:tcPr>
            <w:tcW w:w="2697"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1套，不在质保期内。</w:t>
            </w:r>
          </w:p>
        </w:tc>
        <w:tc>
          <w:tcPr>
            <w:tcW w:w="265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见“3.2.1.1.（2）公用设施设备维护服务”</w:t>
            </w:r>
          </w:p>
        </w:tc>
      </w:tr>
    </w:tbl>
    <w:p>
      <w:pPr>
        <w:pStyle w:val="937"/>
        <w:spacing w:line="360" w:lineRule="auto"/>
        <w:rPr>
          <w:rFonts w:hint="eastAsia" w:ascii="宋体" w:hAnsi="宋体" w:cs="宋体"/>
        </w:rPr>
      </w:pPr>
      <w:r>
        <w:rPr>
          <w:rFonts w:hint="eastAsia" w:ascii="宋体" w:hAnsi="宋体" w:cs="宋体"/>
          <w:b/>
          <w:bCs/>
          <w:spacing w:val="-2"/>
          <w:sz w:val="21"/>
          <w:szCs w:val="21"/>
        </w:rPr>
        <w:t>（2）物业管理（室外）</w:t>
      </w:r>
    </w:p>
    <w:tbl>
      <w:tblPr>
        <w:tblStyle w:val="940"/>
        <w:tblW w:w="8114" w:type="dxa"/>
        <w:jc w:val="center"/>
        <w:tblCellSpacing w:w="0" w:type="dxa"/>
        <w:tblInd w:w="0" w:type="dxa"/>
        <w:tblLayout w:type="fixed"/>
        <w:tblCellMar>
          <w:top w:w="15" w:type="dxa"/>
          <w:left w:w="15" w:type="dxa"/>
          <w:bottom w:w="15" w:type="dxa"/>
          <w:right w:w="15" w:type="dxa"/>
        </w:tblCellMar>
      </w:tblPr>
      <w:tblGrid>
        <w:gridCol w:w="2152"/>
        <w:gridCol w:w="1896"/>
        <w:gridCol w:w="4066"/>
      </w:tblGrid>
      <w:tr>
        <w:tblPrEx>
          <w:tblLayout w:type="fixed"/>
          <w:tblCellMar>
            <w:top w:w="15" w:type="dxa"/>
            <w:left w:w="15" w:type="dxa"/>
            <w:bottom w:w="15" w:type="dxa"/>
            <w:right w:w="15" w:type="dxa"/>
          </w:tblCellMar>
        </w:tblPrEx>
        <w:trPr>
          <w:tblCellSpacing w:w="0" w:type="dxa"/>
          <w:jc w:val="center"/>
        </w:trPr>
        <w:tc>
          <w:tcPr>
            <w:tcW w:w="215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名称</w:t>
            </w:r>
          </w:p>
        </w:tc>
        <w:tc>
          <w:tcPr>
            <w:tcW w:w="1896"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明细</w:t>
            </w:r>
          </w:p>
        </w:tc>
        <w:tc>
          <w:tcPr>
            <w:tcW w:w="4066"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室外面积</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2</w:t>
            </w:r>
            <w:r>
              <w:rPr>
                <w:rFonts w:hint="eastAsia" w:ascii="宋体" w:hAnsi="宋体" w:cs="宋体"/>
                <w:color w:val="000000"/>
                <w:spacing w:val="-2"/>
                <w:sz w:val="21"/>
                <w:szCs w:val="21"/>
              </w:rPr>
              <w:t>0㎡</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见“3.2.1.1.（3）保洁服务”“3.2.1.1.（5）保安服务”</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绿化</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pacing w:val="-2"/>
                <w:sz w:val="21"/>
                <w:szCs w:val="21"/>
              </w:rPr>
              <w:t>10㎡</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见“3.2.1.1.（3）保洁服务”“3.2.1.1.（4）绿化服务”</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广场</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路灯、草坪灯、音箱</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消防栓</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11个</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w:t>
            </w:r>
            <w:r>
              <w:rPr>
                <w:rFonts w:hint="eastAsia" w:ascii="宋体" w:hAnsi="宋体" w:cs="宋体"/>
                <w:color w:val="000000"/>
                <w:spacing w:val="-2"/>
                <w:sz w:val="21"/>
                <w:szCs w:val="21"/>
              </w:rPr>
              <w:t>“3.2.1.1.（2）公用设施设备维护服务”</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垃圾箱</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5个</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室外配电箱</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门前三包</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350㎡</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监控</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ind w:firstLine="840"/>
              <w:rPr>
                <w:rFonts w:hint="eastAsia" w:ascii="宋体" w:hAnsi="宋体" w:cs="宋体"/>
                <w:color w:val="000000"/>
              </w:rPr>
            </w:pPr>
            <w:r>
              <w:rPr>
                <w:rFonts w:hint="eastAsia" w:ascii="宋体" w:hAnsi="宋体" w:cs="宋体"/>
                <w:color w:val="000000"/>
                <w:sz w:val="21"/>
                <w:szCs w:val="21"/>
              </w:rPr>
              <w:t>/</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指示牌、显示屏</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1套</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w:t>
            </w:r>
            <w:r>
              <w:rPr>
                <w:rFonts w:hint="eastAsia" w:ascii="宋体" w:hAnsi="宋体" w:cs="宋体"/>
                <w:color w:val="000000"/>
                <w:spacing w:val="-2"/>
                <w:sz w:val="21"/>
                <w:szCs w:val="21"/>
              </w:rPr>
              <w:t>“3.2.1.1.（2）公用设施设备维护服务”</w:t>
            </w:r>
          </w:p>
        </w:tc>
      </w:tr>
      <w:tr>
        <w:tblPrEx>
          <w:tblLayout w:type="fixed"/>
          <w:tblCellMar>
            <w:top w:w="15" w:type="dxa"/>
            <w:left w:w="15" w:type="dxa"/>
            <w:bottom w:w="15" w:type="dxa"/>
            <w:right w:w="15" w:type="dxa"/>
          </w:tblCellMar>
        </w:tblPrEx>
        <w:trPr>
          <w:tblCellSpacing w:w="0" w:type="dxa"/>
          <w:jc w:val="center"/>
        </w:trPr>
        <w:tc>
          <w:tcPr>
            <w:tcW w:w="21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室外充电桩</w:t>
            </w:r>
          </w:p>
        </w:tc>
        <w:tc>
          <w:tcPr>
            <w:tcW w:w="189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66"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bl>
    <w:p>
      <w:pPr>
        <w:pStyle w:val="937"/>
        <w:spacing w:line="360" w:lineRule="auto"/>
        <w:rPr>
          <w:rFonts w:hint="eastAsia" w:ascii="宋体" w:hAnsi="宋体" w:cs="宋体"/>
        </w:rPr>
      </w:pPr>
      <w:r>
        <w:rPr>
          <w:rFonts w:hint="eastAsia" w:ascii="宋体" w:hAnsi="宋体" w:cs="宋体"/>
          <w:sz w:val="21"/>
          <w:szCs w:val="21"/>
        </w:rPr>
        <w:t> </w:t>
      </w:r>
    </w:p>
    <w:p>
      <w:pPr>
        <w:pStyle w:val="937"/>
        <w:spacing w:line="360" w:lineRule="auto"/>
        <w:rPr>
          <w:rFonts w:hint="eastAsia" w:ascii="宋体" w:hAnsi="宋体" w:cs="宋体"/>
        </w:rPr>
      </w:pPr>
      <w:r>
        <w:rPr>
          <w:rFonts w:hint="eastAsia" w:ascii="宋体" w:hAnsi="宋体" w:cs="宋体"/>
          <w:b/>
          <w:bCs/>
          <w:spacing w:val="-2"/>
          <w:sz w:val="21"/>
          <w:szCs w:val="21"/>
        </w:rPr>
        <w:t>【国家税务总局汕头市金平区税务局鮀江税务分局办公</w:t>
      </w:r>
      <w:r>
        <w:rPr>
          <w:rFonts w:hint="eastAsia" w:ascii="宋体" w:hAnsi="宋体" w:cs="宋体"/>
          <w:b/>
          <w:bCs/>
          <w:spacing w:val="-2"/>
          <w:sz w:val="21"/>
          <w:szCs w:val="21"/>
          <w:lang w:eastAsia="zh-CN"/>
        </w:rPr>
        <w:t>区</w:t>
      </w:r>
      <w:r>
        <w:rPr>
          <w:rFonts w:hint="eastAsia" w:ascii="宋体" w:hAnsi="宋体" w:cs="宋体"/>
          <w:b/>
          <w:bCs/>
          <w:spacing w:val="-2"/>
          <w:sz w:val="21"/>
          <w:szCs w:val="21"/>
        </w:rPr>
        <w:t>】</w:t>
      </w:r>
    </w:p>
    <w:p>
      <w:pPr>
        <w:pStyle w:val="937"/>
        <w:spacing w:line="360" w:lineRule="auto"/>
        <w:rPr>
          <w:rFonts w:hint="eastAsia" w:ascii="宋体" w:hAnsi="宋体" w:cs="宋体"/>
        </w:rPr>
      </w:pPr>
      <w:r>
        <w:rPr>
          <w:rFonts w:hint="eastAsia" w:ascii="宋体" w:hAnsi="宋体" w:cs="宋体"/>
          <w:b/>
          <w:bCs/>
          <w:spacing w:val="-2"/>
          <w:sz w:val="21"/>
          <w:szCs w:val="21"/>
        </w:rPr>
        <w:t>（1）物业管理（建筑物）</w:t>
      </w:r>
    </w:p>
    <w:tbl>
      <w:tblPr>
        <w:tblStyle w:val="939"/>
        <w:tblW w:w="8573" w:type="dxa"/>
        <w:tblCellSpacing w:w="0" w:type="dxa"/>
        <w:tblInd w:w="236" w:type="dxa"/>
        <w:tblLayout w:type="fixed"/>
        <w:tblCellMar>
          <w:top w:w="15" w:type="dxa"/>
          <w:left w:w="15" w:type="dxa"/>
          <w:bottom w:w="15" w:type="dxa"/>
          <w:right w:w="15" w:type="dxa"/>
        </w:tblCellMar>
      </w:tblPr>
      <w:tblGrid>
        <w:gridCol w:w="1157"/>
        <w:gridCol w:w="2501"/>
        <w:gridCol w:w="2646"/>
        <w:gridCol w:w="2269"/>
      </w:tblGrid>
      <w:tr>
        <w:tblPrEx>
          <w:tblLayout w:type="fixed"/>
          <w:tblCellMar>
            <w:top w:w="15" w:type="dxa"/>
            <w:left w:w="15" w:type="dxa"/>
            <w:bottom w:w="15" w:type="dxa"/>
            <w:right w:w="15" w:type="dxa"/>
          </w:tblCellMar>
        </w:tblPrEx>
        <w:trPr>
          <w:trHeight w:val="944" w:hRule="atLeast"/>
          <w:tblCellSpacing w:w="0" w:type="dxa"/>
        </w:trPr>
        <w:tc>
          <w:tcPr>
            <w:tcW w:w="3658" w:type="dxa"/>
            <w:gridSpan w:val="2"/>
            <w:tcBorders>
              <w:top w:val="single" w:color="000000" w:sz="8" w:space="0"/>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名称</w:t>
            </w:r>
          </w:p>
        </w:tc>
        <w:tc>
          <w:tcPr>
            <w:tcW w:w="2646"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明细</w:t>
            </w:r>
          </w:p>
        </w:tc>
        <w:tc>
          <w:tcPr>
            <w:tcW w:w="2269" w:type="dxa"/>
            <w:tcBorders>
              <w:top w:val="single" w:color="000000" w:sz="8" w:space="0"/>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rHeight w:val="1712" w:hRule="atLeast"/>
          <w:tblCellSpacing w:w="0" w:type="dxa"/>
        </w:trPr>
        <w:tc>
          <w:tcPr>
            <w:tcW w:w="3658" w:type="dxa"/>
            <w:gridSpan w:val="2"/>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eastAsia="宋体" w:cs="宋体"/>
                <w:color w:val="000000"/>
                <w:lang w:eastAsia="zh-CN"/>
              </w:rPr>
            </w:pPr>
            <w:r>
              <w:rPr>
                <w:rFonts w:hint="eastAsia" w:ascii="宋体" w:hAnsi="宋体" w:cs="宋体"/>
                <w:color w:val="000000"/>
                <w:sz w:val="21"/>
                <w:szCs w:val="21"/>
              </w:rPr>
              <w:t>国家税务总局汕头市金平区税务局鮀江税务分局办公</w:t>
            </w:r>
            <w:r>
              <w:rPr>
                <w:rFonts w:hint="eastAsia" w:ascii="宋体" w:hAnsi="宋体" w:cs="宋体"/>
                <w:color w:val="000000"/>
                <w:sz w:val="21"/>
                <w:szCs w:val="21"/>
                <w:lang w:eastAsia="zh-CN"/>
              </w:rPr>
              <w:t>区</w:t>
            </w:r>
          </w:p>
        </w:tc>
        <w:tc>
          <w:tcPr>
            <w:tcW w:w="2646"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位于汕头市金平区鮀中路3号，办公楼共3层，建筑面积573㎡。</w:t>
            </w:r>
          </w:p>
        </w:tc>
        <w:tc>
          <w:tcPr>
            <w:tcW w:w="2269"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57"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总面积</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建筑面积（㎡）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573㎡</w:t>
            </w:r>
          </w:p>
        </w:tc>
        <w:tc>
          <w:tcPr>
            <w:tcW w:w="2269" w:type="dxa"/>
            <w:tcBorders>
              <w:top w:val="single" w:color="000000" w:sz="8" w:space="0"/>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1328"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需保洁面积（㎡）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573㎡</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见“3.2.1.1.（3）保洁服务”</w:t>
            </w:r>
          </w:p>
        </w:tc>
      </w:tr>
      <w:tr>
        <w:tblPrEx>
          <w:tblLayout w:type="fixed"/>
          <w:tblCellMar>
            <w:top w:w="15" w:type="dxa"/>
            <w:left w:w="15" w:type="dxa"/>
            <w:bottom w:w="15" w:type="dxa"/>
            <w:right w:w="15" w:type="dxa"/>
          </w:tblCellMar>
        </w:tblPrEx>
        <w:trPr>
          <w:trHeight w:val="1440" w:hRule="atLeast"/>
          <w:tblCellSpacing w:w="0" w:type="dxa"/>
        </w:trPr>
        <w:tc>
          <w:tcPr>
            <w:tcW w:w="115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门窗总数量（个）及总面积（㎡）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门92㎡.(门20个），窗94㎡</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地面各材质及总面积（㎡）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乳胶漆，各楼层地面面积200㎡。</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328" w:hRule="atLeast"/>
          <w:tblCellSpacing w:w="0" w:type="dxa"/>
        </w:trPr>
        <w:tc>
          <w:tcPr>
            <w:tcW w:w="115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内墙饰面</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内墙饰面各材质及总面积</w:t>
            </w:r>
            <w:r>
              <w:rPr>
                <w:rFonts w:hint="eastAsia" w:ascii="宋体" w:hAnsi="宋体" w:cs="宋体"/>
                <w:color w:val="000000"/>
                <w:spacing w:val="-2"/>
                <w:sz w:val="21"/>
                <w:szCs w:val="21"/>
              </w:rPr>
              <w:t>（㎡）</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 </w:t>
            </w:r>
          </w:p>
        </w:tc>
      </w:tr>
      <w:tr>
        <w:tblPrEx>
          <w:tblLayout w:type="fixed"/>
          <w:tblCellMar>
            <w:top w:w="15" w:type="dxa"/>
            <w:left w:w="15" w:type="dxa"/>
            <w:bottom w:w="15" w:type="dxa"/>
            <w:right w:w="15" w:type="dxa"/>
          </w:tblCellMar>
        </w:tblPrEx>
        <w:trPr>
          <w:trHeight w:val="1424" w:hRule="atLeast"/>
          <w:tblCellSpacing w:w="0" w:type="dxa"/>
        </w:trPr>
        <w:tc>
          <w:tcPr>
            <w:tcW w:w="115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顶面</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顶面各材质及总面积</w:t>
            </w:r>
            <w:r>
              <w:rPr>
                <w:rFonts w:hint="eastAsia" w:ascii="宋体" w:hAnsi="宋体" w:cs="宋体"/>
                <w:color w:val="000000"/>
                <w:spacing w:val="-2"/>
                <w:sz w:val="21"/>
                <w:szCs w:val="21"/>
              </w:rPr>
              <w:t>（㎡）</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乳胶漆，顶面面积约600㎡</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7"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外墙</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外墙各材质及总面积（㎡）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380㎡</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1424"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外墙需清洗面积（㎡）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220㎡</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2288" w:hRule="atLeast"/>
          <w:tblCellSpacing w:w="0" w:type="dxa"/>
        </w:trPr>
        <w:tc>
          <w:tcPr>
            <w:tcW w:w="1157"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会议室</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xml:space="preserve">室内设施说明 </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2楼会议室1个，会议桌1套、会议椅10张。</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2288"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会议室数量（个）及总面积（㎡）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约20㎡。</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见“3.2.1.1.（3）保洁服务”“3.2.1.1.（6）会议服务”</w:t>
            </w:r>
          </w:p>
        </w:tc>
      </w:tr>
      <w:tr>
        <w:tblPrEx>
          <w:tblLayout w:type="fixed"/>
          <w:tblCellMar>
            <w:top w:w="15" w:type="dxa"/>
            <w:left w:w="15" w:type="dxa"/>
            <w:bottom w:w="15" w:type="dxa"/>
            <w:right w:w="15" w:type="dxa"/>
          </w:tblCellMar>
        </w:tblPrEx>
        <w:trPr>
          <w:trHeight w:val="1008" w:hRule="atLeast"/>
          <w:tblCellSpacing w:w="0" w:type="dxa"/>
        </w:trPr>
        <w:tc>
          <w:tcPr>
            <w:tcW w:w="1157"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报告厅</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室内设施说明</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pacing w:val="-2"/>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报告厅数量（个）及总面积（㎡）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 </w:t>
            </w:r>
          </w:p>
        </w:tc>
      </w:tr>
      <w:tr>
        <w:tblPrEx>
          <w:tblLayout w:type="fixed"/>
          <w:tblCellMar>
            <w:top w:w="15" w:type="dxa"/>
            <w:left w:w="15" w:type="dxa"/>
            <w:bottom w:w="15" w:type="dxa"/>
            <w:right w:w="15" w:type="dxa"/>
          </w:tblCellMar>
        </w:tblPrEx>
        <w:trPr>
          <w:trHeight w:val="1440" w:hRule="atLeast"/>
          <w:tblCellSpacing w:w="0" w:type="dxa"/>
        </w:trPr>
        <w:tc>
          <w:tcPr>
            <w:tcW w:w="115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卫生间</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卫生间数量（个）及总面积（㎡）</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2个，总面积20㎡</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2096" w:hRule="atLeast"/>
          <w:tblCellSpacing w:w="0" w:type="dxa"/>
        </w:trPr>
        <w:tc>
          <w:tcPr>
            <w:tcW w:w="1157" w:type="dxa"/>
            <w:tcBorders>
              <w:left w:val="single" w:color="000000" w:sz="8" w:space="0"/>
              <w:bottom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垃圾存放点</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各垃圾存放点位置、面积（㎡）及数量（个）</w:t>
            </w:r>
          </w:p>
        </w:tc>
        <w:tc>
          <w:tcPr>
            <w:tcW w:w="2646"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餐厨设备处理间1；临时生活垃圾存放间1；危害物暂存间0；楼层垃圾桶6个；分类垃圾桶3个。</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pacing w:val="-2"/>
                <w:sz w:val="21"/>
                <w:szCs w:val="21"/>
              </w:rPr>
              <w:t>见“3.2.1.1.（3）保洁服务”</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7"/>
              <w:jc w:val="center"/>
              <w:rPr>
                <w:rFonts w:hint="eastAsia" w:ascii="宋体" w:hAnsi="宋体" w:cs="宋体"/>
                <w:color w:val="000000"/>
              </w:rPr>
            </w:pPr>
            <w:r>
              <w:rPr>
                <w:rFonts w:hint="eastAsia" w:ascii="宋体" w:hAnsi="宋体" w:cs="宋体"/>
                <w:color w:val="000000"/>
                <w:sz w:val="21"/>
                <w:szCs w:val="21"/>
              </w:rPr>
              <w:t>车位数</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地下车位数</w:t>
            </w:r>
          </w:p>
        </w:tc>
        <w:tc>
          <w:tcPr>
            <w:tcW w:w="2646"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b/>
                <w:bCs/>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b/>
                <w:bCs/>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地面车位数</w:t>
            </w:r>
          </w:p>
        </w:tc>
        <w:tc>
          <w:tcPr>
            <w:tcW w:w="2646"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车行/人行</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车行</w:t>
            </w:r>
          </w:p>
        </w:tc>
        <w:tc>
          <w:tcPr>
            <w:tcW w:w="2646"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人行</w:t>
            </w:r>
          </w:p>
        </w:tc>
        <w:tc>
          <w:tcPr>
            <w:tcW w:w="2646" w:type="dxa"/>
            <w:tcBorders>
              <w:bottom w:val="single" w:color="000000" w:sz="8" w:space="0"/>
              <w:right w:val="single" w:color="000000" w:sz="8" w:space="0"/>
            </w:tcBorders>
            <w:tcMar>
              <w:top w:w="0" w:type="dxa"/>
              <w:left w:w="108" w:type="dxa"/>
              <w:bottom w:w="0" w:type="dxa"/>
              <w:right w:w="128" w:type="dxa"/>
            </w:tcMa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restart"/>
            <w:tcBorders>
              <w:left w:val="single" w:color="000000" w:sz="8" w:space="0"/>
              <w:right w:val="single" w:color="000000" w:sz="8" w:space="0"/>
            </w:tcBorders>
            <w:tcMar>
              <w:top w:w="0" w:type="dxa"/>
              <w:left w:w="12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设施设备</w:t>
            </w: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电梯系统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b/>
                <w:bCs/>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b/>
                <w:bCs/>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空调系统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吸顶分体20台</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采暖系统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给排水系统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市政进水表D15:2个，不在质保期内</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1328"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消防系统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楼层消防栓</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见“3.2.1.1.（5）保安服务”</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锅炉设备</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44"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安防系统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2096"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照明系统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7"/>
              <w:rPr>
                <w:rFonts w:hint="eastAsia" w:ascii="宋体" w:hAnsi="宋体" w:cs="宋体"/>
                <w:color w:val="000000"/>
              </w:rPr>
            </w:pPr>
            <w:r>
              <w:rPr>
                <w:rFonts w:hint="eastAsia" w:ascii="宋体" w:hAnsi="宋体" w:cs="宋体"/>
                <w:color w:val="000000"/>
                <w:sz w:val="21"/>
                <w:szCs w:val="21"/>
              </w:rPr>
              <w:t>LED 筒灯：14支；LED灯管：203支；灯带：10米；外围LED灯2支。不在质保期内</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见“3.2.1.1.（2）公用设施设备维护服务”</w:t>
            </w:r>
          </w:p>
        </w:tc>
      </w:tr>
      <w:tr>
        <w:tblPrEx>
          <w:tblLayout w:type="fixed"/>
          <w:tblCellMar>
            <w:top w:w="15" w:type="dxa"/>
            <w:left w:w="15" w:type="dxa"/>
            <w:bottom w:w="15" w:type="dxa"/>
            <w:right w:w="15" w:type="dxa"/>
          </w:tblCellMar>
        </w:tblPrEx>
        <w:trPr>
          <w:trHeight w:val="1712" w:hRule="atLeast"/>
          <w:tblCellSpacing w:w="0" w:type="dxa"/>
        </w:trPr>
        <w:tc>
          <w:tcPr>
            <w:tcW w:w="1157"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2501"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供配电系统</w:t>
            </w:r>
          </w:p>
        </w:tc>
        <w:tc>
          <w:tcPr>
            <w:tcW w:w="2646" w:type="dxa"/>
            <w:tcBorders>
              <w:bottom w:val="single" w:color="000000" w:sz="8" w:space="0"/>
              <w:right w:val="single" w:color="000000" w:sz="8" w:space="0"/>
            </w:tcBorders>
            <w:tcMar>
              <w:top w:w="0" w:type="dxa"/>
              <w:left w:w="108" w:type="dxa"/>
              <w:bottom w:w="0" w:type="dxa"/>
              <w:right w:w="128"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1套，不在质保期内</w:t>
            </w:r>
          </w:p>
        </w:tc>
        <w:tc>
          <w:tcPr>
            <w:tcW w:w="2269" w:type="dxa"/>
            <w:tcBorders>
              <w:bottom w:val="single" w:color="000000" w:sz="8" w:space="0"/>
              <w:right w:val="single" w:color="000000" w:sz="8" w:space="0"/>
            </w:tcBorders>
            <w:tcMar>
              <w:top w:w="0" w:type="dxa"/>
              <w:left w:w="108" w:type="dxa"/>
              <w:bottom w:w="0" w:type="dxa"/>
              <w:right w:w="128" w:type="dxa"/>
            </w:tcMar>
            <w:vAlign w:val="center"/>
          </w:tcPr>
          <w:p>
            <w:pPr>
              <w:pStyle w:val="938"/>
              <w:rPr>
                <w:rFonts w:hint="eastAsia" w:ascii="宋体" w:hAnsi="宋体" w:cs="宋体"/>
                <w:color w:val="000000"/>
              </w:rPr>
            </w:pPr>
            <w:r>
              <w:rPr>
                <w:rFonts w:hint="eastAsia" w:ascii="宋体" w:hAnsi="宋体" w:cs="宋体"/>
                <w:color w:val="000000"/>
                <w:sz w:val="21"/>
                <w:szCs w:val="21"/>
              </w:rPr>
              <w:t>见“3.2.1.1.（2）公用设施设备维护服务”</w:t>
            </w:r>
          </w:p>
        </w:tc>
      </w:tr>
    </w:tbl>
    <w:p>
      <w:pPr>
        <w:pStyle w:val="937"/>
        <w:spacing w:line="360" w:lineRule="auto"/>
        <w:rPr>
          <w:rFonts w:hint="eastAsia" w:ascii="宋体" w:hAnsi="宋体" w:cs="宋体"/>
        </w:rPr>
      </w:pPr>
      <w:r>
        <w:rPr>
          <w:rFonts w:hint="eastAsia" w:ascii="宋体" w:hAnsi="宋体" w:cs="宋体"/>
          <w:b/>
          <w:bCs/>
          <w:spacing w:val="-2"/>
          <w:sz w:val="21"/>
          <w:szCs w:val="21"/>
        </w:rPr>
        <w:t>（2）物业管理（室外）</w:t>
      </w:r>
    </w:p>
    <w:tbl>
      <w:tblPr>
        <w:tblStyle w:val="940"/>
        <w:tblW w:w="8114" w:type="dxa"/>
        <w:jc w:val="center"/>
        <w:tblCellSpacing w:w="0" w:type="dxa"/>
        <w:tblInd w:w="0" w:type="dxa"/>
        <w:tblLayout w:type="fixed"/>
        <w:tblCellMar>
          <w:top w:w="15" w:type="dxa"/>
          <w:left w:w="15" w:type="dxa"/>
          <w:bottom w:w="15" w:type="dxa"/>
          <w:right w:w="15" w:type="dxa"/>
        </w:tblCellMar>
      </w:tblPr>
      <w:tblGrid>
        <w:gridCol w:w="2156"/>
        <w:gridCol w:w="1885"/>
        <w:gridCol w:w="4073"/>
      </w:tblGrid>
      <w:tr>
        <w:tblPrEx>
          <w:tblLayout w:type="fixed"/>
          <w:tblCellMar>
            <w:top w:w="15" w:type="dxa"/>
            <w:left w:w="15" w:type="dxa"/>
            <w:bottom w:w="15" w:type="dxa"/>
            <w:right w:w="15" w:type="dxa"/>
          </w:tblCellMar>
        </w:tblPrEx>
        <w:trPr>
          <w:tblCellSpacing w:w="0" w:type="dxa"/>
          <w:jc w:val="center"/>
        </w:trPr>
        <w:tc>
          <w:tcPr>
            <w:tcW w:w="215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名称</w:t>
            </w:r>
          </w:p>
        </w:tc>
        <w:tc>
          <w:tcPr>
            <w:tcW w:w="1885"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明细</w:t>
            </w:r>
          </w:p>
        </w:tc>
        <w:tc>
          <w:tcPr>
            <w:tcW w:w="4073"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服务内容及标准</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室外面积</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绿化</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pacing w:val="-2"/>
                <w:sz w:val="21"/>
                <w:szCs w:val="21"/>
              </w:rPr>
              <w:t>6㎡</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见“3.2.1.1.（3）保洁服务”“3.2.1.1.（4）绿化服务”</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广场</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路灯、草坪灯、音箱</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90" w:hRule="atLeast"/>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消防栓</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垃圾箱</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室外配电箱</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门前三包</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10㎡</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见“</w:t>
            </w:r>
            <w:r>
              <w:rPr>
                <w:rFonts w:hint="eastAsia" w:ascii="宋体" w:hAnsi="宋体" w:cs="宋体"/>
                <w:color w:val="000000"/>
                <w:spacing w:val="-2"/>
                <w:sz w:val="21"/>
                <w:szCs w:val="21"/>
              </w:rPr>
              <w:t>3.2.1.1.（3）保洁服务</w:t>
            </w:r>
            <w:r>
              <w:rPr>
                <w:rFonts w:hint="eastAsia" w:ascii="宋体" w:hAnsi="宋体" w:cs="宋体"/>
                <w:color w:val="000000"/>
                <w:sz w:val="21"/>
                <w:szCs w:val="21"/>
              </w:rPr>
              <w:t>”</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监控</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指示牌、显示屏</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blCellSpacing w:w="0" w:type="dxa"/>
          <w:jc w:val="center"/>
        </w:trPr>
        <w:tc>
          <w:tcPr>
            <w:tcW w:w="215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7"/>
              <w:spacing w:line="400" w:lineRule="atLeast"/>
              <w:rPr>
                <w:rFonts w:hint="eastAsia" w:ascii="宋体" w:hAnsi="宋体" w:cs="宋体"/>
                <w:color w:val="000000"/>
              </w:rPr>
            </w:pPr>
            <w:r>
              <w:rPr>
                <w:rFonts w:hint="eastAsia" w:ascii="宋体" w:hAnsi="宋体" w:cs="宋体"/>
                <w:color w:val="000000"/>
                <w:sz w:val="21"/>
                <w:szCs w:val="21"/>
              </w:rPr>
              <w:t>室外充电桩</w:t>
            </w:r>
          </w:p>
        </w:tc>
        <w:tc>
          <w:tcPr>
            <w:tcW w:w="1885" w:type="dxa"/>
            <w:tcBorders>
              <w:bottom w:val="single" w:color="000000" w:sz="8" w:space="0"/>
              <w:right w:val="single" w:color="000000" w:sz="8" w:space="0"/>
            </w:tcBorders>
            <w:tcMar>
              <w:top w:w="0" w:type="dxa"/>
              <w:left w:w="0" w:type="dxa"/>
              <w:bottom w:w="0" w:type="dxa"/>
              <w:right w:w="0" w:type="dxa"/>
            </w:tcMar>
          </w:tcPr>
          <w:p>
            <w:pPr>
              <w:pStyle w:val="937"/>
              <w:spacing w:line="400" w:lineRule="atLeast"/>
              <w:jc w:val="center"/>
              <w:rPr>
                <w:rFonts w:hint="eastAsia" w:ascii="宋体" w:hAnsi="宋体" w:cs="宋体"/>
                <w:color w:val="000000"/>
              </w:rPr>
            </w:pPr>
            <w:r>
              <w:rPr>
                <w:rFonts w:hint="eastAsia" w:ascii="宋体" w:hAnsi="宋体" w:cs="宋体"/>
                <w:color w:val="000000"/>
                <w:sz w:val="21"/>
                <w:szCs w:val="21"/>
              </w:rPr>
              <w:t>/</w:t>
            </w:r>
          </w:p>
        </w:tc>
        <w:tc>
          <w:tcPr>
            <w:tcW w:w="4073" w:type="dxa"/>
            <w:tcBorders>
              <w:bottom w:val="single" w:color="000000" w:sz="8" w:space="0"/>
              <w:right w:val="single" w:color="000000" w:sz="8" w:space="0"/>
            </w:tcBorders>
            <w:tcMar>
              <w:top w:w="0" w:type="dxa"/>
              <w:left w:w="0" w:type="dxa"/>
              <w:bottom w:w="0" w:type="dxa"/>
              <w:right w:w="0" w:type="dxa"/>
            </w:tcMar>
          </w:tcPr>
          <w:p>
            <w:pPr>
              <w:pStyle w:val="937"/>
              <w:spacing w:line="400" w:lineRule="atLeast"/>
              <w:rPr>
                <w:rFonts w:hint="eastAsia" w:ascii="宋体" w:hAnsi="宋体" w:cs="宋体"/>
                <w:color w:val="000000"/>
              </w:rPr>
            </w:pPr>
            <w:r>
              <w:rPr>
                <w:rFonts w:hint="eastAsia" w:ascii="宋体" w:hAnsi="宋体" w:cs="宋体"/>
                <w:color w:val="000000"/>
                <w:sz w:val="21"/>
                <w:szCs w:val="21"/>
              </w:rPr>
              <w:t> </w:t>
            </w:r>
          </w:p>
        </w:tc>
      </w:tr>
    </w:tbl>
    <w:p>
      <w:pPr>
        <w:pStyle w:val="937"/>
        <w:spacing w:line="360" w:lineRule="auto"/>
        <w:rPr>
          <w:rFonts w:hint="eastAsia" w:ascii="宋体" w:hAnsi="宋体" w:cs="宋体"/>
        </w:rPr>
      </w:pPr>
      <w:r>
        <w:rPr>
          <w:rFonts w:hint="eastAsia" w:ascii="宋体" w:hAnsi="宋体" w:cs="宋体"/>
          <w:sz w:val="21"/>
          <w:szCs w:val="21"/>
        </w:rPr>
        <w:t>注：所有设施、设备均以实际数量为准</w:t>
      </w:r>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1.2.2.2实施时间要求</w:t>
      </w:r>
    </w:p>
    <w:p>
      <w:pPr>
        <w:pStyle w:val="935"/>
        <w:spacing w:line="360" w:lineRule="auto"/>
        <w:ind w:firstLine="420"/>
        <w:rPr>
          <w:rFonts w:hint="eastAsia" w:ascii="宋体" w:hAnsi="宋体" w:cs="宋体"/>
        </w:rPr>
      </w:pPr>
      <w:r>
        <w:rPr>
          <w:rFonts w:hint="eastAsia" w:ascii="宋体" w:hAnsi="宋体" w:cs="宋体"/>
          <w:sz w:val="21"/>
          <w:szCs w:val="21"/>
        </w:rPr>
        <w:t>服务期2年（2025年5月至2027年4月，具体时间以合同签订为准）。</w:t>
      </w:r>
    </w:p>
    <w:p>
      <w:pPr>
        <w:pStyle w:val="935"/>
        <w:spacing w:line="360" w:lineRule="auto"/>
        <w:ind w:firstLine="420"/>
        <w:rPr>
          <w:rFonts w:hint="eastAsia" w:ascii="宋体" w:hAnsi="宋体" w:cs="宋体"/>
        </w:rPr>
      </w:pPr>
      <w:r>
        <w:rPr>
          <w:rFonts w:hint="eastAsia" w:ascii="宋体" w:hAnsi="宋体" w:cs="宋体"/>
          <w:sz w:val="21"/>
          <w:szCs w:val="21"/>
        </w:rPr>
        <w:t>（1）合同服务期第1个月为试用期，如试用期内考核不合格，采购人可立即终止合同。</w:t>
      </w:r>
    </w:p>
    <w:p>
      <w:pPr>
        <w:pStyle w:val="935"/>
        <w:spacing w:line="360" w:lineRule="auto"/>
        <w:rPr>
          <w:rFonts w:hint="eastAsia" w:ascii="宋体" w:hAnsi="宋体" w:cs="宋体"/>
        </w:rPr>
      </w:pPr>
      <w:r>
        <w:rPr>
          <w:rFonts w:hint="eastAsia" w:ascii="宋体" w:hAnsi="宋体" w:cs="宋体"/>
          <w:sz w:val="21"/>
          <w:szCs w:val="21"/>
        </w:rPr>
        <w:t>  （2）中标供应商必须在合同签订之日起10日内进场实施工作交接，否则视为违约，合同终止，由此造成采购人的损失应由中标供应商负责赔偿。</w:t>
      </w:r>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1.2.2.3实施地点要求</w:t>
      </w:r>
    </w:p>
    <w:tbl>
      <w:tblPr>
        <w:tblStyle w:val="942"/>
        <w:tblW w:w="8470" w:type="dxa"/>
        <w:jc w:val="center"/>
        <w:tblCellSpacing w:w="0" w:type="dxa"/>
        <w:tblInd w:w="0" w:type="dxa"/>
        <w:tblLayout w:type="fixed"/>
        <w:tblCellMar>
          <w:top w:w="15" w:type="dxa"/>
          <w:left w:w="15" w:type="dxa"/>
          <w:bottom w:w="15" w:type="dxa"/>
          <w:right w:w="15" w:type="dxa"/>
        </w:tblCellMar>
      </w:tblPr>
      <w:tblGrid>
        <w:gridCol w:w="562"/>
        <w:gridCol w:w="5189"/>
        <w:gridCol w:w="2719"/>
      </w:tblGrid>
      <w:tr>
        <w:tblPrEx>
          <w:tblLayout w:type="fixed"/>
          <w:tblCellMar>
            <w:top w:w="15" w:type="dxa"/>
            <w:left w:w="15" w:type="dxa"/>
            <w:bottom w:w="15" w:type="dxa"/>
            <w:right w:w="15" w:type="dxa"/>
          </w:tblCellMar>
        </w:tblPrEx>
        <w:trPr>
          <w:trHeight w:val="464" w:hRule="atLeast"/>
          <w:tblCellSpacing w:w="0" w:type="dxa"/>
          <w:jc w:val="center"/>
        </w:trPr>
        <w:tc>
          <w:tcPr>
            <w:tcW w:w="56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6"/>
              <w:spacing w:before="94" w:line="400" w:lineRule="atLeast"/>
              <w:ind w:left="116"/>
              <w:rPr>
                <w:rFonts w:hint="eastAsia" w:ascii="宋体" w:hAnsi="宋体" w:cs="宋体"/>
                <w:color w:val="000000"/>
              </w:rPr>
            </w:pPr>
            <w:r>
              <w:rPr>
                <w:rFonts w:hint="eastAsia" w:ascii="宋体" w:hAnsi="宋体" w:cs="宋体"/>
                <w:color w:val="000000"/>
                <w:spacing w:val="-2"/>
                <w:sz w:val="21"/>
                <w:szCs w:val="21"/>
              </w:rPr>
              <w:t>序号</w:t>
            </w:r>
          </w:p>
        </w:tc>
        <w:tc>
          <w:tcPr>
            <w:tcW w:w="5189"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before="94" w:line="400" w:lineRule="atLeast"/>
              <w:ind w:left="116"/>
              <w:jc w:val="center"/>
              <w:rPr>
                <w:rFonts w:hint="eastAsia" w:ascii="宋体" w:hAnsi="宋体" w:cs="宋体"/>
                <w:color w:val="000000"/>
              </w:rPr>
            </w:pPr>
            <w:r>
              <w:rPr>
                <w:rFonts w:hint="eastAsia" w:ascii="宋体" w:hAnsi="宋体" w:cs="宋体"/>
                <w:color w:val="000000"/>
                <w:spacing w:val="-2"/>
                <w:sz w:val="21"/>
                <w:szCs w:val="21"/>
              </w:rPr>
              <w:t>物业名称</w:t>
            </w:r>
          </w:p>
        </w:tc>
        <w:tc>
          <w:tcPr>
            <w:tcW w:w="2719"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before="94" w:line="400" w:lineRule="atLeast"/>
              <w:ind w:left="111"/>
              <w:jc w:val="center"/>
              <w:rPr>
                <w:rFonts w:hint="eastAsia" w:ascii="宋体" w:hAnsi="宋体" w:cs="宋体"/>
                <w:color w:val="000000"/>
              </w:rPr>
            </w:pPr>
            <w:r>
              <w:rPr>
                <w:rFonts w:hint="eastAsia" w:ascii="宋体" w:hAnsi="宋体" w:cs="宋体"/>
                <w:color w:val="000000"/>
                <w:spacing w:val="-2"/>
                <w:sz w:val="21"/>
                <w:szCs w:val="21"/>
              </w:rPr>
              <w:t>物业地址</w:t>
            </w:r>
          </w:p>
        </w:tc>
      </w:tr>
      <w:tr>
        <w:tblPrEx>
          <w:tblLayout w:type="fixed"/>
          <w:tblCellMar>
            <w:top w:w="15" w:type="dxa"/>
            <w:left w:w="15" w:type="dxa"/>
            <w:bottom w:w="15" w:type="dxa"/>
            <w:right w:w="15" w:type="dxa"/>
          </w:tblCellMar>
        </w:tblPrEx>
        <w:trPr>
          <w:trHeight w:val="1069" w:hRule="atLeast"/>
          <w:tblCellSpacing w:w="0" w:type="dxa"/>
          <w:jc w:val="center"/>
        </w:trPr>
        <w:tc>
          <w:tcPr>
            <w:tcW w:w="56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ind w:left="119"/>
              <w:rPr>
                <w:rFonts w:hint="eastAsia" w:ascii="宋体" w:hAnsi="宋体" w:cs="宋体"/>
                <w:color w:val="000000"/>
              </w:rPr>
            </w:pPr>
            <w:r>
              <w:rPr>
                <w:rFonts w:hint="eastAsia" w:ascii="宋体" w:hAnsi="宋体" w:cs="宋体"/>
                <w:color w:val="000000"/>
                <w:sz w:val="21"/>
                <w:szCs w:val="21"/>
              </w:rPr>
              <w:t>1</w:t>
            </w:r>
          </w:p>
        </w:tc>
        <w:tc>
          <w:tcPr>
            <w:tcW w:w="518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cs="宋体"/>
                <w:color w:val="000000"/>
              </w:rPr>
            </w:pPr>
            <w:r>
              <w:rPr>
                <w:rFonts w:hint="eastAsia" w:ascii="宋体" w:hAnsi="宋体" w:cs="宋体"/>
                <w:color w:val="000000"/>
                <w:sz w:val="21"/>
                <w:szCs w:val="21"/>
              </w:rPr>
              <w:t>国家税务总局汕头市金平区税务局区局办公</w:t>
            </w:r>
            <w:r>
              <w:rPr>
                <w:rFonts w:hint="eastAsia" w:ascii="宋体" w:hAnsi="宋体" w:cs="宋体"/>
                <w:color w:val="000000"/>
                <w:sz w:val="21"/>
                <w:szCs w:val="21"/>
                <w:lang w:eastAsia="zh-CN"/>
              </w:rPr>
              <w:t>区</w:t>
            </w:r>
          </w:p>
        </w:tc>
        <w:tc>
          <w:tcPr>
            <w:tcW w:w="271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cs="宋体"/>
                <w:color w:val="000000"/>
              </w:rPr>
            </w:pPr>
            <w:r>
              <w:rPr>
                <w:rFonts w:hint="eastAsia" w:ascii="宋体" w:hAnsi="宋体" w:cs="宋体"/>
                <w:color w:val="000000"/>
                <w:sz w:val="21"/>
                <w:szCs w:val="21"/>
              </w:rPr>
              <w:t>汕头市金平区金砂路56号</w:t>
            </w:r>
          </w:p>
        </w:tc>
      </w:tr>
      <w:tr>
        <w:tblPrEx>
          <w:tblLayout w:type="fixed"/>
          <w:tblCellMar>
            <w:top w:w="15" w:type="dxa"/>
            <w:left w:w="15" w:type="dxa"/>
            <w:bottom w:w="15" w:type="dxa"/>
            <w:right w:w="15" w:type="dxa"/>
          </w:tblCellMar>
        </w:tblPrEx>
        <w:trPr>
          <w:trHeight w:val="667" w:hRule="atLeast"/>
          <w:tblCellSpacing w:w="0" w:type="dxa"/>
          <w:jc w:val="center"/>
        </w:trPr>
        <w:tc>
          <w:tcPr>
            <w:tcW w:w="56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ind w:left="119"/>
              <w:rPr>
                <w:rFonts w:hint="eastAsia" w:ascii="宋体" w:hAnsi="宋体" w:cs="宋体"/>
                <w:color w:val="000000"/>
              </w:rPr>
            </w:pPr>
            <w:r>
              <w:rPr>
                <w:rFonts w:hint="eastAsia" w:ascii="宋体" w:hAnsi="宋体" w:cs="宋体"/>
                <w:color w:val="000000"/>
                <w:spacing w:val="-2"/>
                <w:sz w:val="21"/>
                <w:szCs w:val="21"/>
              </w:rPr>
              <w:t>2</w:t>
            </w:r>
          </w:p>
        </w:tc>
        <w:tc>
          <w:tcPr>
            <w:tcW w:w="518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cs="宋体"/>
                <w:color w:val="000000"/>
              </w:rPr>
            </w:pPr>
            <w:r>
              <w:rPr>
                <w:rFonts w:hint="eastAsia" w:ascii="宋体" w:hAnsi="宋体" w:cs="宋体"/>
                <w:color w:val="000000"/>
                <w:sz w:val="21"/>
                <w:szCs w:val="21"/>
              </w:rPr>
              <w:t>国家税务总局汕头市金平区税务局新厦</w:t>
            </w:r>
            <w:r>
              <w:rPr>
                <w:rFonts w:hint="eastAsia" w:ascii="宋体" w:hAnsi="宋体" w:cs="宋体"/>
                <w:color w:val="000000"/>
                <w:sz w:val="21"/>
                <w:szCs w:val="21"/>
                <w:lang w:eastAsia="zh-CN"/>
              </w:rPr>
              <w:t>路</w:t>
            </w:r>
            <w:r>
              <w:rPr>
                <w:rFonts w:hint="eastAsia" w:ascii="宋体" w:hAnsi="宋体" w:cs="宋体"/>
                <w:color w:val="000000"/>
                <w:sz w:val="21"/>
                <w:szCs w:val="21"/>
              </w:rPr>
              <w:t>办公区</w:t>
            </w:r>
          </w:p>
        </w:tc>
        <w:tc>
          <w:tcPr>
            <w:tcW w:w="271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cs="宋体"/>
                <w:color w:val="000000"/>
              </w:rPr>
            </w:pPr>
            <w:r>
              <w:rPr>
                <w:rFonts w:hint="eastAsia" w:ascii="宋体" w:hAnsi="宋体" w:cs="宋体"/>
                <w:color w:val="000000"/>
                <w:sz w:val="21"/>
                <w:szCs w:val="21"/>
              </w:rPr>
              <w:t>汕头市金平区新厦路13号</w:t>
            </w:r>
          </w:p>
        </w:tc>
      </w:tr>
      <w:tr>
        <w:tblPrEx>
          <w:tblLayout w:type="fixed"/>
          <w:tblCellMar>
            <w:top w:w="15" w:type="dxa"/>
            <w:left w:w="15" w:type="dxa"/>
            <w:bottom w:w="15" w:type="dxa"/>
            <w:right w:w="15" w:type="dxa"/>
          </w:tblCellMar>
        </w:tblPrEx>
        <w:trPr>
          <w:trHeight w:val="667" w:hRule="atLeast"/>
          <w:tblCellSpacing w:w="0" w:type="dxa"/>
          <w:jc w:val="center"/>
        </w:trPr>
        <w:tc>
          <w:tcPr>
            <w:tcW w:w="56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ind w:left="119"/>
              <w:rPr>
                <w:rFonts w:hint="eastAsia" w:ascii="宋体" w:hAnsi="宋体" w:cs="宋体"/>
                <w:color w:val="000000"/>
              </w:rPr>
            </w:pPr>
            <w:r>
              <w:rPr>
                <w:rFonts w:hint="eastAsia" w:ascii="宋体" w:hAnsi="宋体" w:cs="宋体"/>
                <w:color w:val="000000"/>
                <w:spacing w:val="-2"/>
                <w:sz w:val="21"/>
                <w:szCs w:val="21"/>
              </w:rPr>
              <w:t>3</w:t>
            </w:r>
          </w:p>
        </w:tc>
        <w:tc>
          <w:tcPr>
            <w:tcW w:w="518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eastAsia="宋体" w:cs="宋体"/>
                <w:color w:val="000000"/>
                <w:lang w:eastAsia="zh-CN"/>
              </w:rPr>
            </w:pPr>
            <w:r>
              <w:rPr>
                <w:rFonts w:hint="eastAsia" w:ascii="宋体" w:hAnsi="宋体" w:cs="宋体"/>
                <w:color w:val="000000"/>
                <w:sz w:val="21"/>
                <w:szCs w:val="21"/>
              </w:rPr>
              <w:t>国家税务总局汕头市金平区税务局同益税务分局办公</w:t>
            </w:r>
            <w:r>
              <w:rPr>
                <w:rFonts w:hint="eastAsia" w:ascii="宋体" w:hAnsi="宋体" w:cs="宋体"/>
                <w:color w:val="000000"/>
                <w:sz w:val="21"/>
                <w:szCs w:val="21"/>
                <w:lang w:eastAsia="zh-CN"/>
              </w:rPr>
              <w:t>区</w:t>
            </w:r>
          </w:p>
        </w:tc>
        <w:tc>
          <w:tcPr>
            <w:tcW w:w="271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cs="宋体"/>
                <w:color w:val="000000"/>
              </w:rPr>
            </w:pPr>
            <w:r>
              <w:rPr>
                <w:rFonts w:hint="eastAsia" w:ascii="宋体" w:hAnsi="宋体" w:cs="宋体"/>
                <w:color w:val="000000"/>
                <w:sz w:val="21"/>
                <w:szCs w:val="21"/>
              </w:rPr>
              <w:t>汕头市金平区福平路4号</w:t>
            </w:r>
          </w:p>
        </w:tc>
      </w:tr>
      <w:tr>
        <w:tblPrEx>
          <w:tblLayout w:type="fixed"/>
          <w:tblCellMar>
            <w:top w:w="15" w:type="dxa"/>
            <w:left w:w="15" w:type="dxa"/>
            <w:bottom w:w="15" w:type="dxa"/>
            <w:right w:w="15" w:type="dxa"/>
          </w:tblCellMar>
        </w:tblPrEx>
        <w:trPr>
          <w:trHeight w:val="667" w:hRule="atLeast"/>
          <w:tblCellSpacing w:w="0" w:type="dxa"/>
          <w:jc w:val="center"/>
        </w:trPr>
        <w:tc>
          <w:tcPr>
            <w:tcW w:w="56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ind w:left="119"/>
              <w:rPr>
                <w:rFonts w:hint="eastAsia" w:ascii="宋体" w:hAnsi="宋体" w:cs="宋体"/>
                <w:color w:val="000000"/>
              </w:rPr>
            </w:pPr>
            <w:r>
              <w:rPr>
                <w:rFonts w:hint="eastAsia" w:ascii="宋体" w:hAnsi="宋体" w:cs="宋体"/>
                <w:color w:val="000000"/>
                <w:spacing w:val="-2"/>
                <w:sz w:val="21"/>
                <w:szCs w:val="21"/>
              </w:rPr>
              <w:t>4</w:t>
            </w:r>
          </w:p>
        </w:tc>
        <w:tc>
          <w:tcPr>
            <w:tcW w:w="518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eastAsia="宋体" w:cs="宋体"/>
                <w:color w:val="000000"/>
                <w:lang w:eastAsia="zh-CN"/>
              </w:rPr>
            </w:pPr>
            <w:r>
              <w:rPr>
                <w:rFonts w:hint="eastAsia" w:ascii="宋体" w:hAnsi="宋体" w:cs="宋体"/>
                <w:color w:val="000000"/>
                <w:sz w:val="21"/>
                <w:szCs w:val="21"/>
              </w:rPr>
              <w:t>国家税务总局汕头市金平区税务局鮀江税务分局办公</w:t>
            </w:r>
            <w:r>
              <w:rPr>
                <w:rFonts w:hint="eastAsia" w:ascii="宋体" w:hAnsi="宋体" w:cs="宋体"/>
                <w:color w:val="000000"/>
                <w:sz w:val="21"/>
                <w:szCs w:val="21"/>
                <w:lang w:eastAsia="zh-CN"/>
              </w:rPr>
              <w:t>区</w:t>
            </w:r>
          </w:p>
        </w:tc>
        <w:tc>
          <w:tcPr>
            <w:tcW w:w="2719" w:type="dxa"/>
            <w:tcBorders>
              <w:bottom w:val="single" w:color="000000" w:sz="8" w:space="0"/>
              <w:right w:val="single" w:color="000000" w:sz="8" w:space="0"/>
            </w:tcBorders>
            <w:tcMar>
              <w:top w:w="0" w:type="dxa"/>
              <w:left w:w="0" w:type="dxa"/>
              <w:bottom w:w="0" w:type="dxa"/>
              <w:right w:w="0" w:type="dxa"/>
            </w:tcMar>
            <w:vAlign w:val="center"/>
          </w:tcPr>
          <w:p>
            <w:pPr>
              <w:pStyle w:val="936"/>
              <w:spacing w:before="88" w:line="400" w:lineRule="atLeast"/>
              <w:rPr>
                <w:rFonts w:hint="eastAsia" w:ascii="宋体" w:hAnsi="宋体" w:cs="宋体"/>
                <w:color w:val="000000"/>
              </w:rPr>
            </w:pPr>
            <w:r>
              <w:rPr>
                <w:rFonts w:hint="eastAsia" w:ascii="宋体" w:hAnsi="宋体" w:cs="宋体"/>
                <w:color w:val="000000"/>
                <w:sz w:val="21"/>
                <w:szCs w:val="21"/>
              </w:rPr>
              <w:t>汕头市金平区鮀中路3号</w:t>
            </w:r>
          </w:p>
        </w:tc>
      </w:tr>
    </w:tbl>
    <w:p>
      <w:pPr>
        <w:pStyle w:val="936"/>
        <w:spacing w:line="360" w:lineRule="auto"/>
        <w:rPr>
          <w:rFonts w:hint="eastAsia" w:ascii="宋体" w:hAnsi="宋体" w:cs="宋体"/>
        </w:rPr>
      </w:pPr>
      <w:r>
        <w:rPr>
          <w:rFonts w:hint="eastAsia" w:ascii="宋体" w:hAnsi="宋体" w:cs="宋体"/>
          <w:sz w:val="21"/>
          <w:szCs w:val="21"/>
        </w:rPr>
        <w:t> </w:t>
      </w:r>
    </w:p>
    <w:p>
      <w:pPr>
        <w:pStyle w:val="7"/>
        <w:keepNext w:val="0"/>
        <w:spacing w:before="0" w:after="0" w:line="360" w:lineRule="auto"/>
        <w:rPr>
          <w:rFonts w:hint="eastAsia" w:ascii="宋体" w:hAnsi="宋体" w:eastAsia="宋体" w:cs="宋体"/>
          <w:bCs/>
          <w:sz w:val="28"/>
          <w:szCs w:val="28"/>
        </w:rPr>
      </w:pPr>
      <w:bookmarkStart w:id="20" w:name="_Toc256000006"/>
      <w:r>
        <w:rPr>
          <w:rFonts w:hint="eastAsia" w:ascii="宋体" w:hAnsi="宋体" w:eastAsia="宋体" w:cs="宋体"/>
        </w:rPr>
        <w:t>1.3其他要求</w:t>
      </w:r>
      <w:bookmarkEnd w:id="20"/>
    </w:p>
    <w:p>
      <w:pPr>
        <w:pStyle w:val="8"/>
        <w:keepNext w:val="0"/>
        <w:spacing w:before="0" w:after="0" w:line="360" w:lineRule="auto"/>
        <w:rPr>
          <w:rFonts w:hint="eastAsia" w:ascii="宋体" w:hAnsi="宋体" w:cs="宋体"/>
          <w:bCs/>
          <w:sz w:val="28"/>
          <w:szCs w:val="28"/>
        </w:rPr>
      </w:pPr>
      <w:bookmarkStart w:id="21" w:name="_Toc256000007"/>
      <w:r>
        <w:rPr>
          <w:rFonts w:hint="eastAsia" w:ascii="宋体" w:hAnsi="宋体" w:cs="宋体"/>
          <w:sz w:val="28"/>
          <w:szCs w:val="28"/>
        </w:rPr>
        <w:t>1.3.1采购人提供供应商使用以下的场地、设施、设备、材料等</w:t>
      </w:r>
      <w:bookmarkEnd w:id="21"/>
    </w:p>
    <w:p>
      <w:pPr>
        <w:pStyle w:val="935"/>
        <w:spacing w:line="360" w:lineRule="auto"/>
        <w:ind w:firstLine="420"/>
        <w:rPr>
          <w:rFonts w:hint="eastAsia" w:ascii="宋体" w:hAnsi="宋体" w:cs="宋体"/>
        </w:rPr>
      </w:pPr>
      <w:r>
        <w:rPr>
          <w:rFonts w:hint="eastAsia" w:ascii="宋体" w:hAnsi="宋体" w:cs="宋体"/>
          <w:sz w:val="21"/>
          <w:szCs w:val="21"/>
        </w:rPr>
        <w:t>（1）采购人可提供物业使用值班室1间，位于区局办公大楼一楼。</w:t>
      </w:r>
    </w:p>
    <w:p>
      <w:pPr>
        <w:pStyle w:val="935"/>
        <w:spacing w:line="360" w:lineRule="auto"/>
        <w:ind w:firstLine="420"/>
        <w:rPr>
          <w:rFonts w:hint="eastAsia" w:ascii="宋体" w:hAnsi="宋体" w:cs="宋体"/>
        </w:rPr>
      </w:pPr>
      <w:r>
        <w:rPr>
          <w:rFonts w:hint="eastAsia" w:ascii="宋体" w:hAnsi="宋体" w:cs="宋体"/>
          <w:sz w:val="21"/>
          <w:szCs w:val="21"/>
        </w:rPr>
        <w:t>（2）采购人可提供的设备设施维修材料实际由采购人根据实际使用量在符合政策范围内采购；</w:t>
      </w:r>
    </w:p>
    <w:p>
      <w:pPr>
        <w:pStyle w:val="935"/>
        <w:spacing w:line="360" w:lineRule="auto"/>
        <w:ind w:firstLine="420"/>
        <w:rPr>
          <w:rFonts w:hint="eastAsia" w:ascii="宋体" w:hAnsi="宋体" w:cs="宋体"/>
        </w:rPr>
      </w:pPr>
      <w:r>
        <w:rPr>
          <w:rFonts w:hint="eastAsia" w:ascii="宋体" w:hAnsi="宋体" w:cs="宋体"/>
          <w:sz w:val="21"/>
          <w:szCs w:val="21"/>
        </w:rPr>
        <w:t>（3）采购人可提供的低值易耗品、工具由采购人根据实际使用量在符合政策范围内采购，中标人每个月统计易耗品、工具损耗后，根据需求向采购人管理部门领取（“8.3.2其他说明”列明的物品除外）；</w:t>
      </w:r>
    </w:p>
    <w:p>
      <w:pPr>
        <w:pStyle w:val="935"/>
        <w:spacing w:line="360" w:lineRule="auto"/>
        <w:ind w:firstLine="420"/>
        <w:rPr>
          <w:rFonts w:hint="eastAsia" w:ascii="宋体" w:hAnsi="宋体" w:cs="宋体"/>
        </w:rPr>
      </w:pPr>
      <w:r>
        <w:rPr>
          <w:rFonts w:hint="eastAsia" w:ascii="宋体" w:hAnsi="宋体" w:cs="宋体"/>
          <w:sz w:val="21"/>
          <w:szCs w:val="21"/>
        </w:rPr>
        <w:t>（4）采购人可提供的物业管理服务设备：</w:t>
      </w:r>
    </w:p>
    <w:tbl>
      <w:tblPr>
        <w:tblStyle w:val="943"/>
        <w:tblW w:w="7007" w:type="dxa"/>
        <w:tblCellSpacing w:w="0" w:type="dxa"/>
        <w:tblInd w:w="439" w:type="dxa"/>
        <w:tblLayout w:type="fixed"/>
        <w:tblCellMar>
          <w:top w:w="15" w:type="dxa"/>
          <w:left w:w="15" w:type="dxa"/>
          <w:bottom w:w="15" w:type="dxa"/>
          <w:right w:w="15" w:type="dxa"/>
        </w:tblCellMar>
      </w:tblPr>
      <w:tblGrid>
        <w:gridCol w:w="651"/>
        <w:gridCol w:w="1982"/>
        <w:gridCol w:w="1567"/>
        <w:gridCol w:w="1567"/>
        <w:gridCol w:w="1240"/>
      </w:tblGrid>
      <w:tr>
        <w:tblPrEx>
          <w:tblLayout w:type="fixed"/>
          <w:tblCellMar>
            <w:top w:w="15" w:type="dxa"/>
            <w:left w:w="15" w:type="dxa"/>
            <w:bottom w:w="15" w:type="dxa"/>
            <w:right w:w="15" w:type="dxa"/>
          </w:tblCellMar>
        </w:tblPrEx>
        <w:trPr>
          <w:trHeight w:val="397" w:hRule="atLeast"/>
          <w:tblCellSpacing w:w="0" w:type="dxa"/>
        </w:trPr>
        <w:tc>
          <w:tcPr>
            <w:tcW w:w="651"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序号</w:t>
            </w:r>
          </w:p>
        </w:tc>
        <w:tc>
          <w:tcPr>
            <w:tcW w:w="1982"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设备名称</w:t>
            </w:r>
          </w:p>
        </w:tc>
        <w:tc>
          <w:tcPr>
            <w:tcW w:w="1567"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用途</w:t>
            </w:r>
          </w:p>
        </w:tc>
        <w:tc>
          <w:tcPr>
            <w:tcW w:w="1567"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数量</w:t>
            </w:r>
          </w:p>
        </w:tc>
        <w:tc>
          <w:tcPr>
            <w:tcW w:w="1240"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备注</w:t>
            </w:r>
          </w:p>
        </w:tc>
      </w:tr>
      <w:tr>
        <w:tblPrEx>
          <w:tblLayout w:type="fixed"/>
          <w:tblCellMar>
            <w:top w:w="15" w:type="dxa"/>
            <w:left w:w="15" w:type="dxa"/>
            <w:bottom w:w="15" w:type="dxa"/>
            <w:right w:w="15" w:type="dxa"/>
          </w:tblCellMar>
        </w:tblPrEx>
        <w:trPr>
          <w:trHeight w:val="397" w:hRule="atLeast"/>
          <w:tblCellSpacing w:w="0" w:type="dxa"/>
        </w:trPr>
        <w:tc>
          <w:tcPr>
            <w:tcW w:w="65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1</w:t>
            </w:r>
          </w:p>
        </w:tc>
        <w:tc>
          <w:tcPr>
            <w:tcW w:w="198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防爆钢叉、盾、帽等</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安全保障</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4套</w:t>
            </w:r>
          </w:p>
        </w:tc>
        <w:tc>
          <w:tcPr>
            <w:tcW w:w="124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397" w:hRule="atLeast"/>
          <w:tblCellSpacing w:w="0" w:type="dxa"/>
        </w:trPr>
        <w:tc>
          <w:tcPr>
            <w:tcW w:w="65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2</w:t>
            </w:r>
          </w:p>
        </w:tc>
        <w:tc>
          <w:tcPr>
            <w:tcW w:w="198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梯子</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服务需要</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1张</w:t>
            </w:r>
          </w:p>
        </w:tc>
        <w:tc>
          <w:tcPr>
            <w:tcW w:w="124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397" w:hRule="atLeast"/>
          <w:tblCellSpacing w:w="0" w:type="dxa"/>
        </w:trPr>
        <w:tc>
          <w:tcPr>
            <w:tcW w:w="65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3</w:t>
            </w:r>
          </w:p>
        </w:tc>
        <w:tc>
          <w:tcPr>
            <w:tcW w:w="198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对讲机</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应急沟通</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16台</w:t>
            </w:r>
          </w:p>
        </w:tc>
        <w:tc>
          <w:tcPr>
            <w:tcW w:w="124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397" w:hRule="atLeast"/>
          <w:tblCellSpacing w:w="0" w:type="dxa"/>
        </w:trPr>
        <w:tc>
          <w:tcPr>
            <w:tcW w:w="65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4</w:t>
            </w:r>
          </w:p>
        </w:tc>
        <w:tc>
          <w:tcPr>
            <w:tcW w:w="198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办公桌</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办公需要</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2张</w:t>
            </w:r>
          </w:p>
        </w:tc>
        <w:tc>
          <w:tcPr>
            <w:tcW w:w="1240" w:type="dxa"/>
            <w:tcBorders>
              <w:bottom w:val="single" w:color="000000" w:sz="8" w:space="0"/>
              <w:right w:val="single" w:color="000000" w:sz="8" w:space="0"/>
            </w:tcBorders>
            <w:tcMar>
              <w:top w:w="0" w:type="dxa"/>
              <w:left w:w="108" w:type="dxa"/>
              <w:bottom w:w="0" w:type="dxa"/>
              <w:right w:w="118" w:type="dxa"/>
            </w:tcMar>
            <w:vAlign w:val="center"/>
          </w:tcPr>
          <w:p>
            <w:pPr>
              <w:pStyle w:val="944"/>
              <w:jc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397" w:hRule="atLeast"/>
          <w:tblCellSpacing w:w="0" w:type="dxa"/>
        </w:trPr>
        <w:tc>
          <w:tcPr>
            <w:tcW w:w="65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5</w:t>
            </w:r>
          </w:p>
        </w:tc>
        <w:tc>
          <w:tcPr>
            <w:tcW w:w="198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资料柜</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办公需要</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1套</w:t>
            </w:r>
          </w:p>
        </w:tc>
        <w:tc>
          <w:tcPr>
            <w:tcW w:w="1240" w:type="dxa"/>
            <w:tcBorders>
              <w:bottom w:val="single" w:color="000000" w:sz="8" w:space="0"/>
              <w:right w:val="single" w:color="000000" w:sz="8" w:space="0"/>
            </w:tcBorders>
            <w:tcMar>
              <w:top w:w="0" w:type="dxa"/>
              <w:left w:w="108" w:type="dxa"/>
              <w:bottom w:w="0" w:type="dxa"/>
              <w:right w:w="118" w:type="dxa"/>
            </w:tcMar>
            <w:vAlign w:val="center"/>
          </w:tcPr>
          <w:p>
            <w:pPr>
              <w:pStyle w:val="944"/>
              <w:jc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397" w:hRule="atLeast"/>
          <w:tblCellSpacing w:w="0" w:type="dxa"/>
        </w:trPr>
        <w:tc>
          <w:tcPr>
            <w:tcW w:w="65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6</w:t>
            </w:r>
          </w:p>
        </w:tc>
        <w:tc>
          <w:tcPr>
            <w:tcW w:w="198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电脑</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办公需要</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1台</w:t>
            </w:r>
          </w:p>
        </w:tc>
        <w:tc>
          <w:tcPr>
            <w:tcW w:w="124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397" w:hRule="atLeast"/>
          <w:tblCellSpacing w:w="0" w:type="dxa"/>
        </w:trPr>
        <w:tc>
          <w:tcPr>
            <w:tcW w:w="65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7</w:t>
            </w:r>
          </w:p>
        </w:tc>
        <w:tc>
          <w:tcPr>
            <w:tcW w:w="198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打印机</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办公需要</w:t>
            </w:r>
          </w:p>
        </w:tc>
        <w:tc>
          <w:tcPr>
            <w:tcW w:w="156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1台</w:t>
            </w:r>
          </w:p>
        </w:tc>
        <w:tc>
          <w:tcPr>
            <w:tcW w:w="124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rPr>
              <w:t> </w:t>
            </w:r>
          </w:p>
        </w:tc>
      </w:tr>
    </w:tbl>
    <w:p>
      <w:pPr>
        <w:pStyle w:val="6"/>
        <w:keepNext w:val="0"/>
        <w:spacing w:before="0" w:after="0" w:line="360" w:lineRule="auto"/>
        <w:jc w:val="center"/>
        <w:rPr>
          <w:rFonts w:hint="eastAsia" w:ascii="宋体" w:hAnsi="宋体" w:cs="宋体"/>
          <w:bCs/>
          <w:sz w:val="32"/>
          <w:szCs w:val="32"/>
        </w:rPr>
      </w:pPr>
      <w:bookmarkStart w:id="22" w:name="_Toc256000008"/>
      <w:r>
        <w:rPr>
          <w:rFonts w:hint="eastAsia" w:ascii="宋体" w:hAnsi="宋体" w:cs="宋体"/>
          <w:kern w:val="36"/>
        </w:rPr>
        <w:t>2投标/响应要求</w:t>
      </w:r>
      <w:bookmarkEnd w:id="22"/>
    </w:p>
    <w:p>
      <w:pPr>
        <w:pStyle w:val="7"/>
        <w:keepNext w:val="0"/>
        <w:spacing w:before="0" w:after="0" w:line="360" w:lineRule="auto"/>
        <w:rPr>
          <w:rFonts w:hint="eastAsia" w:ascii="宋体" w:hAnsi="宋体" w:eastAsia="宋体" w:cs="宋体"/>
          <w:bCs/>
          <w:sz w:val="28"/>
          <w:szCs w:val="28"/>
        </w:rPr>
      </w:pPr>
      <w:bookmarkStart w:id="23" w:name="_Toc256000009"/>
      <w:r>
        <w:rPr>
          <w:rFonts w:hint="eastAsia" w:ascii="宋体" w:hAnsi="宋体" w:eastAsia="宋体" w:cs="宋体"/>
        </w:rPr>
        <w:t>2.1对供应商的要求</w:t>
      </w:r>
      <w:bookmarkEnd w:id="23"/>
    </w:p>
    <w:p>
      <w:pPr>
        <w:pStyle w:val="8"/>
        <w:keepNext w:val="0"/>
        <w:spacing w:before="0" w:after="0" w:line="360" w:lineRule="auto"/>
        <w:rPr>
          <w:rFonts w:hint="eastAsia" w:ascii="宋体" w:hAnsi="宋体" w:cs="宋体"/>
          <w:bCs/>
          <w:sz w:val="28"/>
          <w:szCs w:val="28"/>
        </w:rPr>
      </w:pPr>
      <w:bookmarkStart w:id="24" w:name="_Toc256000010"/>
      <w:r>
        <w:rPr>
          <w:rFonts w:hint="eastAsia" w:ascii="宋体" w:hAnsi="宋体" w:cs="宋体"/>
          <w:sz w:val="28"/>
          <w:szCs w:val="28"/>
        </w:rPr>
        <w:t>2.1.1必备资质</w:t>
      </w:r>
      <w:bookmarkEnd w:id="24"/>
    </w:p>
    <w:p>
      <w:pPr>
        <w:pStyle w:val="9"/>
        <w:keepNext w:val="0"/>
        <w:spacing w:before="0" w:after="0" w:line="360" w:lineRule="auto"/>
        <w:rPr>
          <w:rFonts w:hint="eastAsia" w:ascii="宋体" w:hAnsi="宋体" w:eastAsia="宋体" w:cs="宋体"/>
          <w:b w:val="0"/>
          <w:bCs/>
          <w:sz w:val="24"/>
          <w:szCs w:val="24"/>
        </w:rPr>
      </w:pPr>
      <w:r>
        <w:rPr>
          <w:rFonts w:hint="eastAsia" w:ascii="宋体" w:hAnsi="宋体" w:eastAsia="宋体" w:cs="宋体"/>
          <w:b w:val="0"/>
          <w:bCs/>
          <w:sz w:val="24"/>
          <w:szCs w:val="18"/>
        </w:rPr>
        <w:t>2.1.1.1投标人应遵守有关国家法律、法规和条例,具备《中华人民共和国政府采购法》第二十二条的规定和本文件中规定的条件。</w:t>
      </w:r>
    </w:p>
    <w:p>
      <w:pPr>
        <w:pStyle w:val="8"/>
        <w:keepNext w:val="0"/>
        <w:spacing w:before="0" w:after="0" w:line="360" w:lineRule="auto"/>
        <w:rPr>
          <w:rFonts w:hint="eastAsia" w:ascii="宋体" w:hAnsi="宋体" w:cs="宋体"/>
          <w:bCs/>
          <w:sz w:val="28"/>
          <w:szCs w:val="28"/>
        </w:rPr>
      </w:pPr>
      <w:bookmarkStart w:id="25" w:name="_Toc256000011"/>
      <w:r>
        <w:rPr>
          <w:rFonts w:hint="eastAsia" w:ascii="宋体" w:hAnsi="宋体" w:cs="宋体"/>
          <w:sz w:val="28"/>
          <w:szCs w:val="28"/>
        </w:rPr>
        <w:t>2.1.2优选指标</w:t>
      </w:r>
      <w:bookmarkEnd w:id="25"/>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2.1.2.1相关证书</w:t>
      </w:r>
    </w:p>
    <w:p>
      <w:pPr>
        <w:pStyle w:val="935"/>
        <w:spacing w:line="360" w:lineRule="auto"/>
        <w:rPr>
          <w:rFonts w:hint="eastAsia" w:ascii="宋体" w:hAnsi="宋体" w:cs="宋体"/>
        </w:rPr>
      </w:pPr>
      <w:r>
        <w:rPr>
          <w:rFonts w:hint="eastAsia" w:ascii="宋体" w:hAnsi="宋体" w:cs="宋体"/>
          <w:sz w:val="21"/>
          <w:szCs w:val="21"/>
        </w:rPr>
        <w:t>供应商具有ISO 9001质量管理体系认证证书（认证范围须与物业管理相关）、GB/T 20647.9物业服务体系认证证书，予以加分。</w:t>
      </w:r>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2.1.2.2相关案例</w:t>
      </w:r>
    </w:p>
    <w:p>
      <w:pPr>
        <w:pStyle w:val="935"/>
        <w:spacing w:line="360" w:lineRule="auto"/>
        <w:rPr>
          <w:rFonts w:hint="eastAsia" w:ascii="宋体" w:hAnsi="宋体" w:cs="宋体"/>
        </w:rPr>
      </w:pPr>
      <w:r>
        <w:rPr>
          <w:rFonts w:hint="eastAsia" w:ascii="宋体" w:hAnsi="宋体" w:cs="宋体"/>
          <w:sz w:val="21"/>
          <w:szCs w:val="21"/>
        </w:rPr>
        <w:t>提供2022年1月1日至今（以合同签订时间为准），供应商独立承担的物业管理服务项目案例，予以加分。</w:t>
      </w:r>
    </w:p>
    <w:p>
      <w:pPr>
        <w:pStyle w:val="8"/>
        <w:keepNext w:val="0"/>
        <w:spacing w:before="0" w:after="0" w:line="360" w:lineRule="auto"/>
        <w:rPr>
          <w:rFonts w:hint="eastAsia" w:ascii="宋体" w:hAnsi="宋体" w:cs="宋体"/>
          <w:bCs/>
          <w:sz w:val="28"/>
          <w:szCs w:val="28"/>
        </w:rPr>
      </w:pPr>
      <w:bookmarkStart w:id="26" w:name="_Toc256000012"/>
      <w:r>
        <w:rPr>
          <w:rFonts w:hint="eastAsia" w:ascii="宋体" w:hAnsi="宋体" w:cs="宋体"/>
          <w:sz w:val="28"/>
          <w:szCs w:val="28"/>
        </w:rPr>
        <w:t>2.1.3是否允许联合体</w:t>
      </w:r>
      <w:bookmarkEnd w:id="26"/>
    </w:p>
    <w:p>
      <w:pPr>
        <w:spacing w:line="360" w:lineRule="auto"/>
        <w:ind w:firstLine="561"/>
        <w:rPr>
          <w:rFonts w:hint="eastAsia" w:ascii="宋体" w:hAnsi="宋体" w:cs="宋体"/>
          <w:sz w:val="21"/>
          <w:szCs w:val="21"/>
        </w:rPr>
      </w:pPr>
      <w:r>
        <w:rPr>
          <w:rFonts w:hint="eastAsia" w:ascii="宋体" w:hAnsi="宋体" w:cs="宋体"/>
          <w:sz w:val="21"/>
          <w:szCs w:val="21"/>
        </w:rPr>
        <w:t>否</w:t>
      </w:r>
    </w:p>
    <w:p>
      <w:pPr>
        <w:pStyle w:val="8"/>
        <w:keepNext w:val="0"/>
        <w:spacing w:before="0" w:after="0" w:line="360" w:lineRule="auto"/>
        <w:rPr>
          <w:rFonts w:hint="eastAsia" w:ascii="宋体" w:hAnsi="宋体" w:cs="宋体"/>
          <w:bCs/>
          <w:sz w:val="28"/>
          <w:szCs w:val="28"/>
        </w:rPr>
      </w:pPr>
      <w:bookmarkStart w:id="27" w:name="_Toc256000013"/>
      <w:r>
        <w:rPr>
          <w:rFonts w:hint="eastAsia" w:ascii="宋体" w:hAnsi="宋体" w:cs="宋体"/>
          <w:sz w:val="28"/>
          <w:szCs w:val="28"/>
        </w:rPr>
        <w:t>2.1.4是否专门面向中小企业</w:t>
      </w:r>
      <w:bookmarkEnd w:id="27"/>
    </w:p>
    <w:p>
      <w:pPr>
        <w:spacing w:line="360" w:lineRule="auto"/>
        <w:ind w:firstLine="561"/>
        <w:rPr>
          <w:rFonts w:hint="eastAsia" w:ascii="宋体" w:hAnsi="宋体" w:cs="宋体"/>
          <w:sz w:val="21"/>
          <w:szCs w:val="21"/>
        </w:rPr>
      </w:pPr>
      <w:r>
        <w:rPr>
          <w:rFonts w:hint="eastAsia" w:ascii="宋体" w:hAnsi="宋体" w:cs="宋体"/>
          <w:sz w:val="21"/>
          <w:szCs w:val="21"/>
        </w:rPr>
        <w:t>本项目专门面向中小企业采购项目</w:t>
      </w:r>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2.1.4.1具体要求</w:t>
      </w:r>
    </w:p>
    <w:p>
      <w:pPr>
        <w:pStyle w:val="945"/>
        <w:spacing w:line="360" w:lineRule="auto"/>
        <w:rPr>
          <w:rFonts w:hint="eastAsia" w:ascii="宋体" w:hAnsi="宋体" w:cs="宋体"/>
        </w:rPr>
      </w:pPr>
      <w:r>
        <w:rPr>
          <w:rFonts w:hint="eastAsia" w:ascii="宋体" w:hAnsi="宋体" w:cs="宋体"/>
          <w:sz w:val="21"/>
          <w:szCs w:val="21"/>
        </w:rPr>
        <w:t>本项目属于服务项目，且专门面向小微企业采购。投标人须为符合本项目采购标的对应行业（物业管理）划分标准的小型、微型企业（监狱企业、残疾人福利单位视同小型、微型企业）。</w:t>
      </w:r>
    </w:p>
    <w:p>
      <w:pPr>
        <w:pStyle w:val="936"/>
        <w:spacing w:line="360" w:lineRule="auto"/>
        <w:rPr>
          <w:rFonts w:hint="eastAsia" w:ascii="宋体" w:hAnsi="宋体" w:cs="宋体"/>
        </w:rPr>
      </w:pPr>
      <w:r>
        <w:rPr>
          <w:rFonts w:hint="eastAsia" w:ascii="宋体" w:hAnsi="宋体" w:cs="宋体"/>
          <w:sz w:val="21"/>
          <w:szCs w:val="21"/>
        </w:rPr>
        <w:t>注：小型、微型企业以投标人填写的《中小企业声明函》（见投标格式）为判定标准，残疾人福利性单位以投标人填写的《残疾人福利性单位声明函》（见投标格式）为判定标准，监狱企业须投标人提供由省级以上监狱管理局、戒毒管理局（含新疆生产建设兵团）出具的属于监狱企业的证明文件，否则不予认定。</w:t>
      </w:r>
    </w:p>
    <w:p>
      <w:pPr>
        <w:pStyle w:val="8"/>
        <w:keepNext w:val="0"/>
        <w:spacing w:before="0" w:after="0" w:line="360" w:lineRule="auto"/>
        <w:rPr>
          <w:rFonts w:hint="eastAsia" w:ascii="宋体" w:hAnsi="宋体" w:cs="宋体"/>
          <w:bCs/>
          <w:sz w:val="28"/>
          <w:szCs w:val="28"/>
        </w:rPr>
      </w:pPr>
      <w:bookmarkStart w:id="28" w:name="_Toc256000014"/>
      <w:r>
        <w:rPr>
          <w:rFonts w:hint="eastAsia" w:ascii="宋体" w:hAnsi="宋体" w:cs="宋体"/>
          <w:sz w:val="28"/>
          <w:szCs w:val="28"/>
        </w:rPr>
        <w:t>2.1.5其他要求</w:t>
      </w:r>
      <w:bookmarkEnd w:id="28"/>
    </w:p>
    <w:p>
      <w:pPr>
        <w:pStyle w:val="935"/>
        <w:spacing w:line="360" w:lineRule="auto"/>
        <w:rPr>
          <w:rFonts w:hint="eastAsia" w:ascii="宋体" w:hAnsi="宋体" w:cs="宋体"/>
        </w:rPr>
      </w:pPr>
      <w:r>
        <w:rPr>
          <w:rFonts w:hint="eastAsia" w:ascii="宋体" w:hAnsi="宋体" w:cs="宋体"/>
          <w:sz w:val="21"/>
          <w:szCs w:val="21"/>
        </w:rPr>
        <w:t>（1）本项目不允许分包、转包。</w:t>
      </w:r>
    </w:p>
    <w:p>
      <w:pPr>
        <w:pStyle w:val="935"/>
        <w:spacing w:line="360" w:lineRule="auto"/>
        <w:rPr>
          <w:rFonts w:hint="eastAsia" w:ascii="宋体" w:hAnsi="宋体" w:cs="宋体"/>
        </w:rPr>
      </w:pPr>
      <w:r>
        <w:rPr>
          <w:rFonts w:hint="eastAsia" w:ascii="宋体" w:hAnsi="宋体" w:cs="宋体"/>
          <w:sz w:val="21"/>
          <w:szCs w:val="21"/>
        </w:rPr>
        <w:t>（2）★投标人必须满足以下条件之一：</w:t>
      </w:r>
    </w:p>
    <w:p>
      <w:pPr>
        <w:pStyle w:val="935"/>
        <w:spacing w:line="360" w:lineRule="auto"/>
        <w:ind w:firstLine="210"/>
        <w:rPr>
          <w:rFonts w:hint="eastAsia" w:ascii="宋体" w:hAnsi="宋体" w:cs="宋体"/>
        </w:rPr>
      </w:pPr>
      <w:r>
        <w:rPr>
          <w:rFonts w:hint="eastAsia" w:ascii="宋体" w:hAnsi="宋体" w:cs="宋体"/>
          <w:sz w:val="21"/>
          <w:szCs w:val="21"/>
        </w:rPr>
        <w:t>①具有《保安服务许可证》，投标时提交许可证复印件并加盖投标人公章；</w:t>
      </w:r>
    </w:p>
    <w:p>
      <w:pPr>
        <w:pStyle w:val="935"/>
        <w:spacing w:line="360" w:lineRule="auto"/>
        <w:ind w:firstLine="210"/>
        <w:rPr>
          <w:rFonts w:hint="eastAsia" w:ascii="宋体" w:hAnsi="宋体" w:cs="宋体"/>
        </w:rPr>
      </w:pPr>
      <w:r>
        <w:rPr>
          <w:rFonts w:hint="eastAsia" w:ascii="宋体" w:hAnsi="宋体" w:cs="宋体"/>
          <w:sz w:val="21"/>
          <w:szCs w:val="21"/>
        </w:rPr>
        <w:t>②投标时承诺签订合同之后按《保安服务管理条例》的要求到公安机关备案（承诺函格式自拟）。</w:t>
      </w:r>
    </w:p>
    <w:p>
      <w:pPr>
        <w:pStyle w:val="7"/>
        <w:keepNext w:val="0"/>
        <w:spacing w:before="0" w:after="0" w:line="360" w:lineRule="auto"/>
        <w:rPr>
          <w:rFonts w:hint="eastAsia" w:ascii="宋体" w:hAnsi="宋体" w:eastAsia="宋体" w:cs="宋体"/>
          <w:bCs/>
          <w:sz w:val="28"/>
          <w:szCs w:val="28"/>
        </w:rPr>
      </w:pPr>
      <w:bookmarkStart w:id="29" w:name="_Toc256000015"/>
      <w:r>
        <w:rPr>
          <w:rFonts w:hint="eastAsia" w:ascii="宋体" w:hAnsi="宋体" w:eastAsia="宋体" w:cs="宋体"/>
        </w:rPr>
        <w:t>2.2技术部分投标/响应内容</w:t>
      </w:r>
      <w:bookmarkEnd w:id="29"/>
    </w:p>
    <w:p>
      <w:pPr>
        <w:pStyle w:val="8"/>
        <w:keepNext w:val="0"/>
        <w:spacing w:before="0" w:after="0" w:line="360" w:lineRule="auto"/>
        <w:rPr>
          <w:rFonts w:hint="eastAsia" w:ascii="宋体" w:hAnsi="宋体" w:cs="宋体"/>
          <w:bCs/>
          <w:sz w:val="28"/>
          <w:szCs w:val="28"/>
        </w:rPr>
      </w:pPr>
      <w:bookmarkStart w:id="30" w:name="_Toc256000016"/>
      <w:r>
        <w:rPr>
          <w:rFonts w:hint="eastAsia" w:ascii="宋体" w:hAnsi="宋体" w:cs="宋体"/>
          <w:sz w:val="28"/>
          <w:szCs w:val="28"/>
        </w:rPr>
        <w:t>2.2.1投标/响应方案要求</w:t>
      </w:r>
      <w:bookmarkEnd w:id="30"/>
    </w:p>
    <w:p>
      <w:pPr>
        <w:spacing w:line="360" w:lineRule="auto"/>
        <w:ind w:firstLine="561"/>
        <w:rPr>
          <w:rFonts w:hint="eastAsia" w:ascii="宋体" w:hAnsi="宋体" w:cs="宋体"/>
          <w:b/>
          <w:bCs/>
          <w:sz w:val="21"/>
          <w:szCs w:val="21"/>
        </w:rPr>
      </w:pPr>
      <w:r>
        <w:rPr>
          <w:rFonts w:hint="eastAsia" w:ascii="宋体" w:hAnsi="宋体" w:cs="宋体"/>
          <w:b/>
          <w:bCs/>
          <w:sz w:val="21"/>
          <w:szCs w:val="21"/>
        </w:rPr>
        <w:t>以下相关方案，若作为评审因素，则投标人应在满足★关键指标项要求的前提下，根据项目特点和采购需求，制定更为完整、详细、可操作性强的方案。</w:t>
      </w:r>
    </w:p>
    <w:p>
      <w:pPr>
        <w:pStyle w:val="935"/>
        <w:spacing w:line="360" w:lineRule="auto"/>
        <w:ind w:firstLine="420" w:firstLineChars="200"/>
        <w:rPr>
          <w:rFonts w:hint="eastAsia" w:ascii="宋体" w:hAnsi="宋体" w:cs="宋体"/>
        </w:rPr>
      </w:pPr>
      <w:r>
        <w:rPr>
          <w:rFonts w:hint="eastAsia" w:ascii="宋体" w:hAnsi="宋体" w:cs="宋体"/>
          <w:sz w:val="21"/>
          <w:szCs w:val="21"/>
        </w:rPr>
        <w:t>供应商应在投标文件中详细阐述项目实施方案、公用设施设备维护服务方案、保洁服务方案、绿化服务方案、保安服务方案等内容。同时要对招标文件中所提供的各项服务以及如何适用于采购人的需求作详细说明。此项内容作为考察供应商是否具备完成本项目能力的重要依据。</w:t>
      </w:r>
    </w:p>
    <w:p>
      <w:pPr>
        <w:pStyle w:val="935"/>
        <w:spacing w:line="360" w:lineRule="auto"/>
        <w:rPr>
          <w:rFonts w:hint="eastAsia" w:ascii="宋体" w:hAnsi="宋体" w:cs="宋体"/>
        </w:rPr>
      </w:pPr>
      <w:r>
        <w:rPr>
          <w:rFonts w:hint="eastAsia" w:ascii="宋体" w:hAnsi="宋体" w:cs="宋体"/>
          <w:sz w:val="21"/>
          <w:szCs w:val="21"/>
        </w:rPr>
        <w:t>上述方案要求，若作为评审因素，则应在满足★指标要求的前提下，根据项目特点和采购需求，对如何实现指标要求提出具体措施，制定完整、详细、可操作性强的方案。</w:t>
      </w:r>
    </w:p>
    <w:p>
      <w:pPr>
        <w:pStyle w:val="8"/>
        <w:keepNext w:val="0"/>
        <w:spacing w:before="0" w:after="0" w:line="360" w:lineRule="auto"/>
        <w:rPr>
          <w:rFonts w:hint="eastAsia" w:ascii="宋体" w:hAnsi="宋体" w:cs="宋体"/>
          <w:bCs/>
          <w:sz w:val="28"/>
          <w:szCs w:val="28"/>
        </w:rPr>
      </w:pPr>
      <w:bookmarkStart w:id="31" w:name="_Toc256000017"/>
      <w:r>
        <w:rPr>
          <w:rFonts w:hint="eastAsia" w:ascii="宋体" w:hAnsi="宋体" w:cs="宋体"/>
          <w:sz w:val="28"/>
          <w:szCs w:val="28"/>
        </w:rPr>
        <w:t>2.2.2实质性响应要求</w:t>
      </w:r>
      <w:bookmarkEnd w:id="31"/>
    </w:p>
    <w:p>
      <w:pPr>
        <w:pStyle w:val="935"/>
        <w:spacing w:line="360" w:lineRule="auto"/>
        <w:ind w:firstLine="420"/>
        <w:rPr>
          <w:rFonts w:hint="eastAsia" w:ascii="宋体" w:hAnsi="宋体" w:cs="宋体"/>
        </w:rPr>
      </w:pPr>
      <w:r>
        <w:rPr>
          <w:rFonts w:hint="eastAsia" w:ascii="宋体" w:hAnsi="宋体" w:cs="宋体"/>
          <w:sz w:val="21"/>
          <w:szCs w:val="21"/>
        </w:rPr>
        <w:t>标注有“★”号的条款必须实质性响应，负偏离（不满足要求）将导致投标无效。</w:t>
      </w:r>
    </w:p>
    <w:p>
      <w:pPr>
        <w:pStyle w:val="935"/>
        <w:spacing w:line="360" w:lineRule="auto"/>
        <w:ind w:firstLine="420"/>
        <w:rPr>
          <w:rFonts w:hint="eastAsia" w:ascii="宋体" w:hAnsi="宋体" w:cs="宋体"/>
        </w:rPr>
      </w:pPr>
      <w:r>
        <w:rPr>
          <w:rFonts w:hint="eastAsia" w:ascii="宋体" w:hAnsi="宋体" w:cs="宋体"/>
          <w:sz w:val="21"/>
          <w:szCs w:val="21"/>
        </w:rPr>
        <w:t>（1）★投标人必须承诺，严格遵守中华人民共和国相关法律法规，不得“围猎”采购人税务人员（指以获取不正当利益为目的，采取馈赠礼品礼金、邀请娱乐旅游消费、提供便利条件等非正常交往手段“围猎”相关税务人员及其亲属），如有违反则承担相应的法律后果，并自采购人及其主管机关认定或通报之日起三年内，采购人可以拒绝投标人参与其政府采购活动。（承诺函格式自拟）</w:t>
      </w:r>
    </w:p>
    <w:p>
      <w:pPr>
        <w:pStyle w:val="935"/>
        <w:spacing w:line="360" w:lineRule="auto"/>
        <w:ind w:firstLine="420"/>
        <w:rPr>
          <w:rFonts w:hint="eastAsia" w:ascii="宋体" w:hAnsi="宋体" w:cs="宋体"/>
        </w:rPr>
      </w:pPr>
      <w:r>
        <w:rPr>
          <w:rFonts w:hint="eastAsia" w:ascii="宋体" w:hAnsi="宋体" w:cs="宋体"/>
          <w:sz w:val="21"/>
          <w:szCs w:val="21"/>
        </w:rPr>
        <w:t>（2）★投标人必须承诺投标文件中所响应提供的资料属于真实有效的，有异议时，中标人必须在采购人提出后5个工作日内提供相关资料原件复核。如不能在规定时间内提供原件复核的，将上报有关监管部门。（承诺函格式自拟）</w:t>
      </w:r>
    </w:p>
    <w:p>
      <w:pPr>
        <w:pStyle w:val="935"/>
        <w:spacing w:line="360" w:lineRule="auto"/>
        <w:ind w:firstLine="420"/>
        <w:rPr>
          <w:rFonts w:hint="eastAsia" w:ascii="宋体" w:hAnsi="宋体" w:cs="宋体"/>
        </w:rPr>
      </w:pPr>
      <w:r>
        <w:rPr>
          <w:rFonts w:hint="eastAsia" w:ascii="宋体" w:hAnsi="宋体" w:cs="宋体"/>
          <w:sz w:val="21"/>
          <w:szCs w:val="21"/>
        </w:rPr>
        <w:t>（3）★投标人须承诺，履约期间所供服务均符合国家强制性要求，包括但不限于采购文件列出的所有强制性标准。（承诺函格式自拟）</w:t>
      </w:r>
    </w:p>
    <w:p>
      <w:pPr>
        <w:pStyle w:val="935"/>
        <w:spacing w:line="360" w:lineRule="auto"/>
        <w:ind w:firstLine="420"/>
        <w:rPr>
          <w:rFonts w:hint="eastAsia" w:ascii="宋体" w:hAnsi="宋体" w:cs="宋体"/>
        </w:rPr>
      </w:pPr>
      <w:r>
        <w:rPr>
          <w:rFonts w:hint="eastAsia" w:ascii="宋体" w:hAnsi="宋体" w:cs="宋体"/>
          <w:sz w:val="21"/>
          <w:szCs w:val="21"/>
        </w:rPr>
        <w:t>（4）★投标人承诺，如中标（成交），投标（响应）文件所提供的材料，如果有效期（包括需要年审、继续教育等完成后才能执业的行政许可、人员证书等情形）未能覆盖项目（包组）合同履行期的，将提前按规定办理延期手续，确保合同顺利履行。（承诺函格式自拟）</w:t>
      </w:r>
    </w:p>
    <w:p>
      <w:pPr>
        <w:pStyle w:val="935"/>
        <w:spacing w:line="360" w:lineRule="auto"/>
        <w:ind w:firstLine="420"/>
        <w:rPr>
          <w:rFonts w:hint="eastAsia" w:ascii="宋体" w:hAnsi="宋体" w:cs="宋体"/>
        </w:rPr>
      </w:pPr>
      <w:r>
        <w:rPr>
          <w:rFonts w:hint="eastAsia" w:ascii="宋体" w:hAnsi="宋体" w:cs="宋体"/>
          <w:sz w:val="21"/>
          <w:szCs w:val="21"/>
        </w:rPr>
        <w:t>（5）★投标人必须承诺，理解并同意“服务期限内如因相关法律法规等政府规范性文件要求，税收征管改革发展需要，机构撤并、改革等原因采购人有权单方面终止合同，支付实际发生服务期间费用”。（承诺函格式自拟）</w:t>
      </w:r>
    </w:p>
    <w:p>
      <w:pPr>
        <w:pStyle w:val="935"/>
        <w:spacing w:line="360" w:lineRule="auto"/>
        <w:ind w:firstLine="420"/>
        <w:rPr>
          <w:rFonts w:hint="eastAsia" w:ascii="宋体" w:hAnsi="宋体" w:cs="宋体"/>
        </w:rPr>
      </w:pPr>
      <w:r>
        <w:rPr>
          <w:rFonts w:hint="eastAsia" w:ascii="宋体" w:hAnsi="宋体" w:cs="宋体"/>
          <w:sz w:val="21"/>
          <w:szCs w:val="21"/>
        </w:rPr>
        <w:t>（6）★中标人在合同服务期间发生重大安全责任事故或造成重大舆情事件，采购人有权直接中止合同，采购人因此产生的所有损失（包括但不限于诉讼费、仲裁费、律师费、差旅费、临时聘请人员费用等）由中标人承担，同时采购人保留向中标人索取所有损失2倍罚款的权利。（承诺函格式自拟）</w:t>
      </w:r>
    </w:p>
    <w:p>
      <w:pPr>
        <w:pStyle w:val="935"/>
        <w:spacing w:line="360" w:lineRule="auto"/>
        <w:ind w:firstLine="420"/>
        <w:rPr>
          <w:rFonts w:hint="eastAsia" w:ascii="宋体" w:hAnsi="宋体" w:cs="宋体"/>
        </w:rPr>
      </w:pPr>
      <w:r>
        <w:rPr>
          <w:rFonts w:hint="eastAsia" w:ascii="宋体" w:hAnsi="宋体" w:cs="宋体"/>
          <w:sz w:val="21"/>
          <w:szCs w:val="21"/>
        </w:rPr>
        <w:t>（7）★中标人的工作人员需遵守采购人的有关规章制度和管理规定，中标人向采购人负有保密义务，不得泄露国家秘密、工作秘密和敏感信息。如有违反或损害采购人利益的，采购人有拒绝中标人违规工作人员继续工作的权利。（承诺函格式自拟）</w:t>
      </w:r>
    </w:p>
    <w:p>
      <w:pPr>
        <w:pStyle w:val="6"/>
        <w:keepNext w:val="0"/>
        <w:spacing w:before="0" w:after="0" w:line="360" w:lineRule="auto"/>
        <w:jc w:val="center"/>
        <w:rPr>
          <w:rFonts w:hint="eastAsia" w:ascii="宋体" w:hAnsi="宋体" w:cs="宋体"/>
          <w:bCs/>
          <w:sz w:val="32"/>
          <w:szCs w:val="32"/>
        </w:rPr>
      </w:pPr>
      <w:bookmarkStart w:id="32" w:name="_Toc256000018"/>
      <w:r>
        <w:rPr>
          <w:rFonts w:hint="eastAsia" w:ascii="宋体" w:hAnsi="宋体" w:cs="宋体"/>
          <w:kern w:val="36"/>
        </w:rPr>
        <w:t>3项目需求</w:t>
      </w:r>
      <w:bookmarkEnd w:id="32"/>
    </w:p>
    <w:p>
      <w:pPr>
        <w:pStyle w:val="7"/>
        <w:keepNext w:val="0"/>
        <w:spacing w:before="0" w:after="0" w:line="360" w:lineRule="auto"/>
        <w:rPr>
          <w:rFonts w:hint="eastAsia" w:ascii="宋体" w:hAnsi="宋体" w:eastAsia="宋体" w:cs="宋体"/>
          <w:bCs/>
          <w:sz w:val="28"/>
          <w:szCs w:val="28"/>
        </w:rPr>
      </w:pPr>
      <w:bookmarkStart w:id="33" w:name="_Toc256000019"/>
      <w:r>
        <w:rPr>
          <w:rFonts w:hint="eastAsia" w:ascii="宋体" w:hAnsi="宋体" w:eastAsia="宋体" w:cs="宋体"/>
        </w:rPr>
        <w:t>3.1总体要求</w:t>
      </w:r>
      <w:bookmarkEnd w:id="33"/>
    </w:p>
    <w:p>
      <w:pPr>
        <w:pStyle w:val="936"/>
        <w:spacing w:line="360" w:lineRule="auto"/>
        <w:ind w:firstLine="440" w:firstLineChars="200"/>
        <w:rPr>
          <w:rFonts w:hint="eastAsia" w:ascii="宋体" w:hAnsi="宋体" w:cs="宋体"/>
        </w:rPr>
      </w:pPr>
      <w:r>
        <w:rPr>
          <w:rFonts w:hint="eastAsia" w:ascii="宋体" w:hAnsi="宋体" w:cs="宋体"/>
          <w:sz w:val="22"/>
          <w:szCs w:val="22"/>
        </w:rPr>
        <w:t>为保障采购人的物业管理服务质量，投标人中标后应按照本项目规定的物业范围、技术和服务要求提供服务。</w:t>
      </w:r>
    </w:p>
    <w:p>
      <w:pPr>
        <w:pStyle w:val="7"/>
        <w:keepNext w:val="0"/>
        <w:spacing w:before="0" w:after="0" w:line="360" w:lineRule="auto"/>
        <w:rPr>
          <w:rFonts w:hint="eastAsia" w:ascii="宋体" w:hAnsi="宋体" w:eastAsia="宋体" w:cs="宋体"/>
          <w:bCs/>
          <w:sz w:val="28"/>
          <w:szCs w:val="28"/>
        </w:rPr>
      </w:pPr>
      <w:bookmarkStart w:id="34" w:name="_Toc256000020"/>
      <w:r>
        <w:rPr>
          <w:rFonts w:hint="eastAsia" w:ascii="宋体" w:hAnsi="宋体" w:eastAsia="宋体" w:cs="宋体"/>
        </w:rPr>
        <w:t>3.2服务内容和要求</w:t>
      </w:r>
      <w:bookmarkEnd w:id="34"/>
    </w:p>
    <w:p>
      <w:pPr>
        <w:spacing w:line="360" w:lineRule="auto"/>
        <w:ind w:firstLine="561"/>
        <w:rPr>
          <w:rFonts w:hint="eastAsia" w:ascii="宋体" w:hAnsi="宋体" w:cs="宋体"/>
          <w:sz w:val="28"/>
          <w:szCs w:val="28"/>
        </w:rPr>
      </w:pPr>
      <w:r>
        <w:rPr>
          <w:rFonts w:hint="eastAsia" w:ascii="宋体" w:hAnsi="宋体" w:cs="宋体"/>
          <w:sz w:val="22"/>
          <w:szCs w:val="22"/>
        </w:rPr>
        <w:t>采购文件（技术部分）中有标注★号的，为必备服务要求，必须满足，如未作出响应，将导致响应无效</w:t>
      </w:r>
      <w:r>
        <w:rPr>
          <w:rFonts w:hint="eastAsia" w:ascii="宋体" w:hAnsi="宋体" w:cs="宋体"/>
          <w:sz w:val="28"/>
          <w:szCs w:val="28"/>
        </w:rPr>
        <w:t>。</w:t>
      </w:r>
    </w:p>
    <w:p>
      <w:pPr>
        <w:pStyle w:val="8"/>
        <w:keepNext w:val="0"/>
        <w:spacing w:before="0" w:after="0" w:line="360" w:lineRule="auto"/>
        <w:rPr>
          <w:rFonts w:hint="eastAsia" w:ascii="宋体" w:hAnsi="宋体" w:cs="宋体"/>
          <w:bCs/>
          <w:sz w:val="28"/>
          <w:szCs w:val="28"/>
        </w:rPr>
      </w:pPr>
      <w:bookmarkStart w:id="35" w:name="_Toc256000021"/>
      <w:r>
        <w:rPr>
          <w:rFonts w:hint="eastAsia" w:ascii="宋体" w:hAnsi="宋体" w:cs="宋体"/>
          <w:sz w:val="28"/>
          <w:szCs w:val="28"/>
        </w:rPr>
        <w:t>3.2.1技术和服务客观指标</w:t>
      </w:r>
      <w:bookmarkEnd w:id="35"/>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3.2.1.1物业管理服务内容及标准</w:t>
      </w:r>
    </w:p>
    <w:p>
      <w:pPr>
        <w:pStyle w:val="936"/>
        <w:spacing w:line="360" w:lineRule="auto"/>
        <w:ind w:firstLine="420" w:firstLineChars="200"/>
        <w:rPr>
          <w:rFonts w:hint="eastAsia" w:ascii="宋体" w:hAnsi="宋体" w:cs="宋体"/>
        </w:rPr>
      </w:pPr>
      <w:r>
        <w:rPr>
          <w:rFonts w:hint="eastAsia" w:ascii="宋体" w:hAnsi="宋体" w:cs="宋体"/>
          <w:sz w:val="21"/>
          <w:szCs w:val="21"/>
        </w:rPr>
        <w:t>物业管理服务包括基本服务、公用设施设备维护服务、保洁服务、绿化服务、保安服务、会议服务。</w:t>
      </w:r>
    </w:p>
    <w:p>
      <w:pPr>
        <w:pStyle w:val="936"/>
        <w:spacing w:line="360" w:lineRule="auto"/>
        <w:rPr>
          <w:rFonts w:hint="eastAsia" w:ascii="宋体" w:hAnsi="宋体" w:cs="宋体"/>
        </w:rPr>
      </w:pPr>
      <w:r>
        <w:rPr>
          <w:rFonts w:hint="eastAsia" w:ascii="宋体" w:hAnsi="宋体" w:cs="宋体"/>
          <w:b/>
          <w:bCs/>
          <w:spacing w:val="-2"/>
          <w:sz w:val="21"/>
          <w:szCs w:val="21"/>
        </w:rPr>
        <w:t>（1）基本服务</w:t>
      </w:r>
    </w:p>
    <w:tbl>
      <w:tblPr>
        <w:tblStyle w:val="942"/>
        <w:tblW w:w="9386" w:type="dxa"/>
        <w:jc w:val="center"/>
        <w:tblCellSpacing w:w="0" w:type="dxa"/>
        <w:tblInd w:w="0" w:type="dxa"/>
        <w:tblLayout w:type="fixed"/>
        <w:tblCellMar>
          <w:top w:w="15" w:type="dxa"/>
          <w:left w:w="15" w:type="dxa"/>
          <w:bottom w:w="15" w:type="dxa"/>
          <w:right w:w="15" w:type="dxa"/>
        </w:tblCellMar>
      </w:tblPr>
      <w:tblGrid>
        <w:gridCol w:w="989"/>
        <w:gridCol w:w="1284"/>
        <w:gridCol w:w="7113"/>
      </w:tblGrid>
      <w:tr>
        <w:tblPrEx>
          <w:tblLayout w:type="fixed"/>
          <w:tblCellMar>
            <w:top w:w="15" w:type="dxa"/>
            <w:left w:w="15" w:type="dxa"/>
            <w:bottom w:w="15" w:type="dxa"/>
            <w:right w:w="15" w:type="dxa"/>
          </w:tblCellMar>
        </w:tblPrEx>
        <w:trPr>
          <w:tblCellSpacing w:w="0" w:type="dxa"/>
          <w:jc w:val="center"/>
        </w:trPr>
        <w:tc>
          <w:tcPr>
            <w:tcW w:w="98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序号</w:t>
            </w:r>
          </w:p>
        </w:tc>
        <w:tc>
          <w:tcPr>
            <w:tcW w:w="1284"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服务内容</w:t>
            </w:r>
          </w:p>
        </w:tc>
        <w:tc>
          <w:tcPr>
            <w:tcW w:w="7113"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服务标准</w:t>
            </w:r>
          </w:p>
        </w:tc>
      </w:tr>
      <w:tr>
        <w:tblPrEx>
          <w:tblLayout w:type="fixed"/>
          <w:tblCellMar>
            <w:top w:w="15" w:type="dxa"/>
            <w:left w:w="15" w:type="dxa"/>
            <w:bottom w:w="15" w:type="dxa"/>
            <w:right w:w="15" w:type="dxa"/>
          </w:tblCellMar>
        </w:tblPrEx>
        <w:trPr>
          <w:trHeight w:val="884" w:hRule="atLeast"/>
          <w:tblCellSpacing w:w="0" w:type="dxa"/>
          <w:jc w:val="center"/>
        </w:trPr>
        <w:tc>
          <w:tcPr>
            <w:tcW w:w="989"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1</w:t>
            </w:r>
          </w:p>
        </w:tc>
        <w:tc>
          <w:tcPr>
            <w:tcW w:w="1284"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目标与责任</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结合采购人要求及物业服务实际情况，制定年度管理目标，明确责任分工，并制定配套实施方案。</w:t>
            </w:r>
          </w:p>
        </w:tc>
      </w:tr>
      <w:tr>
        <w:tblPrEx>
          <w:tblLayout w:type="fixed"/>
          <w:tblCellMar>
            <w:top w:w="15" w:type="dxa"/>
            <w:left w:w="15" w:type="dxa"/>
            <w:bottom w:w="15" w:type="dxa"/>
            <w:right w:w="15" w:type="dxa"/>
          </w:tblCellMar>
        </w:tblPrEx>
        <w:trPr>
          <w:trHeight w:val="884"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2</w:t>
            </w:r>
          </w:p>
        </w:tc>
        <w:tc>
          <w:tcPr>
            <w:tcW w:w="128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日常管理与服务</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（1）要严格落实管理服务要求，明确责任，努力做好治安防卫、清洁卫生等物业服务工作。</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rPr>
                <w:rFonts w:hint="eastAsia" w:ascii="宋体" w:hAnsi="宋体" w:cs="宋体"/>
                <w:color w:val="000000"/>
              </w:rPr>
            </w:pPr>
            <w:r>
              <w:rPr>
                <w:rFonts w:hint="eastAsia" w:ascii="宋体" w:hAnsi="宋体" w:cs="宋体"/>
                <w:color w:val="000000"/>
                <w:sz w:val="21"/>
                <w:szCs w:val="21"/>
              </w:rPr>
              <w:t>（2）设置24小时服务热线。采购人主管部门对中标人派驻的管理服务人员有直接指挥权。</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（3）各项服务要做到及时准点。紧急维修应当在接到采购人通知后15分钟内到达现场，不间断维修直至修复。</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（4）中标人应制订切实可行的管理规章制度、各岗位工作计划、工作流程、员工守则等，负责抓好员工思想教育、业务培训，加强班组建设，营造良好的企业文化氛围。</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（5）物业管理知识的教育培训：通过培训，使员工了解房屋和设备管理的一般知识，提高对突发事件应急处理的能力。</w:t>
            </w:r>
          </w:p>
        </w:tc>
      </w:tr>
      <w:tr>
        <w:tblPrEx>
          <w:tblLayout w:type="fixed"/>
          <w:tblCellMar>
            <w:top w:w="15" w:type="dxa"/>
            <w:left w:w="15" w:type="dxa"/>
            <w:bottom w:w="15" w:type="dxa"/>
            <w:right w:w="15" w:type="dxa"/>
          </w:tblCellMar>
        </w:tblPrEx>
        <w:trPr>
          <w:tblCellSpacing w:w="0" w:type="dxa"/>
          <w:jc w:val="center"/>
        </w:trPr>
        <w:tc>
          <w:tcPr>
            <w:tcW w:w="989" w:type="dxa"/>
            <w:vMerge w:val="restart"/>
            <w:tcBorders>
              <w:top w:val="single" w:color="000000" w:sz="8" w:space="0"/>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3</w:t>
            </w:r>
          </w:p>
        </w:tc>
        <w:tc>
          <w:tcPr>
            <w:tcW w:w="1284" w:type="dxa"/>
            <w:vMerge w:val="restart"/>
            <w:tcBorders>
              <w:top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服务人员要求</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（1）物业管理服务人员着装分类统一，佩戴标识。仪容整洁、姿态端正、举止文明。用语文明礼貌，态度温和耐心。</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（2）根据采购人要求对服务人员进行从业资格审查，审查结果向采购人报备。</w:t>
            </w:r>
          </w:p>
        </w:tc>
      </w:tr>
      <w:tr>
        <w:tblPrEx>
          <w:tblLayout w:type="fixed"/>
          <w:tblCellMar>
            <w:top w:w="15" w:type="dxa"/>
            <w:left w:w="15" w:type="dxa"/>
            <w:bottom w:w="15" w:type="dxa"/>
            <w:right w:w="15" w:type="dxa"/>
          </w:tblCellMar>
        </w:tblPrEx>
        <w:trPr>
          <w:trHeight w:val="443"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（3）保安人员应能使用普通话和潮汕话正常对话。</w:t>
            </w:r>
          </w:p>
        </w:tc>
      </w:tr>
      <w:tr>
        <w:tblPrEx>
          <w:tblLayout w:type="fixed"/>
          <w:tblCellMar>
            <w:top w:w="15" w:type="dxa"/>
            <w:left w:w="15" w:type="dxa"/>
            <w:bottom w:w="15" w:type="dxa"/>
            <w:right w:w="15" w:type="dxa"/>
          </w:tblCellMar>
        </w:tblPrEx>
        <w:trPr>
          <w:trHeight w:val="90"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360" w:lineRule="auto"/>
              <w:rPr>
                <w:rFonts w:hint="eastAsia" w:ascii="宋体" w:hAnsi="宋体" w:cs="宋体"/>
                <w:color w:val="000000"/>
              </w:rPr>
            </w:pPr>
            <w:r>
              <w:rPr>
                <w:rFonts w:hint="eastAsia" w:ascii="宋体" w:hAnsi="宋体" w:cs="宋体"/>
                <w:color w:val="000000"/>
                <w:sz w:val="21"/>
                <w:szCs w:val="21"/>
              </w:rPr>
              <w:t>（4）服务人员的年龄、学历、工作经验应当与所在岗位能力要求相匹配，到岗前应当经过必要的岗前培训以达到岗位能力要求，持证上岗。</w:t>
            </w:r>
          </w:p>
        </w:tc>
      </w:tr>
      <w:tr>
        <w:tblPrEx>
          <w:tblLayout w:type="fixed"/>
          <w:tblCellMar>
            <w:top w:w="15" w:type="dxa"/>
            <w:left w:w="15" w:type="dxa"/>
            <w:bottom w:w="15" w:type="dxa"/>
            <w:right w:w="15" w:type="dxa"/>
          </w:tblCellMar>
        </w:tblPrEx>
        <w:trPr>
          <w:trHeight w:val="1023"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360" w:lineRule="auto"/>
              <w:rPr>
                <w:rFonts w:hint="eastAsia" w:ascii="宋体" w:hAnsi="宋体" w:cs="宋体"/>
                <w:color w:val="000000"/>
              </w:rPr>
            </w:pPr>
            <w:r>
              <w:rPr>
                <w:rFonts w:hint="eastAsia" w:ascii="宋体" w:hAnsi="宋体" w:cs="宋体"/>
                <w:color w:val="000000"/>
                <w:sz w:val="21"/>
                <w:szCs w:val="21"/>
              </w:rPr>
              <w:t>（5）如采购人认为服务人员不适应岗位要求或存在其他影响工作的，可要求供应商进行调换。如因供应商原因对服务人员进行调换，应当经采购人同意。</w:t>
            </w:r>
          </w:p>
        </w:tc>
      </w:tr>
      <w:tr>
        <w:tblPrEx>
          <w:tblLayout w:type="fixed"/>
          <w:tblCellMar>
            <w:top w:w="15" w:type="dxa"/>
            <w:left w:w="15" w:type="dxa"/>
            <w:bottom w:w="15" w:type="dxa"/>
            <w:right w:w="15" w:type="dxa"/>
          </w:tblCellMar>
        </w:tblPrEx>
        <w:trPr>
          <w:trHeight w:val="1242" w:hRule="atLeast"/>
          <w:tblCellSpacing w:w="0" w:type="dxa"/>
          <w:jc w:val="center"/>
        </w:trPr>
        <w:tc>
          <w:tcPr>
            <w:tcW w:w="989" w:type="dxa"/>
            <w:vMerge w:val="restart"/>
            <w:tcBorders>
              <w:top w:val="single" w:color="000000" w:sz="8" w:space="0"/>
              <w:left w:val="single" w:color="000000" w:sz="8" w:space="0"/>
              <w:bottom w:val="nil"/>
              <w:right w:val="single" w:color="000000" w:sz="8" w:space="0"/>
            </w:tcBorders>
            <w:tcMar>
              <w:top w:w="0" w:type="dxa"/>
              <w:left w:w="0" w:type="dxa"/>
              <w:bottom w:w="0" w:type="dxa"/>
              <w:right w:w="0" w:type="dxa"/>
            </w:tcMar>
            <w:vAlign w:val="center"/>
          </w:tcPr>
          <w:p>
            <w:pPr>
              <w:pStyle w:val="936"/>
              <w:spacing w:after="240" w:line="400" w:lineRule="atLeast"/>
              <w:jc w:val="center"/>
              <w:rPr>
                <w:rFonts w:hint="eastAsia" w:ascii="宋体" w:hAnsi="宋体" w:cs="宋体"/>
                <w:color w:val="000000"/>
              </w:rPr>
            </w:pPr>
            <w:r>
              <w:rPr>
                <w:rFonts w:hint="eastAsia" w:ascii="宋体" w:hAnsi="宋体" w:cs="宋体"/>
                <w:color w:val="000000"/>
                <w:sz w:val="21"/>
                <w:szCs w:val="21"/>
              </w:rPr>
              <w:t>4</w:t>
            </w:r>
          </w:p>
          <w:p>
            <w:pPr>
              <w:pStyle w:val="936"/>
              <w:spacing w:before="240" w:after="240" w:line="400" w:lineRule="atLeast"/>
              <w:jc w:val="center"/>
              <w:rPr>
                <w:rFonts w:hint="eastAsia" w:ascii="宋体" w:hAnsi="宋体" w:cs="宋体"/>
                <w:color w:val="000000"/>
              </w:rPr>
            </w:pPr>
            <w:r>
              <w:rPr>
                <w:rFonts w:hint="eastAsia" w:ascii="宋体" w:hAnsi="宋体" w:cs="宋体"/>
                <w:color w:val="000000"/>
                <w:sz w:val="21"/>
                <w:szCs w:val="21"/>
              </w:rPr>
              <w:t> </w:t>
            </w:r>
          </w:p>
          <w:p>
            <w:pPr>
              <w:pStyle w:val="944"/>
              <w:spacing w:before="240"/>
              <w:ind w:firstLine="739"/>
              <w:rPr>
                <w:rFonts w:hint="eastAsia" w:ascii="宋体" w:hAnsi="宋体" w:cs="宋体"/>
                <w:color w:val="000000"/>
              </w:rPr>
            </w:pPr>
            <w:r>
              <w:rPr>
                <w:rFonts w:hint="eastAsia" w:ascii="宋体" w:hAnsi="宋体" w:cs="宋体"/>
                <w:color w:val="000000"/>
                <w:sz w:val="21"/>
                <w:szCs w:val="21"/>
              </w:rPr>
              <w:t> </w:t>
            </w:r>
          </w:p>
        </w:tc>
        <w:tc>
          <w:tcPr>
            <w:tcW w:w="1284" w:type="dxa"/>
            <w:vMerge w:val="restart"/>
            <w:tcBorders>
              <w:top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保密和思想政治教育</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tblPrEx>
          <w:tblLayout w:type="fixed"/>
          <w:tblCellMar>
            <w:top w:w="15" w:type="dxa"/>
            <w:left w:w="15" w:type="dxa"/>
            <w:bottom w:w="15" w:type="dxa"/>
            <w:right w:w="15" w:type="dxa"/>
          </w:tblCellMar>
        </w:tblPrEx>
        <w:trPr>
          <w:trHeight w:val="812"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（2）根据采购人要求与涉密工作岗位的服务人员签订保密协议。保密协议应当向采购人报备。</w:t>
            </w:r>
          </w:p>
        </w:tc>
      </w:tr>
      <w:tr>
        <w:tblPrEx>
          <w:tblLayout w:type="fixed"/>
          <w:tblCellMar>
            <w:top w:w="15" w:type="dxa"/>
            <w:left w:w="15" w:type="dxa"/>
            <w:bottom w:w="15" w:type="dxa"/>
            <w:right w:w="15" w:type="dxa"/>
          </w:tblCellMar>
        </w:tblPrEx>
        <w:trPr>
          <w:trHeight w:val="788"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（3）发现服务人员违法违规或重大过失，及时报告采购人，并采取必要补救措施。</w:t>
            </w:r>
          </w:p>
        </w:tc>
      </w:tr>
      <w:tr>
        <w:tblPrEx>
          <w:tblLayout w:type="fixed"/>
          <w:tblCellMar>
            <w:top w:w="15" w:type="dxa"/>
            <w:left w:w="15" w:type="dxa"/>
            <w:bottom w:w="15" w:type="dxa"/>
            <w:right w:w="15" w:type="dxa"/>
          </w:tblCellMar>
        </w:tblPrEx>
        <w:trPr>
          <w:trHeight w:val="1280" w:hRule="atLeast"/>
          <w:tblCellSpacing w:w="0" w:type="dxa"/>
          <w:jc w:val="center"/>
        </w:trPr>
        <w:tc>
          <w:tcPr>
            <w:tcW w:w="989" w:type="dxa"/>
            <w:vMerge w:val="restart"/>
            <w:tcBorders>
              <w:top w:val="single" w:color="000000" w:sz="8" w:space="0"/>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5</w:t>
            </w:r>
          </w:p>
        </w:tc>
        <w:tc>
          <w:tcPr>
            <w:tcW w:w="1284" w:type="dxa"/>
            <w:vMerge w:val="restart"/>
            <w:tcBorders>
              <w:top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档案管理</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（1）建立完善的档案管理制度，建立物业信息，准确、及时地对文件资料和服务记录进行归档保存，并确保其物理安全。采购人随时抽查档案管理情况，以便日常监督。</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档案和记录齐全，包括但不限于：①采购人建议与投诉等。教育培训和考核记录。保密、思想政治教育培训记录。②公用设施设备维护服务：设备台账、设备卡、使用说明、维保记录、巡查记录、设施设备安全运行、设施设备定期巡检、维护保养、维修档案等。③保安服务：突发事件演习与处置记录等。④保洁服务：工作日志、清洁检查表、用品清单、客户反馈表等。⑤绿化服务：绿化总平面图、清洁整改记录、消杀记录等。⑥其他：客户信息、财务明细、合同协议、信报信息登记、大件物品进出登记等。</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（3）遵守采购人的信息、档案资料保密要求，未经许可，不得将建筑物平面图等资料转作其他用途或向其他单位、个人提供。</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（4）履约结束后，相关资料交还采购人，采购人按政府采购相关规定存档。</w:t>
            </w:r>
          </w:p>
        </w:tc>
      </w:tr>
      <w:tr>
        <w:tblPrEx>
          <w:tblLayout w:type="fixed"/>
          <w:tblCellMar>
            <w:top w:w="15" w:type="dxa"/>
            <w:left w:w="15" w:type="dxa"/>
            <w:bottom w:w="15" w:type="dxa"/>
            <w:right w:w="15" w:type="dxa"/>
          </w:tblCellMar>
        </w:tblPrEx>
        <w:trPr>
          <w:tblCellSpacing w:w="0" w:type="dxa"/>
          <w:jc w:val="center"/>
        </w:trPr>
        <w:tc>
          <w:tcPr>
            <w:tcW w:w="989" w:type="dxa"/>
            <w:vMerge w:val="restart"/>
            <w:tcBorders>
              <w:top w:val="single" w:color="000000" w:sz="8" w:space="0"/>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6</w:t>
            </w:r>
          </w:p>
        </w:tc>
        <w:tc>
          <w:tcPr>
            <w:tcW w:w="1284" w:type="dxa"/>
            <w:vMerge w:val="restart"/>
            <w:tcBorders>
              <w:top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服务改进</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（1）明确负责人，定期对物业服务过程进行自查，结合反馈意见与评价结果采取改进措施，持续提升管理与服务水平。</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（2）对不合格服务进行控制，对不合格服务的原因进行识别和分析，及时采取纠正措施，消除不合格的原因，防止不合格再发生。</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（3）需整改问题及时整改完成。</w:t>
            </w:r>
          </w:p>
        </w:tc>
      </w:tr>
      <w:tr>
        <w:tblPrEx>
          <w:tblLayout w:type="fixed"/>
          <w:tblCellMar>
            <w:top w:w="15" w:type="dxa"/>
            <w:left w:w="15" w:type="dxa"/>
            <w:bottom w:w="15" w:type="dxa"/>
            <w:right w:w="15" w:type="dxa"/>
          </w:tblCellMar>
        </w:tblPrEx>
        <w:trPr>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7</w:t>
            </w:r>
          </w:p>
        </w:tc>
        <w:tc>
          <w:tcPr>
            <w:tcW w:w="128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重大活动后勤保障</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（1）制订流程。配合采购人制订重大活动后勤保障工作流程，需对任务进行详细了解，并根据工作安排制定详细的后勤保障计划。</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（3）收尾工作。对现场进行检查，做好清理工作。</w:t>
            </w:r>
          </w:p>
        </w:tc>
      </w:tr>
      <w:tr>
        <w:tblPrEx>
          <w:tblLayout w:type="fixed"/>
          <w:tblCellMar>
            <w:top w:w="15" w:type="dxa"/>
            <w:left w:w="15" w:type="dxa"/>
            <w:bottom w:w="15" w:type="dxa"/>
            <w:right w:w="15" w:type="dxa"/>
          </w:tblCellMar>
        </w:tblPrEx>
        <w:trPr>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8</w:t>
            </w:r>
          </w:p>
        </w:tc>
        <w:tc>
          <w:tcPr>
            <w:tcW w:w="128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应急保障预案</w:t>
            </w:r>
          </w:p>
        </w:tc>
        <w:tc>
          <w:tcPr>
            <w:tcW w:w="7113"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应急预案的建立。根据办公楼隐患排查的结果和实际情况，制定专项预案，包括但不限于：火情火警紧急处理应急预案、紧急疏散应急预案、停水停电应急预案、恶劣天气应对应急预案、防盗应急预案、防疫应急预案、治安应急预案等。</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（3）应急预案的培训和演练。应急预案定期培训和演练，组织相关岗位每年至少开展一次专项应急预案演练；留存培训及演练记录和影像资料，并对预案进行评价，确保与实际情况相结合。</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（4）应急物资的管理。根据专项预案中的应对需要、必要的应急物资，建立清单或台账，并由专人定期对应急物资进行检查，如有应急物资不足，及时通知采购人购置齐全，确保能够随时正常使用。</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right w:val="single" w:color="000000" w:sz="8" w:space="0"/>
            </w:tcBorders>
            <w:vAlign w:val="center"/>
          </w:tcPr>
          <w:p>
            <w:pPr>
              <w:rPr>
                <w:rFonts w:hint="eastAsia" w:ascii="宋体" w:hAnsi="宋体" w:cs="宋体"/>
                <w:color w:val="000000"/>
                <w:sz w:val="21"/>
                <w:szCs w:val="21"/>
              </w:rPr>
            </w:pPr>
          </w:p>
        </w:tc>
        <w:tc>
          <w:tcPr>
            <w:tcW w:w="7113"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5）中标人按应急预案实施突发安全事件处理及秩序维护，及时启动突发安全事件应急预案，有效地控制突发事件，使损失降到最低。配合公安机关处理治安事件，加强日常沟通，协助公安机关保护现场，并积极配合提供相关线索，争取案件迅速侦破。</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6）中标人全力配合采购人完成各项突击任务（如大型接待、防台风等），在处理特殊事件和紧急、突发事故时，采购人对中标人的人员有直接指挥权。接到台风等自然灾害的预报，及时检查防范措施的落实情况，组织应急抢险队伍，由采购人管理部门统一指挥，做好抗灾抢险工作，力争将损失降至最低程度。</w:t>
            </w:r>
          </w:p>
        </w:tc>
      </w:tr>
      <w:tr>
        <w:tblPrEx>
          <w:tblLayout w:type="fixed"/>
          <w:tblCellMar>
            <w:top w:w="15" w:type="dxa"/>
            <w:left w:w="15" w:type="dxa"/>
            <w:bottom w:w="15" w:type="dxa"/>
            <w:right w:w="15" w:type="dxa"/>
          </w:tblCellMar>
        </w:tblPrEx>
        <w:trPr>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9</w:t>
            </w:r>
          </w:p>
        </w:tc>
        <w:tc>
          <w:tcPr>
            <w:tcW w:w="128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服务方案及工作制度</w:t>
            </w: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（1）制定工作制度，主要包括：人员录用制度、档案管理制度、物业服务管理制度、公用设施设备相关管理制度等。</w:t>
            </w:r>
          </w:p>
        </w:tc>
      </w:tr>
      <w:tr>
        <w:tblPrEx>
          <w:tblLayout w:type="fixed"/>
          <w:tblCellMar>
            <w:top w:w="15" w:type="dxa"/>
            <w:left w:w="15" w:type="dxa"/>
            <w:bottom w:w="15" w:type="dxa"/>
            <w:right w:w="15" w:type="dxa"/>
          </w:tblCellMar>
        </w:tblPrEx>
        <w:trPr>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113"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（2）制定项目实施方案，主要包括：交接方案、人员培训方案、人员稳定性方案、保密方案等。</w:t>
            </w:r>
          </w:p>
        </w:tc>
      </w:tr>
    </w:tbl>
    <w:p>
      <w:pPr>
        <w:pStyle w:val="936"/>
        <w:spacing w:line="360" w:lineRule="auto"/>
        <w:rPr>
          <w:rFonts w:hint="eastAsia" w:ascii="宋体" w:hAnsi="宋体" w:cs="宋体"/>
        </w:rPr>
      </w:pPr>
      <w:r>
        <w:rPr>
          <w:rFonts w:hint="eastAsia" w:ascii="宋体" w:hAnsi="宋体" w:cs="宋体"/>
          <w:b/>
          <w:bCs/>
          <w:spacing w:val="-2"/>
          <w:sz w:val="21"/>
          <w:szCs w:val="21"/>
        </w:rPr>
        <w:t> </w:t>
      </w:r>
    </w:p>
    <w:p>
      <w:pPr>
        <w:pStyle w:val="936"/>
        <w:spacing w:line="360" w:lineRule="auto"/>
        <w:rPr>
          <w:rFonts w:hint="eastAsia" w:ascii="宋体" w:hAnsi="宋体" w:cs="宋体"/>
        </w:rPr>
      </w:pPr>
      <w:r>
        <w:rPr>
          <w:rFonts w:hint="eastAsia" w:ascii="宋体" w:hAnsi="宋体" w:cs="宋体"/>
          <w:b/>
          <w:bCs/>
          <w:spacing w:val="-2"/>
          <w:sz w:val="21"/>
          <w:szCs w:val="21"/>
        </w:rPr>
        <w:t>（2）公用设施设备维护服务</w:t>
      </w:r>
    </w:p>
    <w:tbl>
      <w:tblPr>
        <w:tblStyle w:val="942"/>
        <w:tblW w:w="9347" w:type="dxa"/>
        <w:jc w:val="center"/>
        <w:tblCellSpacing w:w="0" w:type="dxa"/>
        <w:tblInd w:w="0" w:type="dxa"/>
        <w:tblLayout w:type="fixed"/>
        <w:tblCellMar>
          <w:top w:w="15" w:type="dxa"/>
          <w:left w:w="15" w:type="dxa"/>
          <w:bottom w:w="15" w:type="dxa"/>
          <w:right w:w="15" w:type="dxa"/>
        </w:tblCellMar>
      </w:tblPr>
      <w:tblGrid>
        <w:gridCol w:w="989"/>
        <w:gridCol w:w="1260"/>
        <w:gridCol w:w="7098"/>
      </w:tblGrid>
      <w:tr>
        <w:tblPrEx>
          <w:tblLayout w:type="fixed"/>
          <w:tblCellMar>
            <w:top w:w="15" w:type="dxa"/>
            <w:left w:w="15" w:type="dxa"/>
            <w:bottom w:w="15" w:type="dxa"/>
            <w:right w:w="15" w:type="dxa"/>
          </w:tblCellMar>
        </w:tblPrEx>
        <w:trPr>
          <w:trHeight w:val="462" w:hRule="atLeast"/>
          <w:tblCellSpacing w:w="0" w:type="dxa"/>
          <w:jc w:val="center"/>
        </w:trPr>
        <w:tc>
          <w:tcPr>
            <w:tcW w:w="98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序号</w:t>
            </w:r>
          </w:p>
        </w:tc>
        <w:tc>
          <w:tcPr>
            <w:tcW w:w="1260"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服务内容</w:t>
            </w:r>
          </w:p>
        </w:tc>
        <w:tc>
          <w:tcPr>
            <w:tcW w:w="7098"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服务标准</w:t>
            </w:r>
          </w:p>
        </w:tc>
      </w:tr>
      <w:tr>
        <w:tblPrEx>
          <w:tblLayout w:type="fixed"/>
          <w:tblCellMar>
            <w:top w:w="15" w:type="dxa"/>
            <w:left w:w="15" w:type="dxa"/>
            <w:bottom w:w="15" w:type="dxa"/>
            <w:right w:w="15" w:type="dxa"/>
          </w:tblCellMar>
        </w:tblPrEx>
        <w:trPr>
          <w:trHeight w:val="460"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1</w:t>
            </w:r>
          </w:p>
        </w:tc>
        <w:tc>
          <w:tcPr>
            <w:tcW w:w="126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基本要求</w:t>
            </w:r>
          </w:p>
        </w:tc>
        <w:tc>
          <w:tcPr>
            <w:tcW w:w="709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（1）中标人负责办公楼的机电、门窗（含锁）、水管水龙头、桌椅、排气设备、照明系统、给排水系统等设备的日常更换及维护（不包含专业设备检测保养如：电梯、发电机、空调、消防报警联动系统等）。</w:t>
            </w:r>
          </w:p>
        </w:tc>
      </w:tr>
      <w:tr>
        <w:tblPrEx>
          <w:tblLayout w:type="fixed"/>
          <w:tblCellMar>
            <w:top w:w="15" w:type="dxa"/>
            <w:left w:w="15" w:type="dxa"/>
            <w:bottom w:w="15" w:type="dxa"/>
            <w:right w:w="15" w:type="dxa"/>
          </w:tblCellMar>
        </w:tblPrEx>
        <w:trPr>
          <w:trHeight w:val="90"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（2）中标人雇佣的水电工服饰装备均须统一。</w:t>
            </w:r>
          </w:p>
        </w:tc>
      </w:tr>
      <w:tr>
        <w:tblPrEx>
          <w:tblLayout w:type="fixed"/>
          <w:tblCellMar>
            <w:top w:w="15" w:type="dxa"/>
            <w:left w:w="15" w:type="dxa"/>
            <w:bottom w:w="15" w:type="dxa"/>
            <w:right w:w="15" w:type="dxa"/>
          </w:tblCellMar>
        </w:tblPrEx>
        <w:trPr>
          <w:trHeight w:val="974"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（3）中标人应每日巡检电房、各公共照明、夜间灯饰照明等水电设施，发现问题及时报告采购单位，所产生的设备设施维修更换零配件费用由采购单位负责。</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（4）重大节假日、重点时段及极端恶劣天气发生前后，组织系统巡检1次。</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（5）服务标准设计的、国家标准有更新的，执行国家最新标准。</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after="240" w:line="400" w:lineRule="atLeast"/>
              <w:jc w:val="center"/>
              <w:rPr>
                <w:rFonts w:hint="eastAsia" w:ascii="宋体" w:hAnsi="宋体" w:cs="宋体"/>
                <w:color w:val="000000"/>
              </w:rPr>
            </w:pPr>
            <w:r>
              <w:rPr>
                <w:rFonts w:hint="eastAsia" w:ascii="宋体" w:hAnsi="宋体" w:cs="宋体"/>
                <w:color w:val="000000"/>
                <w:sz w:val="21"/>
                <w:szCs w:val="21"/>
              </w:rPr>
              <w:t>2</w:t>
            </w:r>
          </w:p>
          <w:p>
            <w:pPr>
              <w:pStyle w:val="936"/>
              <w:spacing w:before="240" w:after="240" w:line="400" w:lineRule="atLeast"/>
              <w:jc w:val="center"/>
              <w:rPr>
                <w:rFonts w:hint="eastAsia" w:ascii="宋体" w:hAnsi="宋体" w:cs="宋体"/>
                <w:color w:val="000000"/>
              </w:rPr>
            </w:pPr>
            <w:r>
              <w:rPr>
                <w:rFonts w:hint="eastAsia" w:ascii="宋体" w:hAnsi="宋体" w:cs="宋体"/>
                <w:color w:val="000000"/>
                <w:sz w:val="21"/>
                <w:szCs w:val="21"/>
              </w:rPr>
              <w:t> </w:t>
            </w:r>
          </w:p>
          <w:p>
            <w:pPr>
              <w:pStyle w:val="944"/>
              <w:spacing w:before="240"/>
              <w:ind w:firstLine="739"/>
              <w:rPr>
                <w:rFonts w:hint="eastAsia" w:ascii="宋体" w:hAnsi="宋体" w:cs="宋体"/>
                <w:color w:val="000000"/>
              </w:rPr>
            </w:pPr>
            <w:r>
              <w:rPr>
                <w:rFonts w:hint="eastAsia" w:ascii="宋体" w:hAnsi="宋体" w:cs="宋体"/>
                <w:color w:val="000000"/>
                <w:sz w:val="21"/>
                <w:szCs w:val="21"/>
              </w:rPr>
              <w:t> </w:t>
            </w:r>
          </w:p>
        </w:tc>
        <w:tc>
          <w:tcPr>
            <w:tcW w:w="126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设备机房</w:t>
            </w: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（1）设备机房门口有机房类别及安全标志。落实各类机房责任人、督查人，且应急预案流程图、管理制度资料符合各设备机房国家标准规范要求，机房巡视及外来人员记录清晰完整，标识统一。</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（2）每半月至少开展1次清洁，整洁有序、无杂物、无积尘、无鼠、无虫害，温湿度符合设备运行要求。</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（3）按各设备机房国家标准规范规定维护/保管消防、通风、应急照明，防止小动物进入。</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（4）安全防护用具配置齐全，检验合格。</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3</w:t>
            </w:r>
          </w:p>
        </w:tc>
        <w:tc>
          <w:tcPr>
            <w:tcW w:w="126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给排水系统</w:t>
            </w: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（1）设施设备、阀门、管道等运行正常，无跑、冒、滴、漏现象。</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（2）有水泵房、水箱间的，每日至少巡视1次。每年至少养护1次水泵。</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（3）遇供水单位限水、停水，按规定时间通知采购人。</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（4）每季度至少开展1次对排水管进行疏通、清污，保证室内外排水系统通畅。</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4</w:t>
            </w:r>
          </w:p>
        </w:tc>
        <w:tc>
          <w:tcPr>
            <w:tcW w:w="126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电梯系统</w:t>
            </w: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（1）有电梯突发事件或事故的应急措施预案。电梯出现故障，物业服务人员10分钟内到场应急处理，并及时通知采购人管理部门。</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（2）电梯维修、保养时协助专业维保人员在现场设置提示标识和防护围栏。</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（3）根据采购人需求，合理设置电梯开启的数量、时间。</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44"/>
              <w:jc w:val="center"/>
              <w:rPr>
                <w:rFonts w:hint="eastAsia" w:ascii="宋体" w:hAnsi="宋体" w:cs="宋体"/>
                <w:color w:val="000000"/>
              </w:rPr>
            </w:pPr>
            <w:r>
              <w:rPr>
                <w:rFonts w:hint="eastAsia" w:ascii="宋体" w:hAnsi="宋体" w:cs="宋体"/>
                <w:color w:val="000000"/>
                <w:sz w:val="21"/>
                <w:szCs w:val="21"/>
              </w:rPr>
              <w:t>5</w:t>
            </w:r>
          </w:p>
        </w:tc>
        <w:tc>
          <w:tcPr>
            <w:tcW w:w="126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供配电系统</w:t>
            </w: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（1）建立24小时运行值班监控制度。</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（2）对供电范围内的电气设备定期巡视维护，加强高低压配电柜、配电箱、控制柜及线路等重点部位监测。</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（3）公共使用的照明、指示灯具线路、开关、接地等保持完好，确保用电安全。</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（4）定期维护应急发电设备。</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（5）发生非计划性停电的，应当在事件发生后及时通知采购人，快速恢复或启用应急电源，并做好应急事件上报及处理工作。</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（6）复杂故障涉及供电部门维修处置的及时与供电部门联系，并向采购人报告。</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44"/>
              <w:jc w:val="center"/>
              <w:rPr>
                <w:rFonts w:hint="eastAsia" w:ascii="宋体" w:hAnsi="宋体" w:cs="宋体"/>
                <w:color w:val="000000"/>
              </w:rPr>
            </w:pPr>
            <w:r>
              <w:rPr>
                <w:rFonts w:hint="eastAsia" w:ascii="宋体" w:hAnsi="宋体" w:cs="宋体"/>
                <w:color w:val="000000"/>
                <w:sz w:val="21"/>
                <w:szCs w:val="21"/>
              </w:rPr>
              <w:t>6</w:t>
            </w:r>
          </w:p>
        </w:tc>
        <w:tc>
          <w:tcPr>
            <w:tcW w:w="126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弱电系统</w:t>
            </w: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（1）安全防范系统维护保养符合《安全防范系统维护保养规范》（GA/T 1081）的相关要求。</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（2）保持门禁系统、安全防范系统等运行正常，有故障及时通知采购人。</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44"/>
              <w:jc w:val="center"/>
              <w:rPr>
                <w:rFonts w:hint="eastAsia" w:ascii="宋体" w:hAnsi="宋体" w:cs="宋体"/>
                <w:color w:val="000000"/>
              </w:rPr>
            </w:pPr>
            <w:r>
              <w:rPr>
                <w:rFonts w:hint="eastAsia" w:ascii="宋体" w:hAnsi="宋体" w:cs="宋体"/>
                <w:color w:val="000000"/>
                <w:sz w:val="21"/>
                <w:szCs w:val="21"/>
              </w:rPr>
              <w:t>7</w:t>
            </w:r>
          </w:p>
        </w:tc>
        <w:tc>
          <w:tcPr>
            <w:tcW w:w="126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照明系统</w:t>
            </w: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（1）外观整洁无缺损、无松落。</w:t>
            </w:r>
          </w:p>
        </w:tc>
      </w:tr>
      <w:tr>
        <w:tblPrEx>
          <w:tblLayout w:type="fixed"/>
          <w:tblCellMar>
            <w:top w:w="15" w:type="dxa"/>
            <w:left w:w="15" w:type="dxa"/>
            <w:bottom w:w="15" w:type="dxa"/>
            <w:right w:w="15" w:type="dxa"/>
          </w:tblCellMar>
        </w:tblPrEx>
        <w:trPr>
          <w:trHeight w:val="641" w:hRule="atLeast"/>
          <w:tblCellSpacing w:w="0" w:type="dxa"/>
          <w:jc w:val="center"/>
        </w:trPr>
        <w:tc>
          <w:tcPr>
            <w:tcW w:w="989"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6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09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（2）每周至少开展1次公共区域照明设备巡视。</w:t>
            </w:r>
          </w:p>
        </w:tc>
      </w:tr>
    </w:tbl>
    <w:p>
      <w:pPr>
        <w:pStyle w:val="936"/>
        <w:spacing w:line="360" w:lineRule="auto"/>
        <w:rPr>
          <w:rFonts w:hint="eastAsia" w:ascii="宋体" w:hAnsi="宋体" w:cs="宋体"/>
        </w:rPr>
      </w:pPr>
      <w:r>
        <w:rPr>
          <w:rFonts w:hint="eastAsia" w:ascii="宋体" w:hAnsi="宋体" w:cs="宋体"/>
          <w:b/>
          <w:bCs/>
          <w:spacing w:val="-2"/>
          <w:sz w:val="21"/>
          <w:szCs w:val="21"/>
        </w:rPr>
        <w:t>（3）保洁服务</w:t>
      </w:r>
    </w:p>
    <w:tbl>
      <w:tblPr>
        <w:tblStyle w:val="942"/>
        <w:tblW w:w="9462" w:type="dxa"/>
        <w:jc w:val="center"/>
        <w:tblCellSpacing w:w="0" w:type="dxa"/>
        <w:tblInd w:w="0" w:type="dxa"/>
        <w:tblLayout w:type="fixed"/>
        <w:tblCellMar>
          <w:top w:w="15" w:type="dxa"/>
          <w:left w:w="15" w:type="dxa"/>
          <w:bottom w:w="15" w:type="dxa"/>
          <w:right w:w="15" w:type="dxa"/>
        </w:tblCellMar>
      </w:tblPr>
      <w:tblGrid>
        <w:gridCol w:w="900"/>
        <w:gridCol w:w="1090"/>
        <w:gridCol w:w="7472"/>
      </w:tblGrid>
      <w:tr>
        <w:tblPrEx>
          <w:tblLayout w:type="fixed"/>
          <w:tblCellMar>
            <w:top w:w="15" w:type="dxa"/>
            <w:left w:w="15" w:type="dxa"/>
            <w:bottom w:w="15" w:type="dxa"/>
            <w:right w:w="15" w:type="dxa"/>
          </w:tblCellMar>
        </w:tblPrEx>
        <w:trPr>
          <w:tblCellSpacing w:w="0" w:type="dxa"/>
          <w:jc w:val="center"/>
        </w:trPr>
        <w:tc>
          <w:tcPr>
            <w:tcW w:w="9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序号</w:t>
            </w:r>
          </w:p>
        </w:tc>
        <w:tc>
          <w:tcPr>
            <w:tcW w:w="1090"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服务内容</w:t>
            </w:r>
          </w:p>
        </w:tc>
        <w:tc>
          <w:tcPr>
            <w:tcW w:w="7472" w:type="dxa"/>
            <w:tcBorders>
              <w:top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服务标准</w:t>
            </w:r>
          </w:p>
        </w:tc>
      </w:tr>
      <w:tr>
        <w:tblPrEx>
          <w:tblLayout w:type="fixed"/>
          <w:tblCellMar>
            <w:top w:w="15" w:type="dxa"/>
            <w:left w:w="15" w:type="dxa"/>
            <w:bottom w:w="15" w:type="dxa"/>
            <w:right w:w="15" w:type="dxa"/>
          </w:tblCellMar>
        </w:tblPrEx>
        <w:trPr>
          <w:tblCellSpacing w:w="0" w:type="dxa"/>
          <w:jc w:val="center"/>
        </w:trPr>
        <w:tc>
          <w:tcPr>
            <w:tcW w:w="900"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1</w:t>
            </w:r>
          </w:p>
        </w:tc>
        <w:tc>
          <w:tcPr>
            <w:tcW w:w="1090"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基本要求</w:t>
            </w: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（1）保持采购人办公楼各楼层公共区域、会议室、展厅、楼梯、通道、卫生间、停车场、地下车库等公共环境清洁。</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（2）严格按照保洁工作内各项操作规程、工作程序、工作标准使用卫生洗涤工具、毛巾、枺布、保洁工具等日常用品。</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（3）作业时采取安全防护措施，防止对作业人员或他人造成伤害。相关耗材的环保、安全性等应当符合国家相关规定要求。</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（4）进入保密区域时，有采购人相关人员全程在场。</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（5）建立保洁服务的工作制度及工作计划，并按照执行。做好保洁服务工作记录，记录填写规范，保存完好。</w:t>
            </w:r>
          </w:p>
        </w:tc>
      </w:tr>
      <w:tr>
        <w:tblPrEx>
          <w:tblLayout w:type="fixed"/>
          <w:tblCellMar>
            <w:top w:w="15" w:type="dxa"/>
            <w:left w:w="15" w:type="dxa"/>
            <w:bottom w:w="15" w:type="dxa"/>
            <w:right w:w="15" w:type="dxa"/>
          </w:tblCellMar>
        </w:tblPrEx>
        <w:trPr>
          <w:tblCellSpacing w:w="0" w:type="dxa"/>
          <w:jc w:val="center"/>
        </w:trPr>
        <w:tc>
          <w:tcPr>
            <w:tcW w:w="900" w:type="dxa"/>
            <w:vMerge w:val="restart"/>
            <w:tcBorders>
              <w:top w:val="single" w:color="000000" w:sz="8" w:space="0"/>
              <w:left w:val="single" w:color="000000" w:sz="8" w:space="0"/>
              <w:bottom w:val="nil"/>
              <w:right w:val="single" w:color="000000" w:sz="8" w:space="0"/>
            </w:tcBorders>
            <w:tcMar>
              <w:top w:w="0" w:type="dxa"/>
              <w:left w:w="0" w:type="dxa"/>
              <w:bottom w:w="0" w:type="dxa"/>
              <w:right w:w="0" w:type="dxa"/>
            </w:tcMar>
            <w:vAlign w:val="center"/>
          </w:tcPr>
          <w:p>
            <w:pPr>
              <w:pStyle w:val="936"/>
              <w:spacing w:after="240" w:line="400" w:lineRule="atLeast"/>
              <w:jc w:val="center"/>
              <w:rPr>
                <w:rFonts w:hint="eastAsia" w:ascii="宋体" w:hAnsi="宋体" w:cs="宋体"/>
                <w:color w:val="000000"/>
              </w:rPr>
            </w:pPr>
            <w:r>
              <w:rPr>
                <w:rFonts w:hint="eastAsia" w:ascii="宋体" w:hAnsi="宋体" w:cs="宋体"/>
                <w:color w:val="000000"/>
                <w:sz w:val="21"/>
                <w:szCs w:val="21"/>
              </w:rPr>
              <w:t> </w:t>
            </w:r>
          </w:p>
          <w:p>
            <w:pPr>
              <w:pStyle w:val="936"/>
              <w:spacing w:before="240" w:line="400" w:lineRule="atLeast"/>
              <w:jc w:val="center"/>
              <w:rPr>
                <w:rFonts w:hint="eastAsia" w:ascii="宋体" w:hAnsi="宋体" w:cs="宋体"/>
                <w:color w:val="000000"/>
              </w:rPr>
            </w:pPr>
            <w:r>
              <w:rPr>
                <w:rFonts w:hint="eastAsia" w:ascii="宋体" w:hAnsi="宋体" w:cs="宋体"/>
                <w:color w:val="000000"/>
                <w:sz w:val="21"/>
                <w:szCs w:val="21"/>
              </w:rPr>
              <w:t>2</w:t>
            </w:r>
          </w:p>
        </w:tc>
        <w:tc>
          <w:tcPr>
            <w:tcW w:w="1090" w:type="dxa"/>
            <w:vMerge w:val="restart"/>
            <w:tcBorders>
              <w:top w:val="single" w:color="000000" w:sz="8" w:space="0"/>
              <w:bottom w:val="nil"/>
              <w:right w:val="single" w:color="000000" w:sz="8" w:space="0"/>
            </w:tcBorders>
            <w:tcMar>
              <w:top w:w="0" w:type="dxa"/>
              <w:left w:w="0" w:type="dxa"/>
              <w:bottom w:w="0" w:type="dxa"/>
              <w:right w:w="0" w:type="dxa"/>
            </w:tcMar>
            <w:vAlign w:val="center"/>
          </w:tcPr>
          <w:p>
            <w:pPr>
              <w:pStyle w:val="936"/>
              <w:spacing w:after="240" w:line="400" w:lineRule="atLeast"/>
              <w:jc w:val="center"/>
              <w:rPr>
                <w:rFonts w:hint="eastAsia" w:ascii="宋体" w:hAnsi="宋体" w:cs="宋体"/>
                <w:color w:val="000000"/>
              </w:rPr>
            </w:pPr>
            <w:r>
              <w:rPr>
                <w:rFonts w:hint="eastAsia" w:ascii="宋体" w:hAnsi="宋体" w:cs="宋体"/>
                <w:color w:val="000000"/>
                <w:sz w:val="21"/>
                <w:szCs w:val="21"/>
              </w:rPr>
              <w:t> </w:t>
            </w:r>
          </w:p>
          <w:p>
            <w:pPr>
              <w:pStyle w:val="936"/>
              <w:spacing w:before="240" w:line="400" w:lineRule="atLeast"/>
              <w:jc w:val="center"/>
              <w:rPr>
                <w:rFonts w:hint="eastAsia" w:ascii="宋体" w:hAnsi="宋体" w:cs="宋体"/>
                <w:color w:val="000000"/>
              </w:rPr>
            </w:pPr>
            <w:r>
              <w:rPr>
                <w:rFonts w:hint="eastAsia" w:ascii="宋体" w:hAnsi="宋体" w:cs="宋体"/>
                <w:color w:val="000000"/>
                <w:sz w:val="21"/>
                <w:szCs w:val="21"/>
              </w:rPr>
              <w:t>办公用房区域保洁</w:t>
            </w: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after="240" w:line="400" w:lineRule="atLeast"/>
              <w:rPr>
                <w:rFonts w:hint="eastAsia" w:ascii="宋体" w:hAnsi="宋体" w:cs="宋体"/>
                <w:color w:val="000000"/>
              </w:rPr>
            </w:pPr>
            <w:r>
              <w:rPr>
                <w:rFonts w:hint="eastAsia" w:ascii="宋体" w:hAnsi="宋体" w:cs="宋体"/>
                <w:color w:val="000000"/>
                <w:sz w:val="21"/>
                <w:szCs w:val="21"/>
              </w:rPr>
              <w:t>（1）大厅、楼内公共通道：</w:t>
            </w:r>
          </w:p>
          <w:p>
            <w:pPr>
              <w:pStyle w:val="936"/>
              <w:spacing w:before="240" w:after="240" w:line="400" w:lineRule="atLeast"/>
              <w:rPr>
                <w:rFonts w:hint="eastAsia" w:ascii="宋体" w:hAnsi="宋体" w:cs="宋体"/>
                <w:color w:val="000000"/>
              </w:rPr>
            </w:pPr>
            <w:r>
              <w:rPr>
                <w:rFonts w:hint="eastAsia" w:ascii="宋体" w:hAnsi="宋体" w:cs="宋体"/>
                <w:color w:val="000000"/>
                <w:sz w:val="21"/>
                <w:szCs w:val="21"/>
              </w:rPr>
              <w:t>①公共通道保持干净，无异味、无杂物、无积水，每日至少开展 1 次清洁作业。</w:t>
            </w:r>
          </w:p>
          <w:p>
            <w:pPr>
              <w:pStyle w:val="936"/>
              <w:spacing w:before="240" w:after="240" w:line="400" w:lineRule="atLeast"/>
              <w:rPr>
                <w:rFonts w:hint="eastAsia" w:ascii="宋体" w:hAnsi="宋体" w:cs="宋体"/>
                <w:color w:val="000000"/>
              </w:rPr>
            </w:pPr>
            <w:r>
              <w:rPr>
                <w:rFonts w:hint="eastAsia" w:ascii="宋体" w:hAnsi="宋体" w:cs="宋体"/>
                <w:color w:val="000000"/>
                <w:sz w:val="21"/>
                <w:szCs w:val="21"/>
              </w:rPr>
              <w:t>②门窗玻璃干净无尘，透光性好，每月至少开展 1 次清洁作业。</w:t>
            </w:r>
          </w:p>
          <w:p>
            <w:pPr>
              <w:pStyle w:val="936"/>
              <w:spacing w:before="240" w:line="400" w:lineRule="atLeast"/>
              <w:rPr>
                <w:rFonts w:hint="eastAsia" w:ascii="宋体" w:hAnsi="宋体" w:cs="宋体"/>
                <w:color w:val="000000"/>
              </w:rPr>
            </w:pPr>
            <w:r>
              <w:rPr>
                <w:rFonts w:hint="eastAsia" w:ascii="宋体" w:hAnsi="宋体" w:cs="宋体"/>
                <w:color w:val="000000"/>
                <w:sz w:val="21"/>
                <w:szCs w:val="21"/>
              </w:rPr>
              <w:t>③指示牌干净，无污渍，每周至少开展 1 次清洁作业。</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（2）楼梯及楼梯间保持干净、无异味、无杂物、无积水、每日至少开展1次清洁作业。</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after="240" w:line="400" w:lineRule="atLeast"/>
              <w:rPr>
                <w:rFonts w:hint="eastAsia" w:ascii="宋体" w:hAnsi="宋体" w:cs="宋体"/>
                <w:color w:val="000000"/>
              </w:rPr>
            </w:pPr>
            <w:r>
              <w:rPr>
                <w:rFonts w:hint="eastAsia" w:ascii="宋体" w:hAnsi="宋体" w:cs="宋体"/>
                <w:color w:val="000000"/>
                <w:sz w:val="21"/>
                <w:szCs w:val="21"/>
              </w:rPr>
              <w:t>（3）公共卫生间：</w:t>
            </w:r>
          </w:p>
          <w:p>
            <w:pPr>
              <w:pStyle w:val="936"/>
              <w:spacing w:before="240" w:after="240" w:line="400" w:lineRule="atLeast"/>
              <w:rPr>
                <w:rFonts w:hint="eastAsia" w:ascii="宋体" w:hAnsi="宋体" w:cs="宋体"/>
                <w:color w:val="000000"/>
              </w:rPr>
            </w:pPr>
            <w:r>
              <w:rPr>
                <w:rFonts w:hint="eastAsia" w:ascii="宋体" w:hAnsi="宋体" w:cs="宋体"/>
                <w:color w:val="000000"/>
                <w:sz w:val="21"/>
                <w:szCs w:val="21"/>
              </w:rPr>
              <w:t>①保持干净，无异味，垃圾无溢出，每日至少开展 1 次清洁作业。</w:t>
            </w:r>
          </w:p>
          <w:p>
            <w:pPr>
              <w:pStyle w:val="936"/>
              <w:spacing w:before="240" w:line="400" w:lineRule="atLeast"/>
              <w:rPr>
                <w:rFonts w:hint="eastAsia" w:ascii="宋体" w:hAnsi="宋体" w:cs="宋体"/>
                <w:color w:val="000000"/>
              </w:rPr>
            </w:pPr>
            <w:r>
              <w:rPr>
                <w:rFonts w:hint="eastAsia" w:ascii="宋体" w:hAnsi="宋体" w:cs="宋体"/>
                <w:color w:val="000000"/>
                <w:sz w:val="21"/>
                <w:szCs w:val="21"/>
              </w:rPr>
              <w:t>②及时补充厕纸等必要用品。</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（4）地下车库：每天定时巡查保洁一次，每天清除、扫拖、抹法保洁一次，同时，巡回保洁，有脏即除，保持干净。</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（5）电梯轿厢：保持干净，无污渍、无粘贴物、无异味，每日至少开展 1 次清洁作业。</w:t>
            </w:r>
          </w:p>
        </w:tc>
      </w:tr>
      <w:tr>
        <w:tblPrEx>
          <w:tblLayout w:type="fixed"/>
          <w:tblCellMar>
            <w:top w:w="15" w:type="dxa"/>
            <w:left w:w="15" w:type="dxa"/>
            <w:bottom w:w="15" w:type="dxa"/>
            <w:right w:w="15" w:type="dxa"/>
          </w:tblCellMar>
        </w:tblPrEx>
        <w:trPr>
          <w:trHeight w:val="382" w:hRule="atLeast"/>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（6）天台保持干净，有杂物及时清扫，每月至少开展 1 次清洁作业。</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after="240" w:line="400" w:lineRule="atLeast"/>
              <w:rPr>
                <w:rFonts w:hint="eastAsia" w:ascii="宋体" w:hAnsi="宋体" w:cs="宋体"/>
                <w:color w:val="000000"/>
              </w:rPr>
            </w:pPr>
            <w:r>
              <w:rPr>
                <w:rFonts w:hint="eastAsia" w:ascii="宋体" w:hAnsi="宋体" w:cs="宋体"/>
                <w:color w:val="000000"/>
                <w:sz w:val="21"/>
                <w:szCs w:val="21"/>
              </w:rPr>
              <w:t xml:space="preserve">（7）作业工具间： </w:t>
            </w:r>
          </w:p>
          <w:p>
            <w:pPr>
              <w:pStyle w:val="936"/>
              <w:spacing w:before="240" w:after="240" w:line="400" w:lineRule="atLeast"/>
              <w:rPr>
                <w:rFonts w:hint="eastAsia" w:ascii="宋体" w:hAnsi="宋体" w:cs="宋体"/>
                <w:color w:val="000000"/>
              </w:rPr>
            </w:pPr>
            <w:r>
              <w:rPr>
                <w:rFonts w:hint="eastAsia" w:ascii="宋体" w:hAnsi="宋体" w:cs="宋体"/>
                <w:color w:val="000000"/>
                <w:sz w:val="21"/>
                <w:szCs w:val="21"/>
              </w:rPr>
              <w:t>①保持干净，无异味、无杂物、无积水，每日至少开展1次清洁作业。</w:t>
            </w:r>
          </w:p>
          <w:p>
            <w:pPr>
              <w:pStyle w:val="936"/>
              <w:spacing w:before="240" w:line="400" w:lineRule="atLeast"/>
              <w:rPr>
                <w:rFonts w:hint="eastAsia" w:ascii="宋体" w:hAnsi="宋体" w:cs="宋体"/>
                <w:color w:val="000000"/>
              </w:rPr>
            </w:pPr>
            <w:r>
              <w:rPr>
                <w:rFonts w:hint="eastAsia" w:ascii="宋体" w:hAnsi="宋体" w:cs="宋体"/>
                <w:color w:val="000000"/>
                <w:sz w:val="21"/>
                <w:szCs w:val="21"/>
              </w:rPr>
              <w:t>②作业工具摆放整齐有序，表面干净无渍，每日消毒。</w:t>
            </w:r>
          </w:p>
        </w:tc>
      </w:tr>
      <w:tr>
        <w:tblPrEx>
          <w:tblLayout w:type="fixed"/>
          <w:tblCellMar>
            <w:top w:w="15" w:type="dxa"/>
            <w:left w:w="15" w:type="dxa"/>
            <w:bottom w:w="15" w:type="dxa"/>
            <w:right w:w="15" w:type="dxa"/>
          </w:tblCellMar>
        </w:tblPrEx>
        <w:trPr>
          <w:tblCellSpacing w:w="0" w:type="dxa"/>
          <w:jc w:val="center"/>
        </w:trPr>
        <w:tc>
          <w:tcPr>
            <w:tcW w:w="900"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3</w:t>
            </w:r>
          </w:p>
        </w:tc>
        <w:tc>
          <w:tcPr>
            <w:tcW w:w="1090" w:type="dxa"/>
            <w:vMerge w:val="restart"/>
            <w:tcBorders>
              <w:bottom w:val="nil"/>
              <w:right w:val="single" w:color="000000" w:sz="8" w:space="0"/>
            </w:tcBorders>
            <w:tcMar>
              <w:top w:w="0" w:type="dxa"/>
              <w:left w:w="0" w:type="dxa"/>
              <w:bottom w:w="0" w:type="dxa"/>
              <w:right w:w="0"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公共场地区域保洁</w:t>
            </w: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（1）每日清扫道路地面、停车场等公共区域 2 次，保持干净、无杂物、无积水。</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（2）各种路标、宣传栏等保持干净，每月至少开展 1 次清洁作业。</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（3）绿地内无杂物、无改变用途和破坏、践踏、占用现象，每天至少开展 1 次巡查。</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（4）需专业高空作业及专用设备的办公楼外立面、外窗玻璃清洁等工作由采购人另行采购。</w:t>
            </w:r>
          </w:p>
        </w:tc>
      </w:tr>
      <w:tr>
        <w:tblPrEx>
          <w:tblLayout w:type="fixed"/>
          <w:tblCellMar>
            <w:top w:w="15" w:type="dxa"/>
            <w:left w:w="15" w:type="dxa"/>
            <w:bottom w:w="15" w:type="dxa"/>
            <w:right w:w="15" w:type="dxa"/>
          </w:tblCellMar>
        </w:tblPrEx>
        <w:trPr>
          <w:tblCellSpacing w:w="0" w:type="dxa"/>
          <w:jc w:val="center"/>
        </w:trPr>
        <w:tc>
          <w:tcPr>
            <w:tcW w:w="900"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4</w:t>
            </w:r>
          </w:p>
        </w:tc>
        <w:tc>
          <w:tcPr>
            <w:tcW w:w="1090" w:type="dxa"/>
            <w:vMerge w:val="restart"/>
            <w:tcBorders>
              <w:bottom w:val="nil"/>
              <w:right w:val="single" w:color="000000" w:sz="8" w:space="0"/>
            </w:tcBorders>
            <w:tcMar>
              <w:top w:w="0" w:type="dxa"/>
              <w:left w:w="0" w:type="dxa"/>
              <w:bottom w:w="0" w:type="dxa"/>
              <w:right w:w="0"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垃圾处理</w:t>
            </w:r>
          </w:p>
        </w:tc>
        <w:tc>
          <w:tcPr>
            <w:tcW w:w="7472" w:type="dxa"/>
            <w:tcBorders>
              <w:bottom w:val="single" w:color="000000" w:sz="8" w:space="0"/>
              <w:right w:val="single" w:color="000000" w:sz="8" w:space="0"/>
            </w:tcBorders>
            <w:tcMar>
              <w:top w:w="0" w:type="dxa"/>
              <w:left w:w="0" w:type="dxa"/>
              <w:bottom w:w="0" w:type="dxa"/>
              <w:right w:w="0" w:type="dxa"/>
            </w:tcMar>
          </w:tcPr>
          <w:p>
            <w:pPr>
              <w:pStyle w:val="936"/>
              <w:rPr>
                <w:rFonts w:hint="eastAsia" w:ascii="宋体" w:hAnsi="宋体" w:cs="宋体"/>
                <w:color w:val="000000"/>
              </w:rPr>
            </w:pPr>
            <w:r>
              <w:rPr>
                <w:rFonts w:hint="eastAsia" w:ascii="宋体" w:hAnsi="宋体" w:cs="宋体"/>
                <w:color w:val="000000"/>
                <w:sz w:val="21"/>
                <w:szCs w:val="21"/>
              </w:rPr>
              <w:t>（1）生活垃圾（有机、无机、有害垃圾、厨余）分类、清运处理、督促装修垃圾清运处理和废纸及可再生废物的回收。所有垃圾分类、清运、处理应符合国家、广东省及汕头有关法律、法规规定。</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rPr>
                <w:rFonts w:hint="eastAsia" w:ascii="宋体" w:hAnsi="宋体" w:cs="宋体"/>
                <w:color w:val="000000"/>
              </w:rPr>
            </w:pPr>
            <w:r>
              <w:rPr>
                <w:rFonts w:hint="eastAsia" w:ascii="宋体" w:hAnsi="宋体" w:cs="宋体"/>
                <w:color w:val="000000"/>
                <w:sz w:val="21"/>
                <w:szCs w:val="21"/>
              </w:rPr>
              <w:t>（2）垃圾清运、处理的范围分为：办公楼日常办公垃圾、日常生活垃圾、公共部位上通道、园林、道路等地的综合垃圾、厨余垃圾。</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rPr>
                <w:rFonts w:hint="eastAsia" w:ascii="宋体" w:hAnsi="宋体" w:cs="宋体"/>
                <w:color w:val="000000"/>
              </w:rPr>
            </w:pPr>
            <w:r>
              <w:rPr>
                <w:rFonts w:hint="eastAsia" w:ascii="宋体" w:hAnsi="宋体" w:cs="宋体"/>
                <w:color w:val="000000"/>
                <w:sz w:val="21"/>
                <w:szCs w:val="21"/>
              </w:rPr>
              <w:t>（3）垃圾清运、处理工作分为：收集、分类区域内垃圾，并更换垃圾袋，每天至少1次清洁垃圾筒；每天定时清运、处理不少于2次（早晚各1次）；将物业项目内所有桶内垃圾清理干净封好胶袋口；垃圾房定时消毒。</w:t>
            </w:r>
          </w:p>
        </w:tc>
      </w:tr>
      <w:tr>
        <w:tblPrEx>
          <w:tblLayout w:type="fixed"/>
          <w:tblCellMar>
            <w:top w:w="15" w:type="dxa"/>
            <w:left w:w="15" w:type="dxa"/>
            <w:bottom w:w="15" w:type="dxa"/>
            <w:right w:w="15" w:type="dxa"/>
          </w:tblCellMar>
        </w:tblPrEx>
        <w:trPr>
          <w:tblCellSpacing w:w="0" w:type="dxa"/>
          <w:jc w:val="center"/>
        </w:trPr>
        <w:tc>
          <w:tcPr>
            <w:tcW w:w="900"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5</w:t>
            </w:r>
          </w:p>
        </w:tc>
        <w:tc>
          <w:tcPr>
            <w:tcW w:w="1090" w:type="dxa"/>
            <w:vMerge w:val="restart"/>
            <w:tcBorders>
              <w:bottom w:val="nil"/>
              <w:right w:val="single" w:color="000000" w:sz="8" w:space="0"/>
            </w:tcBorders>
            <w:tcMar>
              <w:top w:w="0" w:type="dxa"/>
              <w:left w:w="0" w:type="dxa"/>
              <w:bottom w:w="0" w:type="dxa"/>
              <w:right w:w="0"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油、粪池下水道清通</w:t>
            </w: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（1）服务区域：金砂路</w:t>
            </w:r>
            <w:r>
              <w:rPr>
                <w:rFonts w:hint="eastAsia" w:ascii="宋体" w:hAnsi="宋体" w:cs="宋体"/>
                <w:color w:val="000000"/>
                <w:sz w:val="21"/>
                <w:szCs w:val="21"/>
                <w:lang w:eastAsia="zh-CN"/>
              </w:rPr>
              <w:t>区局</w:t>
            </w:r>
            <w:r>
              <w:rPr>
                <w:rFonts w:hint="eastAsia" w:ascii="宋体" w:hAnsi="宋体" w:cs="宋体"/>
                <w:color w:val="000000"/>
                <w:sz w:val="21"/>
                <w:szCs w:val="21"/>
              </w:rPr>
              <w:t>办公</w:t>
            </w:r>
            <w:r>
              <w:rPr>
                <w:rFonts w:hint="eastAsia" w:ascii="宋体" w:hAnsi="宋体" w:cs="宋体"/>
                <w:color w:val="000000"/>
                <w:sz w:val="21"/>
                <w:szCs w:val="21"/>
                <w:lang w:eastAsia="zh-CN"/>
              </w:rPr>
              <w:t>区</w:t>
            </w:r>
            <w:r>
              <w:rPr>
                <w:rFonts w:hint="eastAsia" w:ascii="宋体" w:hAnsi="宋体" w:cs="宋体"/>
                <w:color w:val="000000"/>
                <w:sz w:val="21"/>
                <w:szCs w:val="21"/>
              </w:rPr>
              <w:t>、新厦路办公</w:t>
            </w:r>
            <w:r>
              <w:rPr>
                <w:rFonts w:hint="eastAsia" w:ascii="宋体" w:hAnsi="宋体" w:cs="宋体"/>
                <w:color w:val="000000"/>
                <w:sz w:val="21"/>
                <w:szCs w:val="21"/>
                <w:lang w:eastAsia="zh-CN"/>
              </w:rPr>
              <w:t>区</w:t>
            </w:r>
            <w:r>
              <w:rPr>
                <w:rFonts w:hint="eastAsia" w:ascii="宋体" w:hAnsi="宋体" w:cs="宋体"/>
                <w:color w:val="000000"/>
                <w:sz w:val="21"/>
                <w:szCs w:val="21"/>
              </w:rPr>
              <w:t>、同益分局办公</w:t>
            </w:r>
            <w:r>
              <w:rPr>
                <w:rFonts w:hint="eastAsia" w:ascii="宋体" w:hAnsi="宋体" w:cs="宋体"/>
                <w:color w:val="000000"/>
                <w:sz w:val="21"/>
                <w:szCs w:val="21"/>
                <w:lang w:eastAsia="zh-CN"/>
              </w:rPr>
              <w:t>区</w:t>
            </w:r>
            <w:r>
              <w:rPr>
                <w:rFonts w:hint="eastAsia" w:ascii="宋体" w:hAnsi="宋体" w:cs="宋体"/>
                <w:color w:val="000000"/>
                <w:sz w:val="21"/>
                <w:szCs w:val="21"/>
              </w:rPr>
              <w:t>和鮀江分局办公</w:t>
            </w:r>
            <w:r>
              <w:rPr>
                <w:rFonts w:hint="eastAsia" w:ascii="宋体" w:hAnsi="宋体" w:cs="宋体"/>
                <w:color w:val="000000"/>
                <w:sz w:val="21"/>
                <w:szCs w:val="21"/>
                <w:lang w:eastAsia="zh-CN"/>
              </w:rPr>
              <w:t>区</w:t>
            </w:r>
            <w:r>
              <w:rPr>
                <w:rFonts w:hint="eastAsia" w:ascii="宋体" w:hAnsi="宋体" w:cs="宋体"/>
                <w:color w:val="000000"/>
                <w:sz w:val="21"/>
                <w:szCs w:val="21"/>
              </w:rPr>
              <w:t>。4个办公</w:t>
            </w:r>
            <w:r>
              <w:rPr>
                <w:rFonts w:hint="eastAsia" w:ascii="宋体" w:hAnsi="宋体" w:cs="宋体"/>
                <w:color w:val="000000"/>
                <w:sz w:val="21"/>
                <w:szCs w:val="21"/>
                <w:lang w:eastAsia="zh-CN"/>
              </w:rPr>
              <w:t>区</w:t>
            </w:r>
            <w:r>
              <w:rPr>
                <w:rFonts w:hint="eastAsia" w:ascii="宋体" w:hAnsi="宋体" w:cs="宋体"/>
                <w:color w:val="000000"/>
                <w:sz w:val="21"/>
                <w:szCs w:val="21"/>
              </w:rPr>
              <w:t>共有油池4个，化粪池6个。</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 xml:space="preserve">（2）区域内生活污水经污水管道集中排放处理。 </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（3）为保持污水管通畅，保洁员每周对排水沟进行巡查，发现问题及时报采购方同意后进行清通。</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（4）保持油、粪池工作正常，每月至少巡逻检查1次，发现异常应及时进行清理。检查发现管道、化粪池损坏的，报采购方进行维修。</w:t>
            </w:r>
          </w:p>
        </w:tc>
      </w:tr>
      <w:tr>
        <w:tblPrEx>
          <w:tblLayout w:type="fixed"/>
          <w:tblCellMar>
            <w:top w:w="15" w:type="dxa"/>
            <w:left w:w="15" w:type="dxa"/>
            <w:bottom w:w="15" w:type="dxa"/>
            <w:right w:w="15" w:type="dxa"/>
          </w:tblCellMar>
        </w:tblPrEx>
        <w:trPr>
          <w:tblCellSpacing w:w="0" w:type="dxa"/>
          <w:jc w:val="center"/>
        </w:trPr>
        <w:tc>
          <w:tcPr>
            <w:tcW w:w="900"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0"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7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（5）要求相关清通服务必须使用高压管道清洗车、专业密封吸粪清运车等专业设备。</w:t>
            </w:r>
          </w:p>
        </w:tc>
      </w:tr>
    </w:tbl>
    <w:p>
      <w:pPr>
        <w:pStyle w:val="944"/>
        <w:spacing w:line="360" w:lineRule="auto"/>
        <w:rPr>
          <w:rFonts w:hint="eastAsia" w:ascii="宋体" w:hAnsi="宋体" w:cs="宋体"/>
        </w:rPr>
      </w:pPr>
      <w:r>
        <w:rPr>
          <w:rFonts w:hint="eastAsia" w:ascii="宋体" w:hAnsi="宋体" w:cs="宋体"/>
          <w:sz w:val="21"/>
          <w:szCs w:val="21"/>
        </w:rPr>
        <w:t> </w:t>
      </w:r>
    </w:p>
    <w:p>
      <w:pPr>
        <w:pStyle w:val="936"/>
        <w:spacing w:line="360" w:lineRule="auto"/>
        <w:rPr>
          <w:rFonts w:hint="eastAsia" w:ascii="宋体" w:hAnsi="宋体" w:cs="宋体"/>
        </w:rPr>
      </w:pPr>
      <w:r>
        <w:rPr>
          <w:rFonts w:hint="eastAsia" w:ascii="宋体" w:hAnsi="宋体" w:cs="宋体"/>
          <w:b/>
          <w:bCs/>
          <w:spacing w:val="-2"/>
          <w:sz w:val="21"/>
          <w:szCs w:val="21"/>
        </w:rPr>
        <w:t>（4）绿化服务</w:t>
      </w:r>
    </w:p>
    <w:tbl>
      <w:tblPr>
        <w:tblStyle w:val="942"/>
        <w:tblW w:w="9506" w:type="dxa"/>
        <w:jc w:val="center"/>
        <w:tblCellSpacing w:w="0" w:type="dxa"/>
        <w:tblInd w:w="0" w:type="dxa"/>
        <w:tblLayout w:type="fixed"/>
        <w:tblCellMar>
          <w:top w:w="15" w:type="dxa"/>
          <w:left w:w="15" w:type="dxa"/>
          <w:bottom w:w="15" w:type="dxa"/>
          <w:right w:w="15" w:type="dxa"/>
        </w:tblCellMar>
      </w:tblPr>
      <w:tblGrid>
        <w:gridCol w:w="886"/>
        <w:gridCol w:w="1128"/>
        <w:gridCol w:w="7492"/>
      </w:tblGrid>
      <w:tr>
        <w:tblPrEx>
          <w:tblLayout w:type="fixed"/>
          <w:tblCellMar>
            <w:top w:w="15" w:type="dxa"/>
            <w:left w:w="15" w:type="dxa"/>
            <w:bottom w:w="15" w:type="dxa"/>
            <w:right w:w="15" w:type="dxa"/>
          </w:tblCellMar>
        </w:tblPrEx>
        <w:trPr>
          <w:tblCellSpacing w:w="0" w:type="dxa"/>
          <w:jc w:val="center"/>
        </w:trPr>
        <w:tc>
          <w:tcPr>
            <w:tcW w:w="88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序号</w:t>
            </w:r>
          </w:p>
        </w:tc>
        <w:tc>
          <w:tcPr>
            <w:tcW w:w="1128"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服务内容</w:t>
            </w:r>
          </w:p>
        </w:tc>
        <w:tc>
          <w:tcPr>
            <w:tcW w:w="7492"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服务标准</w:t>
            </w:r>
          </w:p>
        </w:tc>
      </w:tr>
      <w:tr>
        <w:tblPrEx>
          <w:tblLayout w:type="fixed"/>
          <w:tblCellMar>
            <w:top w:w="15" w:type="dxa"/>
            <w:left w:w="15" w:type="dxa"/>
            <w:bottom w:w="15" w:type="dxa"/>
            <w:right w:w="15" w:type="dxa"/>
          </w:tblCellMar>
        </w:tblPrEx>
        <w:trPr>
          <w:tblCellSpacing w:w="0" w:type="dxa"/>
          <w:jc w:val="center"/>
        </w:trPr>
        <w:tc>
          <w:tcPr>
            <w:tcW w:w="886"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1</w:t>
            </w:r>
          </w:p>
        </w:tc>
        <w:tc>
          <w:tcPr>
            <w:tcW w:w="1128"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基本要求</w:t>
            </w:r>
          </w:p>
        </w:tc>
        <w:tc>
          <w:tcPr>
            <w:tcW w:w="749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中标人须安排绿化养护人员专职负责采购人的绿化工作，遵守采购人的有关安保、工作秩序规定，非因绿化养护不得随意进入采购人办公室。负责对办公大楼、楼外院内和停车场内高度2m以下绿化修剪养护、花草树木清除杂草、防治虫害、松土、施肥，等工作。</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right w:val="single" w:color="000000" w:sz="8" w:space="0"/>
            </w:tcBorders>
            <w:vAlign w:val="center"/>
          </w:tcPr>
          <w:p>
            <w:pPr>
              <w:rPr>
                <w:rFonts w:hint="eastAsia" w:ascii="宋体" w:hAnsi="宋体" w:cs="宋体"/>
                <w:color w:val="000000"/>
                <w:sz w:val="21"/>
                <w:szCs w:val="21"/>
              </w:rPr>
            </w:pPr>
          </w:p>
        </w:tc>
        <w:tc>
          <w:tcPr>
            <w:tcW w:w="749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（2）绿化养护人员应例行巡查绿化树木、室内植物等的生长和养护状况，发现问题必须立刻处理并通知采购人管理部门，并采取相对应的整改措施。</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9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（3）需专业高空作业及专用设备的2m以上的绿植修剪由采购人另行采购。</w:t>
            </w:r>
          </w:p>
        </w:tc>
      </w:tr>
      <w:tr>
        <w:tblPrEx>
          <w:tblLayout w:type="fixed"/>
          <w:tblCellMar>
            <w:top w:w="15" w:type="dxa"/>
            <w:left w:w="15" w:type="dxa"/>
            <w:bottom w:w="15" w:type="dxa"/>
            <w:right w:w="15" w:type="dxa"/>
          </w:tblCellMar>
        </w:tblPrEx>
        <w:trPr>
          <w:tblCellSpacing w:w="0" w:type="dxa"/>
          <w:jc w:val="center"/>
        </w:trPr>
        <w:tc>
          <w:tcPr>
            <w:tcW w:w="886"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2</w:t>
            </w:r>
          </w:p>
        </w:tc>
        <w:tc>
          <w:tcPr>
            <w:tcW w:w="1128"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室外绿化养护</w:t>
            </w:r>
          </w:p>
        </w:tc>
        <w:tc>
          <w:tcPr>
            <w:tcW w:w="749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（1）专业的绿化管理，根据植物状况定期浇水，执行正常的养护和管理工作。</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right w:val="single" w:color="000000" w:sz="8" w:space="0"/>
            </w:tcBorders>
            <w:vAlign w:val="center"/>
          </w:tcPr>
          <w:p>
            <w:pPr>
              <w:rPr>
                <w:rFonts w:hint="eastAsia" w:ascii="宋体" w:hAnsi="宋体" w:cs="宋体"/>
                <w:color w:val="000000"/>
                <w:sz w:val="21"/>
                <w:szCs w:val="21"/>
              </w:rPr>
            </w:pPr>
          </w:p>
        </w:tc>
        <w:tc>
          <w:tcPr>
            <w:tcW w:w="7492"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（2）根据生长环境、植物特性进行除草、灌溉、施肥、整形修剪、防治病虫害等。根据生长情况修剪绿地，绿地内无枯草、无杂物，无干枯坏死和病虫侵害。。</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right w:val="single" w:color="000000" w:sz="8" w:space="0"/>
            </w:tcBorders>
            <w:vAlign w:val="center"/>
          </w:tcPr>
          <w:p>
            <w:pPr>
              <w:rPr>
                <w:rFonts w:hint="eastAsia" w:ascii="宋体" w:hAnsi="宋体" w:cs="宋体"/>
                <w:color w:val="000000"/>
                <w:sz w:val="21"/>
                <w:szCs w:val="21"/>
              </w:rPr>
            </w:pPr>
          </w:p>
        </w:tc>
        <w:tc>
          <w:tcPr>
            <w:tcW w:w="749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按规定时间修剪、养护、布置。定期修剪树木、花卉等，灌乔木生长正常、造型美观自然、花枝新鲜，无枯叶、无病虫、无死树缺株。绿篱生长造型正常，颜色正常，修剪及时，基本无死株和干死株，有虫株率在10%以下。清除花坛和花景的花蒂、黄叶、杂草、垃圾，做好病虫害防治。水池水面定期清理，无枯枝落叶、水质清洁。</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9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（4）绿化浇水时间要避开人员出入高峰期。</w:t>
            </w:r>
          </w:p>
        </w:tc>
      </w:tr>
      <w:tr>
        <w:tblPrEx>
          <w:tblLayout w:type="fixed"/>
          <w:tblCellMar>
            <w:top w:w="15" w:type="dxa"/>
            <w:left w:w="15" w:type="dxa"/>
            <w:bottom w:w="15" w:type="dxa"/>
            <w:right w:w="15" w:type="dxa"/>
          </w:tblCellMar>
        </w:tblPrEx>
        <w:trPr>
          <w:tblCellSpacing w:w="0" w:type="dxa"/>
          <w:jc w:val="center"/>
        </w:trPr>
        <w:tc>
          <w:tcPr>
            <w:tcW w:w="886"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3</w:t>
            </w:r>
          </w:p>
        </w:tc>
        <w:tc>
          <w:tcPr>
            <w:tcW w:w="1128"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室内绿化养护</w:t>
            </w:r>
          </w:p>
        </w:tc>
        <w:tc>
          <w:tcPr>
            <w:tcW w:w="749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（1）室内盆栽摆放要求：及时修剪枯枝、残枝，保持室内盆栽常绿，</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right w:val="single" w:color="000000" w:sz="8" w:space="0"/>
            </w:tcBorders>
            <w:vAlign w:val="center"/>
          </w:tcPr>
          <w:p>
            <w:pPr>
              <w:rPr>
                <w:rFonts w:hint="eastAsia" w:ascii="宋体" w:hAnsi="宋体" w:cs="宋体"/>
                <w:color w:val="000000"/>
                <w:sz w:val="21"/>
                <w:szCs w:val="21"/>
              </w:rPr>
            </w:pPr>
          </w:p>
        </w:tc>
        <w:tc>
          <w:tcPr>
            <w:tcW w:w="749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（2）提倡生化物防治、人工防治，使用药剂须以不伤害人体健康为前提，使用高效低毒的农药。根据病虫害发生规律实施综合治理，通常在病虫率高时，以药剂杀死病虫，以确保植物良好生长。</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right w:val="single" w:color="000000" w:sz="8" w:space="0"/>
            </w:tcBorders>
            <w:vAlign w:val="center"/>
          </w:tcPr>
          <w:p>
            <w:pPr>
              <w:rPr>
                <w:rFonts w:hint="eastAsia" w:ascii="宋体" w:hAnsi="宋体" w:cs="宋体"/>
                <w:color w:val="000000"/>
                <w:sz w:val="21"/>
                <w:szCs w:val="21"/>
              </w:rPr>
            </w:pPr>
          </w:p>
        </w:tc>
        <w:tc>
          <w:tcPr>
            <w:tcW w:w="749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（3）在使用农药时，须做好人员保护措施。</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right w:val="single" w:color="000000" w:sz="8" w:space="0"/>
            </w:tcBorders>
            <w:vAlign w:val="center"/>
          </w:tcPr>
          <w:p>
            <w:pPr>
              <w:rPr>
                <w:rFonts w:hint="eastAsia" w:ascii="宋体" w:hAnsi="宋体" w:cs="宋体"/>
                <w:color w:val="000000"/>
                <w:sz w:val="21"/>
                <w:szCs w:val="21"/>
              </w:rPr>
            </w:pPr>
          </w:p>
        </w:tc>
        <w:tc>
          <w:tcPr>
            <w:tcW w:w="749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（4）使用小型或手动喷雾器，注意天气情况，避免药液扩散。</w:t>
            </w:r>
          </w:p>
        </w:tc>
      </w:tr>
      <w:tr>
        <w:tblPrEx>
          <w:tblLayout w:type="fixed"/>
          <w:tblCellMar>
            <w:top w:w="15" w:type="dxa"/>
            <w:left w:w="15" w:type="dxa"/>
            <w:bottom w:w="15" w:type="dxa"/>
            <w:right w:w="15" w:type="dxa"/>
          </w:tblCellMar>
        </w:tblPrEx>
        <w:trPr>
          <w:tblCellSpacing w:w="0" w:type="dxa"/>
          <w:jc w:val="center"/>
        </w:trPr>
        <w:tc>
          <w:tcPr>
            <w:tcW w:w="886"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128"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92" w:type="dxa"/>
            <w:tcBorders>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（5）每次养护工作完成后，应即时予以记录备案。</w:t>
            </w:r>
          </w:p>
        </w:tc>
      </w:tr>
      <w:tr>
        <w:tblPrEx>
          <w:tblLayout w:type="fixed"/>
          <w:tblCellMar>
            <w:top w:w="15" w:type="dxa"/>
            <w:left w:w="15" w:type="dxa"/>
            <w:bottom w:w="15" w:type="dxa"/>
            <w:right w:w="15" w:type="dxa"/>
          </w:tblCellMar>
        </w:tblPrEx>
        <w:trPr>
          <w:trHeight w:val="1684" w:hRule="atLeast"/>
          <w:tblCellSpacing w:w="0" w:type="dxa"/>
          <w:jc w:val="center"/>
        </w:trPr>
        <w:tc>
          <w:tcPr>
            <w:tcW w:w="886"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4</w:t>
            </w:r>
          </w:p>
        </w:tc>
        <w:tc>
          <w:tcPr>
            <w:tcW w:w="11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现有室外主要绿植清单</w:t>
            </w:r>
          </w:p>
        </w:tc>
        <w:tc>
          <w:tcPr>
            <w:tcW w:w="7492" w:type="dxa"/>
            <w:tcBorders>
              <w:bottom w:val="single" w:color="000000" w:sz="8" w:space="0"/>
              <w:right w:val="single" w:color="000000" w:sz="8" w:space="0"/>
            </w:tcBorders>
            <w:tcMar>
              <w:top w:w="0" w:type="dxa"/>
              <w:left w:w="0" w:type="dxa"/>
              <w:bottom w:w="0" w:type="dxa"/>
              <w:right w:w="0" w:type="dxa"/>
            </w:tcMar>
          </w:tcPr>
          <w:tbl>
            <w:tblPr>
              <w:tblStyle w:val="946"/>
              <w:tblW w:w="6697" w:type="dxa"/>
              <w:tblCellSpacing w:w="0" w:type="dxa"/>
              <w:tblInd w:w="135" w:type="dxa"/>
              <w:tblLayout w:type="fixed"/>
              <w:tblCellMar>
                <w:top w:w="15" w:type="dxa"/>
                <w:left w:w="15" w:type="dxa"/>
                <w:bottom w:w="15" w:type="dxa"/>
                <w:right w:w="15" w:type="dxa"/>
              </w:tblCellMar>
            </w:tblPr>
            <w:tblGrid>
              <w:gridCol w:w="909"/>
              <w:gridCol w:w="2586"/>
              <w:gridCol w:w="1140"/>
              <w:gridCol w:w="1041"/>
              <w:gridCol w:w="1021"/>
            </w:tblGrid>
            <w:tr>
              <w:tblPrEx>
                <w:tblLayout w:type="fixed"/>
                <w:tblCellMar>
                  <w:top w:w="15" w:type="dxa"/>
                  <w:left w:w="15" w:type="dxa"/>
                  <w:bottom w:w="15" w:type="dxa"/>
                  <w:right w:w="15" w:type="dxa"/>
                </w:tblCellMar>
              </w:tblPrEx>
              <w:trPr>
                <w:trHeight w:val="429" w:hRule="atLeast"/>
                <w:tblCellSpacing w:w="0" w:type="dxa"/>
              </w:trPr>
              <w:tc>
                <w:tcPr>
                  <w:tcW w:w="909" w:type="dxa"/>
                  <w:tcBorders>
                    <w:top w:val="single" w:color="000000" w:sz="8" w:space="0"/>
                    <w:left w:val="single" w:color="000000" w:sz="8" w:space="0"/>
                    <w:bottom w:val="single" w:color="000000" w:sz="8" w:space="0"/>
                    <w:right w:val="single" w:color="000000" w:sz="8" w:space="0"/>
                  </w:tcBorders>
                  <w:tcMar>
                    <w:top w:w="25" w:type="dxa"/>
                    <w:left w:w="2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序号</w:t>
                  </w:r>
                </w:p>
              </w:tc>
              <w:tc>
                <w:tcPr>
                  <w:tcW w:w="2586" w:type="dxa"/>
                  <w:tcBorders>
                    <w:top w:val="single" w:color="000000" w:sz="8" w:space="0"/>
                    <w:bottom w:val="single" w:color="000000" w:sz="8" w:space="0"/>
                    <w:right w:val="single" w:color="000000" w:sz="8" w:space="0"/>
                  </w:tcBorders>
                  <w:tcMar>
                    <w:top w:w="2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品名</w:t>
                  </w:r>
                </w:p>
              </w:tc>
              <w:tc>
                <w:tcPr>
                  <w:tcW w:w="1140" w:type="dxa"/>
                  <w:tcBorders>
                    <w:top w:val="single" w:color="000000" w:sz="8" w:space="0"/>
                    <w:bottom w:val="single" w:color="000000" w:sz="8" w:space="0"/>
                    <w:right w:val="single" w:color="000000" w:sz="8" w:space="0"/>
                  </w:tcBorders>
                  <w:tcMar>
                    <w:top w:w="2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单位</w:t>
                  </w:r>
                </w:p>
              </w:tc>
              <w:tc>
                <w:tcPr>
                  <w:tcW w:w="1041" w:type="dxa"/>
                  <w:tcBorders>
                    <w:top w:val="single" w:color="000000" w:sz="8" w:space="0"/>
                    <w:bottom w:val="single" w:color="000000" w:sz="8" w:space="0"/>
                    <w:right w:val="single" w:color="000000" w:sz="8" w:space="0"/>
                  </w:tcBorders>
                  <w:tcMar>
                    <w:top w:w="2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数量</w:t>
                  </w:r>
                </w:p>
              </w:tc>
              <w:tc>
                <w:tcPr>
                  <w:tcW w:w="1021" w:type="dxa"/>
                  <w:tcBorders>
                    <w:top w:val="single" w:color="000000" w:sz="8" w:space="0"/>
                    <w:bottom w:val="single" w:color="000000" w:sz="8" w:space="0"/>
                    <w:right w:val="single" w:color="000000" w:sz="8" w:space="0"/>
                  </w:tcBorders>
                  <w:tcMar>
                    <w:top w:w="2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备注</w:t>
                  </w:r>
                </w:p>
              </w:tc>
            </w:tr>
            <w:tr>
              <w:tblPrEx>
                <w:tblLayout w:type="fixed"/>
                <w:tblCellMar>
                  <w:top w:w="15" w:type="dxa"/>
                  <w:left w:w="15" w:type="dxa"/>
                  <w:bottom w:w="15" w:type="dxa"/>
                  <w:right w:w="15" w:type="dxa"/>
                </w:tblCellMar>
              </w:tblPrEx>
              <w:trPr>
                <w:trHeight w:val="429" w:hRule="atLeast"/>
                <w:tblCellSpacing w:w="0" w:type="dxa"/>
              </w:trPr>
              <w:tc>
                <w:tcPr>
                  <w:tcW w:w="909" w:type="dxa"/>
                  <w:tcBorders>
                    <w:left w:val="single" w:color="000000" w:sz="8" w:space="0"/>
                    <w:bottom w:val="single" w:color="000000" w:sz="8" w:space="0"/>
                    <w:right w:val="single" w:color="000000" w:sz="8" w:space="0"/>
                  </w:tcBorders>
                  <w:tcMar>
                    <w:top w:w="15" w:type="dxa"/>
                    <w:left w:w="2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1</w:t>
                  </w:r>
                </w:p>
              </w:tc>
              <w:tc>
                <w:tcPr>
                  <w:tcW w:w="2586"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盆径子</w:t>
                  </w:r>
                </w:p>
              </w:tc>
              <w:tc>
                <w:tcPr>
                  <w:tcW w:w="1140"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株</w:t>
                  </w:r>
                </w:p>
              </w:tc>
              <w:tc>
                <w:tcPr>
                  <w:tcW w:w="1041"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6</w:t>
                  </w:r>
                </w:p>
              </w:tc>
              <w:tc>
                <w:tcPr>
                  <w:tcW w:w="1021"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429" w:hRule="atLeast"/>
                <w:tblCellSpacing w:w="0" w:type="dxa"/>
              </w:trPr>
              <w:tc>
                <w:tcPr>
                  <w:tcW w:w="909" w:type="dxa"/>
                  <w:tcBorders>
                    <w:left w:val="single" w:color="000000" w:sz="8" w:space="0"/>
                    <w:bottom w:val="single" w:color="000000" w:sz="8" w:space="0"/>
                    <w:right w:val="single" w:color="000000" w:sz="8" w:space="0"/>
                  </w:tcBorders>
                  <w:tcMar>
                    <w:top w:w="15" w:type="dxa"/>
                    <w:left w:w="2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2</w:t>
                  </w:r>
                </w:p>
              </w:tc>
              <w:tc>
                <w:tcPr>
                  <w:tcW w:w="2586"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朴树</w:t>
                  </w:r>
                </w:p>
              </w:tc>
              <w:tc>
                <w:tcPr>
                  <w:tcW w:w="1140"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株</w:t>
                  </w:r>
                </w:p>
              </w:tc>
              <w:tc>
                <w:tcPr>
                  <w:tcW w:w="1041"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12</w:t>
                  </w:r>
                </w:p>
              </w:tc>
              <w:tc>
                <w:tcPr>
                  <w:tcW w:w="1021"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429" w:hRule="atLeast"/>
                <w:tblCellSpacing w:w="0" w:type="dxa"/>
              </w:trPr>
              <w:tc>
                <w:tcPr>
                  <w:tcW w:w="909" w:type="dxa"/>
                  <w:tcBorders>
                    <w:left w:val="single" w:color="000000" w:sz="8" w:space="0"/>
                    <w:bottom w:val="single" w:color="000000" w:sz="8" w:space="0"/>
                    <w:right w:val="single" w:color="000000" w:sz="8" w:space="0"/>
                  </w:tcBorders>
                  <w:tcMar>
                    <w:top w:w="15" w:type="dxa"/>
                    <w:left w:w="2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3</w:t>
                  </w:r>
                </w:p>
              </w:tc>
              <w:tc>
                <w:tcPr>
                  <w:tcW w:w="2586"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樟树</w:t>
                  </w:r>
                </w:p>
              </w:tc>
              <w:tc>
                <w:tcPr>
                  <w:tcW w:w="1140"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株</w:t>
                  </w:r>
                </w:p>
              </w:tc>
              <w:tc>
                <w:tcPr>
                  <w:tcW w:w="1041"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7</w:t>
                  </w:r>
                </w:p>
              </w:tc>
              <w:tc>
                <w:tcPr>
                  <w:tcW w:w="1021"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429" w:hRule="atLeast"/>
                <w:tblCellSpacing w:w="0" w:type="dxa"/>
              </w:trPr>
              <w:tc>
                <w:tcPr>
                  <w:tcW w:w="909" w:type="dxa"/>
                  <w:tcBorders>
                    <w:left w:val="single" w:color="000000" w:sz="8" w:space="0"/>
                    <w:bottom w:val="single" w:color="000000" w:sz="8" w:space="0"/>
                    <w:right w:val="single" w:color="000000" w:sz="8" w:space="0"/>
                  </w:tcBorders>
                  <w:tcMar>
                    <w:top w:w="15" w:type="dxa"/>
                    <w:left w:w="2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4</w:t>
                  </w:r>
                </w:p>
              </w:tc>
              <w:tc>
                <w:tcPr>
                  <w:tcW w:w="2586"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羊蹄甲树</w:t>
                  </w:r>
                </w:p>
              </w:tc>
              <w:tc>
                <w:tcPr>
                  <w:tcW w:w="1140"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株</w:t>
                  </w:r>
                </w:p>
              </w:tc>
              <w:tc>
                <w:tcPr>
                  <w:tcW w:w="1041"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5</w:t>
                  </w:r>
                </w:p>
              </w:tc>
              <w:tc>
                <w:tcPr>
                  <w:tcW w:w="1021"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449" w:hRule="atLeast"/>
                <w:tblCellSpacing w:w="0" w:type="dxa"/>
              </w:trPr>
              <w:tc>
                <w:tcPr>
                  <w:tcW w:w="909" w:type="dxa"/>
                  <w:tcBorders>
                    <w:left w:val="single" w:color="000000" w:sz="8" w:space="0"/>
                    <w:bottom w:val="single" w:color="000000" w:sz="8" w:space="0"/>
                    <w:right w:val="single" w:color="000000" w:sz="8" w:space="0"/>
                  </w:tcBorders>
                  <w:tcMar>
                    <w:top w:w="15" w:type="dxa"/>
                    <w:left w:w="2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5</w:t>
                  </w:r>
                </w:p>
              </w:tc>
              <w:tc>
                <w:tcPr>
                  <w:tcW w:w="2586"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芒果树</w:t>
                  </w:r>
                </w:p>
              </w:tc>
              <w:tc>
                <w:tcPr>
                  <w:tcW w:w="1140"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株</w:t>
                  </w:r>
                </w:p>
              </w:tc>
              <w:tc>
                <w:tcPr>
                  <w:tcW w:w="1041" w:type="dxa"/>
                  <w:tcBorders>
                    <w:bottom w:val="single" w:color="000000" w:sz="8" w:space="0"/>
                    <w:right w:val="single" w:color="000000" w:sz="8" w:space="0"/>
                  </w:tcBorders>
                  <w:tcMar>
                    <w:top w:w="15" w:type="dxa"/>
                    <w:left w:w="15" w:type="dxa"/>
                    <w:bottom w:w="25" w:type="dxa"/>
                    <w:right w:w="25" w:type="dxa"/>
                  </w:tcMar>
                  <w:vAlign w:val="center"/>
                </w:tcPr>
                <w:p>
                  <w:pPr>
                    <w:pStyle w:val="945"/>
                    <w:jc w:val="center"/>
                    <w:rPr>
                      <w:rFonts w:hint="eastAsia" w:ascii="宋体" w:hAnsi="宋体" w:cs="宋体"/>
                      <w:color w:val="000000"/>
                    </w:rPr>
                  </w:pPr>
                  <w:r>
                    <w:rPr>
                      <w:rFonts w:hint="eastAsia" w:ascii="宋体" w:hAnsi="宋体" w:cs="宋体"/>
                      <w:color w:val="000000"/>
                      <w:sz w:val="21"/>
                      <w:szCs w:val="21"/>
                    </w:rPr>
                    <w:t>3</w:t>
                  </w:r>
                </w:p>
              </w:tc>
              <w:tc>
                <w:tcPr>
                  <w:tcW w:w="1021" w:type="dxa"/>
                  <w:tcBorders>
                    <w:bottom w:val="single" w:color="000000" w:sz="8" w:space="0"/>
                    <w:right w:val="single" w:color="000000" w:sz="8" w:space="0"/>
                  </w:tcBorders>
                  <w:tcMar>
                    <w:top w:w="15" w:type="dxa"/>
                    <w:left w:w="15" w:type="dxa"/>
                    <w:bottom w:w="25" w:type="dxa"/>
                    <w:right w:w="25"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 </w:t>
                  </w:r>
                </w:p>
              </w:tc>
            </w:tr>
          </w:tbl>
          <w:p>
            <w:pPr>
              <w:pStyle w:val="936"/>
              <w:spacing w:before="240" w:line="400" w:lineRule="atLeast"/>
              <w:rPr>
                <w:rFonts w:hint="eastAsia" w:ascii="宋体" w:hAnsi="宋体" w:cs="宋体"/>
                <w:color w:val="000000"/>
              </w:rPr>
            </w:pPr>
            <w:r>
              <w:rPr>
                <w:rFonts w:hint="eastAsia" w:ascii="宋体" w:hAnsi="宋体" w:cs="宋体"/>
                <w:color w:val="000000"/>
                <w:sz w:val="21"/>
                <w:szCs w:val="21"/>
              </w:rPr>
              <w:t> </w:t>
            </w:r>
          </w:p>
        </w:tc>
      </w:tr>
    </w:tbl>
    <w:p>
      <w:pPr>
        <w:pStyle w:val="936"/>
        <w:spacing w:line="360" w:lineRule="auto"/>
        <w:rPr>
          <w:rFonts w:hint="eastAsia" w:ascii="宋体" w:hAnsi="宋体" w:cs="宋体"/>
        </w:rPr>
      </w:pPr>
      <w:r>
        <w:rPr>
          <w:rFonts w:hint="eastAsia" w:ascii="宋体" w:hAnsi="宋体" w:cs="宋体"/>
          <w:b/>
          <w:bCs/>
          <w:spacing w:val="-2"/>
          <w:sz w:val="21"/>
          <w:szCs w:val="21"/>
        </w:rPr>
        <w:t> </w:t>
      </w:r>
    </w:p>
    <w:p>
      <w:pPr>
        <w:pStyle w:val="936"/>
        <w:spacing w:line="360" w:lineRule="auto"/>
        <w:rPr>
          <w:rFonts w:hint="eastAsia" w:ascii="宋体" w:hAnsi="宋体" w:cs="宋体"/>
        </w:rPr>
      </w:pPr>
      <w:r>
        <w:rPr>
          <w:rFonts w:hint="eastAsia" w:ascii="宋体" w:hAnsi="宋体" w:cs="宋体"/>
          <w:b/>
          <w:bCs/>
          <w:spacing w:val="-2"/>
          <w:sz w:val="21"/>
          <w:szCs w:val="21"/>
        </w:rPr>
        <w:t>（5）保安服务</w:t>
      </w:r>
    </w:p>
    <w:tbl>
      <w:tblPr>
        <w:tblStyle w:val="942"/>
        <w:tblW w:w="9273" w:type="dxa"/>
        <w:jc w:val="center"/>
        <w:tblCellSpacing w:w="0" w:type="dxa"/>
        <w:tblInd w:w="0" w:type="dxa"/>
        <w:tblLayout w:type="fixed"/>
        <w:tblCellMar>
          <w:top w:w="15" w:type="dxa"/>
          <w:left w:w="15" w:type="dxa"/>
          <w:bottom w:w="15" w:type="dxa"/>
          <w:right w:w="15" w:type="dxa"/>
        </w:tblCellMar>
      </w:tblPr>
      <w:tblGrid>
        <w:gridCol w:w="751"/>
        <w:gridCol w:w="1094"/>
        <w:gridCol w:w="7428"/>
      </w:tblGrid>
      <w:tr>
        <w:tblPrEx>
          <w:tblLayout w:type="fixed"/>
          <w:tblCellMar>
            <w:top w:w="15" w:type="dxa"/>
            <w:left w:w="15" w:type="dxa"/>
            <w:bottom w:w="15" w:type="dxa"/>
            <w:right w:w="15" w:type="dxa"/>
          </w:tblCellMar>
        </w:tblPrEx>
        <w:trPr>
          <w:trHeight w:val="462" w:hRule="atLeast"/>
          <w:tblCellSpacing w:w="0" w:type="dxa"/>
          <w:jc w:val="center"/>
        </w:trPr>
        <w:tc>
          <w:tcPr>
            <w:tcW w:w="75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序号</w:t>
            </w:r>
          </w:p>
        </w:tc>
        <w:tc>
          <w:tcPr>
            <w:tcW w:w="1094"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服务内容</w:t>
            </w:r>
          </w:p>
        </w:tc>
        <w:tc>
          <w:tcPr>
            <w:tcW w:w="7428"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服务标准</w:t>
            </w:r>
          </w:p>
        </w:tc>
      </w:tr>
      <w:tr>
        <w:tblPrEx>
          <w:tblLayout w:type="fixed"/>
          <w:tblCellMar>
            <w:top w:w="15" w:type="dxa"/>
            <w:left w:w="15" w:type="dxa"/>
            <w:bottom w:w="15" w:type="dxa"/>
            <w:right w:w="15" w:type="dxa"/>
          </w:tblCellMar>
        </w:tblPrEx>
        <w:trPr>
          <w:trHeight w:val="462" w:hRule="atLeast"/>
          <w:tblCellSpacing w:w="0" w:type="dxa"/>
          <w:jc w:val="center"/>
        </w:trPr>
        <w:tc>
          <w:tcPr>
            <w:tcW w:w="751"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1</w:t>
            </w:r>
          </w:p>
        </w:tc>
        <w:tc>
          <w:tcPr>
            <w:tcW w:w="109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基本要求</w:t>
            </w: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（1）保证办公楼安全和正常工作秩序，对来人来访进行登记、查验，做好安全保卫和防火防盗工作，并做好车辆、道路及环境秩序的维护和管理等。</w:t>
            </w:r>
          </w:p>
        </w:tc>
      </w:tr>
      <w:tr>
        <w:tblPrEx>
          <w:tblLayout w:type="fixed"/>
          <w:tblCellMar>
            <w:top w:w="15" w:type="dxa"/>
            <w:left w:w="15" w:type="dxa"/>
            <w:bottom w:w="15" w:type="dxa"/>
            <w:right w:w="15" w:type="dxa"/>
          </w:tblCellMar>
        </w:tblPrEx>
        <w:trPr>
          <w:trHeight w:val="385"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（2）建立、健全和落实内部治安、消防管理规章制度。</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（3）对巡查、值守及异常情况等做好相关记录，填写规范，保存完好。</w:t>
            </w:r>
          </w:p>
        </w:tc>
      </w:tr>
      <w:tr>
        <w:tblPrEx>
          <w:tblLayout w:type="fixed"/>
          <w:tblCellMar>
            <w:top w:w="15" w:type="dxa"/>
            <w:left w:w="15" w:type="dxa"/>
            <w:bottom w:w="15" w:type="dxa"/>
            <w:right w:w="15" w:type="dxa"/>
          </w:tblCellMar>
        </w:tblPrEx>
        <w:trPr>
          <w:trHeight w:val="688" w:hRule="atLeast"/>
          <w:tblCellSpacing w:w="0" w:type="dxa"/>
          <w:jc w:val="center"/>
        </w:trPr>
        <w:tc>
          <w:tcPr>
            <w:tcW w:w="75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28"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（4）负责保安人员的业务技能培训和消防技能培训，定期组织考核，提高保安人员业务技能和自身素质。</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2</w:t>
            </w:r>
          </w:p>
        </w:tc>
        <w:tc>
          <w:tcPr>
            <w:tcW w:w="109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出入管理</w:t>
            </w: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（1）办公楼（区）主出入口应当实行24小时值班制；设置门岗；严格验证、登记制度，杜绝闲杂人员进入办公楼。</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（2）负责公共秩序维护、道路交通安全、机动车和非机动车停放管理及地下车库管理等工作，防止失窃事件。</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（3）做好办公楼来人来访的通报、证件检验、登记等，并负责对携带的大宗物品进行检查。在出入口对外来人员及其携带大件物品、外来车辆进行询问和记录，并与相关部门取得联系，同意后方可进入。</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（4）排查可疑人员，对于不出示证件、不按规定登记、不听劝阻而强行闯入者，及时劝离，必要时通知公安机关进行处理。</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（5）配合相关部门积极疏导上访人员，有效疏导如出入口人群集聚、车辆拥堵、货物堵塞道路等情况。</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（6）严防违禁品（包括毒品、军火弹药、管制刀具、易燃易爆品等）、限带品（包括动物、任何未经授权的专业摄影设备、无人机等）进入。</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5"/>
              <w:spacing w:line="400" w:lineRule="atLeast"/>
              <w:rPr>
                <w:rFonts w:hint="eastAsia" w:ascii="宋体" w:hAnsi="宋体" w:cs="宋体"/>
                <w:color w:val="000000"/>
              </w:rPr>
            </w:pPr>
            <w:r>
              <w:rPr>
                <w:rFonts w:hint="eastAsia" w:ascii="宋体" w:hAnsi="宋体" w:cs="宋体"/>
                <w:color w:val="000000"/>
                <w:sz w:val="21"/>
                <w:szCs w:val="21"/>
              </w:rPr>
              <w:t>（7）提供现场接待服务。</w:t>
            </w:r>
          </w:p>
          <w:p>
            <w:pPr>
              <w:pStyle w:val="935"/>
              <w:spacing w:line="400" w:lineRule="atLeast"/>
              <w:rPr>
                <w:rFonts w:hint="eastAsia" w:ascii="宋体" w:hAnsi="宋体" w:cs="宋体"/>
                <w:color w:val="000000"/>
              </w:rPr>
            </w:pPr>
            <w:r>
              <w:rPr>
                <w:rFonts w:hint="eastAsia" w:ascii="宋体" w:hAnsi="宋体" w:cs="宋体"/>
                <w:color w:val="000000"/>
                <w:sz w:val="21"/>
                <w:szCs w:val="21"/>
              </w:rPr>
              <w:t>①做好来访人员进出登记，及时通报。</w:t>
            </w:r>
          </w:p>
          <w:p>
            <w:pPr>
              <w:pStyle w:val="935"/>
              <w:spacing w:line="400" w:lineRule="atLeast"/>
              <w:rPr>
                <w:rFonts w:hint="eastAsia" w:ascii="宋体" w:hAnsi="宋体" w:cs="宋体"/>
                <w:color w:val="000000"/>
              </w:rPr>
            </w:pPr>
            <w:r>
              <w:rPr>
                <w:rFonts w:hint="eastAsia" w:ascii="宋体" w:hAnsi="宋体" w:cs="宋体"/>
                <w:color w:val="000000"/>
                <w:sz w:val="21"/>
                <w:szCs w:val="21"/>
              </w:rPr>
              <w:t>②严禁无关人员、可疑人员和危险物品进入办公楼（区）内。</w:t>
            </w:r>
          </w:p>
          <w:p>
            <w:pPr>
              <w:pStyle w:val="935"/>
              <w:spacing w:line="400" w:lineRule="atLeast"/>
              <w:rPr>
                <w:rFonts w:hint="eastAsia" w:ascii="宋体" w:hAnsi="宋体" w:cs="宋体"/>
                <w:color w:val="000000"/>
              </w:rPr>
            </w:pPr>
            <w:r>
              <w:rPr>
                <w:rFonts w:hint="eastAsia" w:ascii="宋体" w:hAnsi="宋体" w:cs="宋体"/>
                <w:color w:val="000000"/>
                <w:sz w:val="21"/>
                <w:szCs w:val="21"/>
              </w:rPr>
              <w:t>③物品摆放整齐有序、分类放置。</w:t>
            </w:r>
          </w:p>
          <w:p>
            <w:pPr>
              <w:pStyle w:val="935"/>
              <w:spacing w:line="400" w:lineRule="atLeast"/>
              <w:rPr>
                <w:rFonts w:hint="eastAsia" w:ascii="宋体" w:hAnsi="宋体" w:cs="宋体"/>
                <w:color w:val="000000"/>
              </w:rPr>
            </w:pPr>
            <w:r>
              <w:rPr>
                <w:rFonts w:hint="eastAsia" w:ascii="宋体" w:hAnsi="宋体" w:cs="宋体"/>
                <w:color w:val="000000"/>
                <w:sz w:val="21"/>
                <w:szCs w:val="21"/>
              </w:rPr>
              <w:t>④现场办理等待时间不超过5分钟，等待较长时间应当及时沟通。</w:t>
            </w:r>
          </w:p>
          <w:p>
            <w:pPr>
              <w:pStyle w:val="935"/>
              <w:spacing w:line="400" w:lineRule="atLeast"/>
              <w:rPr>
                <w:rFonts w:hint="eastAsia" w:ascii="宋体" w:hAnsi="宋体" w:cs="宋体"/>
                <w:color w:val="000000"/>
              </w:rPr>
            </w:pPr>
            <w:r>
              <w:rPr>
                <w:rFonts w:hint="eastAsia" w:ascii="宋体" w:hAnsi="宋体" w:cs="宋体"/>
                <w:color w:val="000000"/>
                <w:sz w:val="21"/>
                <w:szCs w:val="21"/>
              </w:rPr>
              <w:t>⑤对来访人员咨询、建议、求助等事项，及时处理或答复，处理和答复率100%。</w:t>
            </w:r>
          </w:p>
          <w:p>
            <w:pPr>
              <w:pStyle w:val="935"/>
              <w:spacing w:line="400" w:lineRule="atLeast"/>
              <w:rPr>
                <w:rFonts w:hint="eastAsia" w:ascii="宋体" w:hAnsi="宋体" w:cs="宋体"/>
                <w:color w:val="000000"/>
              </w:rPr>
            </w:pPr>
            <w:r>
              <w:rPr>
                <w:rFonts w:hint="eastAsia" w:ascii="宋体" w:hAnsi="宋体" w:cs="宋体"/>
                <w:color w:val="000000"/>
                <w:sz w:val="21"/>
                <w:szCs w:val="21"/>
              </w:rPr>
              <w:t>⑥接待服务工作时间应当覆盖采购人工作时间（上班时间为工作日08:30-12:00；14:30-17:30）。</w:t>
            </w:r>
          </w:p>
          <w:p>
            <w:pPr>
              <w:pStyle w:val="935"/>
              <w:spacing w:line="400" w:lineRule="atLeast"/>
              <w:rPr>
                <w:rFonts w:hint="eastAsia" w:ascii="宋体" w:hAnsi="宋体" w:cs="宋体"/>
                <w:color w:val="000000"/>
              </w:rPr>
            </w:pPr>
            <w:r>
              <w:rPr>
                <w:rFonts w:hint="eastAsia" w:ascii="宋体" w:hAnsi="宋体" w:cs="宋体"/>
                <w:color w:val="000000"/>
                <w:sz w:val="21"/>
                <w:szCs w:val="21"/>
              </w:rPr>
              <w:t>⑦与被访人进行核实确认；告知被访人的办公室门牌号；告知访客注意事项。</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3</w:t>
            </w:r>
          </w:p>
        </w:tc>
        <w:tc>
          <w:tcPr>
            <w:tcW w:w="1094" w:type="dxa"/>
            <w:vMerge w:val="restart"/>
            <w:tcBorders>
              <w:bottom w:val="nil"/>
              <w:right w:val="single" w:color="000000" w:sz="8" w:space="0"/>
            </w:tcBorders>
            <w:tcMar>
              <w:top w:w="0" w:type="dxa"/>
              <w:left w:w="0" w:type="dxa"/>
              <w:bottom w:w="0" w:type="dxa"/>
              <w:right w:w="0" w:type="dxa"/>
            </w:tcMar>
            <w:vAlign w:val="center"/>
          </w:tcPr>
          <w:p>
            <w:pPr>
              <w:pStyle w:val="936"/>
              <w:spacing w:after="240" w:line="400" w:lineRule="atLeast"/>
              <w:jc w:val="center"/>
              <w:rPr>
                <w:rFonts w:hint="eastAsia" w:ascii="宋体" w:hAnsi="宋体" w:cs="宋体"/>
                <w:color w:val="000000"/>
              </w:rPr>
            </w:pPr>
            <w:r>
              <w:rPr>
                <w:rFonts w:hint="eastAsia" w:ascii="宋体" w:hAnsi="宋体" w:cs="宋体"/>
                <w:color w:val="000000"/>
                <w:sz w:val="21"/>
                <w:szCs w:val="21"/>
              </w:rPr>
              <w:t>值班巡查</w:t>
            </w:r>
          </w:p>
          <w:p>
            <w:pPr>
              <w:pStyle w:val="936"/>
              <w:spacing w:before="240" w:line="400" w:lineRule="atLeast"/>
              <w:jc w:val="center"/>
              <w:rPr>
                <w:rFonts w:hint="eastAsia" w:ascii="宋体" w:hAnsi="宋体" w:cs="宋体"/>
                <w:color w:val="000000"/>
              </w:rPr>
            </w:pPr>
            <w:r>
              <w:rPr>
                <w:rFonts w:hint="eastAsia" w:ascii="宋体" w:hAnsi="宋体" w:cs="宋体"/>
                <w:color w:val="000000"/>
                <w:sz w:val="21"/>
                <w:szCs w:val="21"/>
              </w:rPr>
              <w:t> </w:t>
            </w: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（1）保安人员分三班制24小时值守巡逻，经常进行巡视检查，及时消除不安全隐患，保证机关安全。值班期间遵守操作规程和保密制度。</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（2）制定巡查路线，按照指定时间和路线执行，加强重点区域、重点部位及装修区域的巡查。</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（3）巡查期间保持通信设施设备畅通，遇到异常情况立即上报并在现场采取相应措施。</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（4）收到火警或其他异常情况信号时，立即报告并安排安保人员前往现场进行处理。</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（5）随时了解办公楼消防自动报警系统及附属设备、自控系统的运行情况。</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（6）检查机电设备，发现问题及时报采购人维修。搞好设备机房的卫生、安全、防火工作。</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（7）制定停电、强电磁干扰、系统故障无法排除等非正常状态的应急措施。</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（8）定期对各系统进行检查，保证正常运行，在国家规定的长假前配合采购人对各系统进行检修、测试。</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4</w:t>
            </w:r>
          </w:p>
        </w:tc>
        <w:tc>
          <w:tcPr>
            <w:tcW w:w="109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车辆停放</w:t>
            </w: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（1）保持门前、办公楼环境秩序良好，道路畅通，车辆停放有序，机动车、非机动车停车场秩序井然；禁止一切共享单车进入办公区域，规范快递车辆临时停放。</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 xml:space="preserve">（2）车辆行驶路线设置合理、规范，导向标志完整、清晰。 </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（3）严禁在办公楼的公用走道、楼梯间、安全出口处等公共区域停放车辆或充电。</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（4）发现车辆异常情况及时通知车主，并做好登记；发生交通事故、自然灾害等意外事故时及时赶赴现场疏导和协助处理，响应时间不超过5分钟。</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5</w:t>
            </w:r>
          </w:p>
        </w:tc>
        <w:tc>
          <w:tcPr>
            <w:tcW w:w="109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消防安全管理</w:t>
            </w: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（1）建立消防安全责任制，确定各级消防安全责任人及其职责。</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（2）消防控制室实行24小时值班制度。</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（3）消火栓、应急照明、应急物资、消防及人员逃生通道、消防车通道可随时正常使用。</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（4）易燃易爆品设专区专人管理，做好相关记录。</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（5）定期开展消防安全宣传，每半年至少开展一次消防演练，提高消防安全防范技能和意识。</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（6）制定消防应急救援工作预案，经常开展消防安全检查和演练，消除不安全隐患，保证重点部位的安全。</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（7）协助采购人合理配置各种消防设施和器材配套、更换及时、使用有效。</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6</w:t>
            </w:r>
          </w:p>
        </w:tc>
        <w:tc>
          <w:tcPr>
            <w:tcW w:w="109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突发事件处理</w:t>
            </w: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（1）制定突发事件安全责任书，明确突发事件责任人及应承担的安全责任。</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（2）建立应急突发事件处置队伍，明确各自的职责。</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（3）识别、分析各种潜在风险，针对不同风险类型制定相应解决方案，协助采购人配备应急物资。</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（4）每半年至少开展1次突发事件应急演练，并有相应记录。</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（5）发生意外事件时，及时采取应急措施，维护办公区域物业服务正常进行，保护人身财产安全。</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（6）办公区域物业服务应急预案终止实施后，积极采取措施，在尽可能短的时间内，消除事故带来的不良影响，妥善安置和慰问受害及受影响的人员和部门。</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（7）事故处理后，及时形成事故应急总结报告，完善应急救援工作方案。</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restart"/>
            <w:tcBorders>
              <w:left w:val="single" w:color="000000" w:sz="8" w:space="0"/>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7</w:t>
            </w:r>
          </w:p>
        </w:tc>
        <w:tc>
          <w:tcPr>
            <w:tcW w:w="1094" w:type="dxa"/>
            <w:vMerge w:val="restart"/>
            <w:tcBorders>
              <w:bottom w:val="nil"/>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大型活动秩序</w:t>
            </w:r>
          </w:p>
        </w:tc>
        <w:tc>
          <w:tcPr>
            <w:tcW w:w="7428"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rPr>
                <w:rFonts w:hint="eastAsia" w:ascii="宋体" w:hAnsi="宋体" w:cs="宋体"/>
                <w:color w:val="000000"/>
              </w:rPr>
            </w:pPr>
            <w:r>
              <w:rPr>
                <w:rFonts w:hint="eastAsia" w:ascii="宋体" w:hAnsi="宋体" w:cs="宋体"/>
                <w:color w:val="000000"/>
                <w:sz w:val="21"/>
                <w:szCs w:val="21"/>
              </w:rPr>
              <w:t>（1）做好重大活动，重要人物、宾客及重大节日的安全保卫工作。</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（2）制定相应的活动秩序维护方案，合理安排人员，并对场所的安全隐患进行排查。</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（3）应当保障通道、出入口、停车场等区域畅通。</w:t>
            </w:r>
          </w:p>
        </w:tc>
      </w:tr>
      <w:tr>
        <w:tblPrEx>
          <w:tblLayout w:type="fixed"/>
          <w:tblCellMar>
            <w:top w:w="15" w:type="dxa"/>
            <w:left w:w="15" w:type="dxa"/>
            <w:bottom w:w="15" w:type="dxa"/>
            <w:right w:w="15" w:type="dxa"/>
          </w:tblCellMar>
        </w:tblPrEx>
        <w:trPr>
          <w:trHeight w:val="460" w:hRule="atLeast"/>
          <w:tblCellSpacing w:w="0" w:type="dxa"/>
          <w:jc w:val="center"/>
        </w:trPr>
        <w:tc>
          <w:tcPr>
            <w:tcW w:w="75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094"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7428"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（4）活动举办过程中，做好现场秩序的维护和突发事故的处置工作，确保活动正常进行。</w:t>
            </w:r>
          </w:p>
        </w:tc>
      </w:tr>
    </w:tbl>
    <w:p>
      <w:pPr>
        <w:pStyle w:val="936"/>
        <w:spacing w:line="360" w:lineRule="auto"/>
        <w:rPr>
          <w:rFonts w:hint="eastAsia" w:ascii="宋体" w:hAnsi="宋体" w:cs="宋体"/>
        </w:rPr>
      </w:pPr>
      <w:r>
        <w:rPr>
          <w:rFonts w:hint="eastAsia" w:ascii="宋体" w:hAnsi="宋体" w:cs="宋体"/>
          <w:b/>
          <w:bCs/>
          <w:spacing w:val="-2"/>
          <w:sz w:val="21"/>
          <w:szCs w:val="21"/>
        </w:rPr>
        <w:t> </w:t>
      </w:r>
    </w:p>
    <w:p>
      <w:pPr>
        <w:pStyle w:val="936"/>
        <w:spacing w:line="360" w:lineRule="auto"/>
        <w:rPr>
          <w:rFonts w:hint="eastAsia" w:ascii="宋体" w:hAnsi="宋体" w:cs="宋体"/>
        </w:rPr>
      </w:pPr>
      <w:r>
        <w:rPr>
          <w:rFonts w:hint="eastAsia" w:ascii="宋体" w:hAnsi="宋体" w:cs="宋体"/>
          <w:b/>
          <w:bCs/>
          <w:spacing w:val="-2"/>
          <w:sz w:val="21"/>
          <w:szCs w:val="21"/>
        </w:rPr>
        <w:t>（6）会议服务</w:t>
      </w:r>
    </w:p>
    <w:tbl>
      <w:tblPr>
        <w:tblStyle w:val="942"/>
        <w:tblW w:w="9273" w:type="dxa"/>
        <w:jc w:val="center"/>
        <w:tblCellSpacing w:w="0" w:type="dxa"/>
        <w:tblInd w:w="0" w:type="dxa"/>
        <w:tblLayout w:type="fixed"/>
        <w:tblCellMar>
          <w:top w:w="15" w:type="dxa"/>
          <w:left w:w="15" w:type="dxa"/>
          <w:bottom w:w="15" w:type="dxa"/>
          <w:right w:w="15" w:type="dxa"/>
        </w:tblCellMar>
      </w:tblPr>
      <w:tblGrid>
        <w:gridCol w:w="752"/>
        <w:gridCol w:w="1096"/>
        <w:gridCol w:w="7425"/>
      </w:tblGrid>
      <w:tr>
        <w:tblPrEx>
          <w:tblLayout w:type="fixed"/>
          <w:tblCellMar>
            <w:top w:w="15" w:type="dxa"/>
            <w:left w:w="15" w:type="dxa"/>
            <w:bottom w:w="15" w:type="dxa"/>
            <w:right w:w="15" w:type="dxa"/>
          </w:tblCellMar>
        </w:tblPrEx>
        <w:trPr>
          <w:trHeight w:val="462" w:hRule="atLeast"/>
          <w:tblCellSpacing w:w="0" w:type="dxa"/>
          <w:jc w:val="center"/>
        </w:trPr>
        <w:tc>
          <w:tcPr>
            <w:tcW w:w="75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序号</w:t>
            </w:r>
          </w:p>
        </w:tc>
        <w:tc>
          <w:tcPr>
            <w:tcW w:w="1096"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服务内容</w:t>
            </w:r>
          </w:p>
        </w:tc>
        <w:tc>
          <w:tcPr>
            <w:tcW w:w="7425" w:type="dxa"/>
            <w:tcBorders>
              <w:top w:val="single" w:color="000000" w:sz="8" w:space="0"/>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b/>
                <w:bCs/>
                <w:color w:val="000000"/>
                <w:sz w:val="21"/>
                <w:szCs w:val="21"/>
              </w:rPr>
              <w:t>服务标准</w:t>
            </w:r>
          </w:p>
        </w:tc>
      </w:tr>
      <w:tr>
        <w:tblPrEx>
          <w:tblLayout w:type="fixed"/>
          <w:tblCellMar>
            <w:top w:w="15" w:type="dxa"/>
            <w:left w:w="15" w:type="dxa"/>
            <w:bottom w:w="15" w:type="dxa"/>
            <w:right w:w="15" w:type="dxa"/>
          </w:tblCellMar>
        </w:tblPrEx>
        <w:trPr>
          <w:trHeight w:val="462" w:hRule="atLeast"/>
          <w:tblCellSpacing w:w="0" w:type="dxa"/>
          <w:jc w:val="center"/>
        </w:trPr>
        <w:tc>
          <w:tcPr>
            <w:tcW w:w="7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1</w:t>
            </w:r>
          </w:p>
        </w:tc>
        <w:tc>
          <w:tcPr>
            <w:tcW w:w="1096" w:type="dxa"/>
            <w:tcBorders>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会议受理</w:t>
            </w:r>
          </w:p>
        </w:tc>
        <w:tc>
          <w:tcPr>
            <w:tcW w:w="7425"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接到采购人管理部门事先通知，记录会议需求。</w:t>
            </w:r>
          </w:p>
        </w:tc>
      </w:tr>
      <w:tr>
        <w:tblPrEx>
          <w:tblLayout w:type="fixed"/>
          <w:tblCellMar>
            <w:top w:w="15" w:type="dxa"/>
            <w:left w:w="15" w:type="dxa"/>
            <w:bottom w:w="15" w:type="dxa"/>
            <w:right w:w="15" w:type="dxa"/>
          </w:tblCellMar>
        </w:tblPrEx>
        <w:trPr>
          <w:trHeight w:val="462" w:hRule="atLeast"/>
          <w:tblCellSpacing w:w="0" w:type="dxa"/>
          <w:jc w:val="center"/>
        </w:trPr>
        <w:tc>
          <w:tcPr>
            <w:tcW w:w="7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2</w:t>
            </w:r>
          </w:p>
        </w:tc>
        <w:tc>
          <w:tcPr>
            <w:tcW w:w="1096"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会前准备</w:t>
            </w:r>
          </w:p>
        </w:tc>
        <w:tc>
          <w:tcPr>
            <w:tcW w:w="7425"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按照所召开会议的规格，在会议召开前安排人员对会议室（厅）进行布置，并将椅子摆放整齐，准备好设备、茶水。</w:t>
            </w:r>
          </w:p>
        </w:tc>
      </w:tr>
      <w:tr>
        <w:tblPrEx>
          <w:tblLayout w:type="fixed"/>
          <w:tblCellMar>
            <w:top w:w="15" w:type="dxa"/>
            <w:left w:w="15" w:type="dxa"/>
            <w:bottom w:w="15" w:type="dxa"/>
            <w:right w:w="15" w:type="dxa"/>
          </w:tblCellMar>
        </w:tblPrEx>
        <w:trPr>
          <w:trHeight w:val="462" w:hRule="atLeast"/>
          <w:tblCellSpacing w:w="0" w:type="dxa"/>
          <w:jc w:val="center"/>
        </w:trPr>
        <w:tc>
          <w:tcPr>
            <w:tcW w:w="7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3</w:t>
            </w:r>
          </w:p>
        </w:tc>
        <w:tc>
          <w:tcPr>
            <w:tcW w:w="1096"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引导服务</w:t>
            </w:r>
          </w:p>
        </w:tc>
        <w:tc>
          <w:tcPr>
            <w:tcW w:w="7425"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根据采购人工作需求，做好引导牌并放置在指定位置，引导人员引导手势规范，语言标准。</w:t>
            </w:r>
          </w:p>
        </w:tc>
      </w:tr>
      <w:tr>
        <w:tblPrEx>
          <w:tblLayout w:type="fixed"/>
          <w:tblCellMar>
            <w:top w:w="15" w:type="dxa"/>
            <w:left w:w="15" w:type="dxa"/>
            <w:bottom w:w="15" w:type="dxa"/>
            <w:right w:w="15" w:type="dxa"/>
          </w:tblCellMar>
        </w:tblPrEx>
        <w:trPr>
          <w:trHeight w:val="462" w:hRule="atLeast"/>
          <w:tblCellSpacing w:w="0" w:type="dxa"/>
          <w:jc w:val="center"/>
        </w:trPr>
        <w:tc>
          <w:tcPr>
            <w:tcW w:w="7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4</w:t>
            </w:r>
          </w:p>
        </w:tc>
        <w:tc>
          <w:tcPr>
            <w:tcW w:w="1096" w:type="dxa"/>
            <w:tcBorders>
              <w:bottom w:val="single" w:color="000000" w:sz="8" w:space="0"/>
              <w:right w:val="single" w:color="000000" w:sz="8" w:space="0"/>
            </w:tcBorders>
            <w:tcMar>
              <w:top w:w="0" w:type="dxa"/>
              <w:left w:w="0" w:type="dxa"/>
              <w:bottom w:w="0" w:type="dxa"/>
              <w:right w:w="0" w:type="dxa"/>
            </w:tcMa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会中服务</w:t>
            </w:r>
          </w:p>
        </w:tc>
        <w:tc>
          <w:tcPr>
            <w:tcW w:w="7425"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在会议过程中为参会人员添加茶水。</w:t>
            </w:r>
          </w:p>
        </w:tc>
      </w:tr>
      <w:tr>
        <w:tblPrEx>
          <w:tblLayout w:type="fixed"/>
          <w:tblCellMar>
            <w:top w:w="15" w:type="dxa"/>
            <w:left w:w="15" w:type="dxa"/>
            <w:bottom w:w="15" w:type="dxa"/>
            <w:right w:w="15" w:type="dxa"/>
          </w:tblCellMar>
        </w:tblPrEx>
        <w:trPr>
          <w:trHeight w:val="462" w:hRule="atLeast"/>
          <w:tblCellSpacing w:w="0" w:type="dxa"/>
          <w:jc w:val="center"/>
        </w:trPr>
        <w:tc>
          <w:tcPr>
            <w:tcW w:w="752" w:type="dxa"/>
            <w:tcBorders>
              <w:left w:val="single" w:color="000000" w:sz="8" w:space="0"/>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5</w:t>
            </w:r>
          </w:p>
        </w:tc>
        <w:tc>
          <w:tcPr>
            <w:tcW w:w="1096" w:type="dxa"/>
            <w:tcBorders>
              <w:bottom w:val="single" w:color="000000" w:sz="8" w:space="0"/>
              <w:right w:val="single" w:color="000000" w:sz="8" w:space="0"/>
            </w:tcBorders>
            <w:tcMar>
              <w:top w:w="0" w:type="dxa"/>
              <w:left w:w="0" w:type="dxa"/>
              <w:bottom w:w="0" w:type="dxa"/>
              <w:right w:w="0" w:type="dxa"/>
            </w:tcMar>
            <w:vAlign w:val="center"/>
          </w:tcPr>
          <w:p>
            <w:pPr>
              <w:pStyle w:val="936"/>
              <w:spacing w:line="400" w:lineRule="atLeast"/>
              <w:jc w:val="center"/>
              <w:rPr>
                <w:rFonts w:hint="eastAsia" w:ascii="宋体" w:hAnsi="宋体" w:cs="宋体"/>
                <w:color w:val="000000"/>
              </w:rPr>
            </w:pPr>
            <w:r>
              <w:rPr>
                <w:rFonts w:hint="eastAsia" w:ascii="宋体" w:hAnsi="宋体" w:cs="宋体"/>
                <w:color w:val="000000"/>
                <w:sz w:val="21"/>
                <w:szCs w:val="21"/>
              </w:rPr>
              <w:t>会后整理</w:t>
            </w:r>
          </w:p>
        </w:tc>
        <w:tc>
          <w:tcPr>
            <w:tcW w:w="7425" w:type="dxa"/>
            <w:tcBorders>
              <w:bottom w:val="single" w:color="000000" w:sz="8" w:space="0"/>
              <w:right w:val="single" w:color="000000" w:sz="8" w:space="0"/>
            </w:tcBorders>
            <w:tcMar>
              <w:top w:w="0" w:type="dxa"/>
              <w:left w:w="0" w:type="dxa"/>
              <w:bottom w:w="0" w:type="dxa"/>
              <w:right w:w="0" w:type="dxa"/>
            </w:tcMar>
          </w:tcPr>
          <w:p>
            <w:pPr>
              <w:pStyle w:val="936"/>
              <w:spacing w:line="400" w:lineRule="atLeast"/>
              <w:rPr>
                <w:rFonts w:hint="eastAsia" w:ascii="宋体" w:hAnsi="宋体" w:cs="宋体"/>
                <w:color w:val="000000"/>
              </w:rPr>
            </w:pPr>
            <w:r>
              <w:rPr>
                <w:rFonts w:hint="eastAsia" w:ascii="宋体" w:hAnsi="宋体" w:cs="宋体"/>
                <w:color w:val="000000"/>
                <w:sz w:val="21"/>
                <w:szCs w:val="21"/>
              </w:rPr>
              <w:t>在会议结束后，安排清洁工打扫会场，以保证会议厅的环境清洁，并关好会议室（厅）的照明、空调等设备。</w:t>
            </w:r>
          </w:p>
        </w:tc>
      </w:tr>
    </w:tbl>
    <w:p>
      <w:pPr>
        <w:pStyle w:val="6"/>
        <w:keepNext w:val="0"/>
        <w:spacing w:before="0" w:after="0" w:line="360" w:lineRule="auto"/>
        <w:jc w:val="center"/>
        <w:rPr>
          <w:rFonts w:hint="eastAsia" w:ascii="宋体" w:hAnsi="宋体" w:cs="宋体"/>
          <w:bCs/>
          <w:sz w:val="32"/>
          <w:szCs w:val="32"/>
        </w:rPr>
      </w:pPr>
      <w:bookmarkStart w:id="36" w:name="_Toc256000022"/>
      <w:r>
        <w:rPr>
          <w:rFonts w:hint="eastAsia" w:ascii="宋体" w:hAnsi="宋体" w:cs="宋体"/>
          <w:kern w:val="36"/>
        </w:rPr>
        <w:t>4人员要求</w:t>
      </w:r>
      <w:bookmarkEnd w:id="36"/>
    </w:p>
    <w:p>
      <w:pPr>
        <w:pStyle w:val="7"/>
        <w:keepNext w:val="0"/>
        <w:spacing w:before="0" w:after="0" w:line="360" w:lineRule="auto"/>
        <w:rPr>
          <w:rFonts w:hint="eastAsia" w:ascii="宋体" w:hAnsi="宋体" w:eastAsia="宋体" w:cs="宋体"/>
          <w:bCs/>
          <w:sz w:val="28"/>
          <w:szCs w:val="28"/>
        </w:rPr>
      </w:pPr>
      <w:bookmarkStart w:id="37" w:name="_Toc256000023"/>
      <w:r>
        <w:rPr>
          <w:rFonts w:hint="eastAsia" w:ascii="宋体" w:hAnsi="宋体" w:eastAsia="宋体" w:cs="宋体"/>
        </w:rPr>
        <w:t>4.1总体要求</w:t>
      </w:r>
      <w:bookmarkEnd w:id="37"/>
    </w:p>
    <w:p>
      <w:pPr>
        <w:spacing w:line="360" w:lineRule="auto"/>
        <w:rPr>
          <w:rFonts w:hint="eastAsia" w:ascii="宋体" w:hAnsi="宋体" w:cs="宋体"/>
        </w:rPr>
      </w:pPr>
      <w:r>
        <w:rPr>
          <w:rFonts w:hint="eastAsia" w:ascii="宋体" w:hAnsi="宋体" w:cs="宋体"/>
          <w:sz w:val="21"/>
          <w:szCs w:val="21"/>
        </w:rPr>
        <w:t>（1）中标人应当为服务人员提供统一着装，至少提供夏、冬季套装各两套供替换。</w:t>
      </w:r>
    </w:p>
    <w:p>
      <w:pPr>
        <w:pStyle w:val="935"/>
        <w:spacing w:line="360" w:lineRule="auto"/>
        <w:rPr>
          <w:rFonts w:hint="eastAsia" w:ascii="宋体" w:hAnsi="宋体" w:cs="宋体"/>
        </w:rPr>
      </w:pPr>
      <w:r>
        <w:rPr>
          <w:rFonts w:hint="eastAsia" w:ascii="宋体" w:hAnsi="宋体" w:cs="宋体"/>
          <w:sz w:val="21"/>
          <w:szCs w:val="21"/>
        </w:rPr>
        <w:t>（2）身体健康，在法定用工年龄，符合有关用工规定，无不良嗜好，肯吃苦耐劳，工作认真负责。</w:t>
      </w:r>
    </w:p>
    <w:p>
      <w:pPr>
        <w:pStyle w:val="947"/>
        <w:spacing w:line="360" w:lineRule="auto"/>
        <w:rPr>
          <w:rFonts w:hint="eastAsia" w:ascii="宋体" w:hAnsi="宋体" w:cs="宋体"/>
        </w:rPr>
      </w:pPr>
      <w:r>
        <w:rPr>
          <w:rFonts w:hint="eastAsia" w:ascii="宋体" w:hAnsi="宋体" w:cs="宋体"/>
          <w:sz w:val="21"/>
          <w:szCs w:val="21"/>
        </w:rPr>
        <w:t>（3）政治素质。热爱祖国、诚实信用；爱岗敬业，恪尽职守；遵纪守法，团结协作。无违法犯罪记录。</w:t>
      </w:r>
    </w:p>
    <w:p>
      <w:pPr>
        <w:pStyle w:val="947"/>
        <w:spacing w:line="360" w:lineRule="auto"/>
        <w:rPr>
          <w:rFonts w:hint="eastAsia" w:ascii="宋体" w:hAnsi="宋体" w:cs="宋体"/>
        </w:rPr>
      </w:pPr>
      <w:r>
        <w:rPr>
          <w:rFonts w:hint="eastAsia" w:ascii="宋体" w:hAnsi="宋体" w:cs="宋体"/>
          <w:sz w:val="21"/>
          <w:szCs w:val="21"/>
        </w:rPr>
        <w:t>（4）正常工作时间是指工作日的08:30-12:00；14:30-17:30。</w:t>
      </w:r>
    </w:p>
    <w:p>
      <w:pPr>
        <w:pStyle w:val="947"/>
        <w:spacing w:line="360" w:lineRule="auto"/>
        <w:rPr>
          <w:rFonts w:hint="eastAsia" w:ascii="宋体" w:hAnsi="宋体" w:cs="宋体"/>
        </w:rPr>
      </w:pPr>
      <w:r>
        <w:rPr>
          <w:rFonts w:hint="eastAsia" w:ascii="宋体" w:hAnsi="宋体" w:cs="宋体"/>
          <w:sz w:val="21"/>
          <w:szCs w:val="21"/>
        </w:rPr>
        <w:t>（5）★投标人承诺所投入水电工岗位人员具有在有效期内的特种作业操作证，如出现无证上岗的情形，相关后果由供应商全部承担。（承诺函格式自拟）</w:t>
      </w:r>
    </w:p>
    <w:p>
      <w:pPr>
        <w:pStyle w:val="7"/>
        <w:keepNext w:val="0"/>
        <w:spacing w:before="0" w:after="0" w:line="360" w:lineRule="auto"/>
        <w:rPr>
          <w:rFonts w:hint="eastAsia" w:ascii="宋体" w:hAnsi="宋体" w:eastAsia="宋体" w:cs="宋体"/>
          <w:bCs/>
          <w:sz w:val="28"/>
          <w:szCs w:val="28"/>
        </w:rPr>
      </w:pPr>
      <w:bookmarkStart w:id="38" w:name="_Toc256000024"/>
      <w:r>
        <w:rPr>
          <w:rFonts w:hint="eastAsia" w:ascii="宋体" w:hAnsi="宋体" w:eastAsia="宋体" w:cs="宋体"/>
        </w:rPr>
        <w:t>4.2管理团队</w:t>
      </w:r>
      <w:bookmarkEnd w:id="38"/>
    </w:p>
    <w:p>
      <w:pPr>
        <w:pStyle w:val="8"/>
        <w:keepNext w:val="0"/>
        <w:spacing w:before="0" w:after="0" w:line="360" w:lineRule="auto"/>
        <w:rPr>
          <w:rFonts w:hint="eastAsia" w:ascii="宋体" w:hAnsi="宋体" w:cs="宋体"/>
          <w:bCs/>
          <w:sz w:val="28"/>
          <w:szCs w:val="28"/>
        </w:rPr>
      </w:pPr>
      <w:bookmarkStart w:id="39" w:name="_Toc256000025"/>
      <w:r>
        <w:rPr>
          <w:rFonts w:hint="eastAsia" w:ascii="宋体" w:hAnsi="宋体" w:cs="宋体"/>
          <w:sz w:val="28"/>
          <w:szCs w:val="28"/>
        </w:rPr>
        <w:t>4.2.1项目经理及内务助理</w:t>
      </w:r>
      <w:bookmarkEnd w:id="39"/>
    </w:p>
    <w:tbl>
      <w:tblPr>
        <w:tblStyle w:val="79"/>
        <w:tblW w:w="6415" w:type="dxa"/>
        <w:tblCellSpacing w:w="0" w:type="dxa"/>
        <w:tblInd w:w="224" w:type="dxa"/>
        <w:tblLayout w:type="fixed"/>
        <w:tblCellMar>
          <w:top w:w="15" w:type="dxa"/>
          <w:left w:w="15" w:type="dxa"/>
          <w:bottom w:w="15" w:type="dxa"/>
          <w:right w:w="15" w:type="dxa"/>
        </w:tblCellMar>
      </w:tblPr>
      <w:tblGrid>
        <w:gridCol w:w="728"/>
        <w:gridCol w:w="1431"/>
        <w:gridCol w:w="1035"/>
        <w:gridCol w:w="1035"/>
        <w:gridCol w:w="1163"/>
        <w:gridCol w:w="1023"/>
      </w:tblGrid>
      <w:tr>
        <w:tblPrEx>
          <w:tblLayout w:type="fixed"/>
          <w:tblCellMar>
            <w:top w:w="15" w:type="dxa"/>
            <w:left w:w="15" w:type="dxa"/>
            <w:bottom w:w="15" w:type="dxa"/>
            <w:right w:w="15" w:type="dxa"/>
          </w:tblCellMar>
        </w:tblPrEx>
        <w:trPr>
          <w:trHeight w:val="560" w:hRule="atLeast"/>
          <w:tblCellSpacing w:w="0" w:type="dxa"/>
        </w:trPr>
        <w:tc>
          <w:tcPr>
            <w:tcW w:w="728"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序号</w:t>
            </w:r>
          </w:p>
        </w:tc>
        <w:tc>
          <w:tcPr>
            <w:tcW w:w="1431"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部门职能</w:t>
            </w:r>
          </w:p>
        </w:tc>
        <w:tc>
          <w:tcPr>
            <w:tcW w:w="103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岗位</w:t>
            </w:r>
          </w:p>
        </w:tc>
        <w:tc>
          <w:tcPr>
            <w:tcW w:w="103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配置人数</w:t>
            </w:r>
          </w:p>
        </w:tc>
        <w:tc>
          <w:tcPr>
            <w:tcW w:w="1163"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办公地点</w:t>
            </w:r>
          </w:p>
        </w:tc>
        <w:tc>
          <w:tcPr>
            <w:tcW w:w="1023"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工作时间</w:t>
            </w:r>
          </w:p>
        </w:tc>
      </w:tr>
      <w:tr>
        <w:tblPrEx>
          <w:tblLayout w:type="fixed"/>
          <w:tblCellMar>
            <w:top w:w="15" w:type="dxa"/>
            <w:left w:w="15" w:type="dxa"/>
            <w:bottom w:w="15" w:type="dxa"/>
            <w:right w:w="15" w:type="dxa"/>
          </w:tblCellMar>
        </w:tblPrEx>
        <w:trPr>
          <w:trHeight w:val="560" w:hRule="atLeast"/>
          <w:tblCellSpacing w:w="0" w:type="dxa"/>
        </w:trPr>
        <w:tc>
          <w:tcPr>
            <w:tcW w:w="72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431"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管理人员</w:t>
            </w:r>
          </w:p>
        </w:tc>
        <w:tc>
          <w:tcPr>
            <w:tcW w:w="10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业务主管</w:t>
            </w:r>
          </w:p>
        </w:tc>
        <w:tc>
          <w:tcPr>
            <w:tcW w:w="10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163"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区局</w:t>
            </w:r>
            <w:r>
              <w:rPr>
                <w:rFonts w:hint="eastAsia" w:ascii="宋体" w:hAnsi="宋体" w:cs="宋体"/>
                <w:color w:val="000000"/>
                <w:sz w:val="21"/>
                <w:szCs w:val="21"/>
                <w:lang w:eastAsia="zh-CN"/>
              </w:rPr>
              <w:t>办公区</w:t>
            </w:r>
          </w:p>
        </w:tc>
        <w:tc>
          <w:tcPr>
            <w:tcW w:w="1023"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正常工作时间</w:t>
            </w:r>
          </w:p>
        </w:tc>
      </w:tr>
      <w:tr>
        <w:tblPrEx>
          <w:tblLayout w:type="fixed"/>
          <w:tblCellMar>
            <w:top w:w="15" w:type="dxa"/>
            <w:left w:w="15" w:type="dxa"/>
            <w:bottom w:w="15" w:type="dxa"/>
            <w:right w:w="15" w:type="dxa"/>
          </w:tblCellMar>
        </w:tblPrEx>
        <w:trPr>
          <w:trHeight w:val="560" w:hRule="atLeast"/>
          <w:tblCellSpacing w:w="0" w:type="dxa"/>
        </w:trPr>
        <w:tc>
          <w:tcPr>
            <w:tcW w:w="72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2</w:t>
            </w:r>
          </w:p>
        </w:tc>
        <w:tc>
          <w:tcPr>
            <w:tcW w:w="1431"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10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项目内务助理</w:t>
            </w:r>
          </w:p>
        </w:tc>
        <w:tc>
          <w:tcPr>
            <w:tcW w:w="10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163"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1023"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560" w:hRule="atLeast"/>
          <w:tblCellSpacing w:w="0" w:type="dxa"/>
        </w:trPr>
        <w:tc>
          <w:tcPr>
            <w:tcW w:w="728"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c>
          <w:tcPr>
            <w:tcW w:w="143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合计</w:t>
            </w:r>
          </w:p>
        </w:tc>
        <w:tc>
          <w:tcPr>
            <w:tcW w:w="10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c>
          <w:tcPr>
            <w:tcW w:w="10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2</w:t>
            </w:r>
          </w:p>
        </w:tc>
        <w:tc>
          <w:tcPr>
            <w:tcW w:w="116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c>
          <w:tcPr>
            <w:tcW w:w="1023"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hint="eastAsia" w:ascii="宋体" w:hAnsi="宋体" w:cs="宋体"/>
                <w:color w:val="000000"/>
              </w:rPr>
            </w:pPr>
            <w:r>
              <w:rPr>
                <w:rFonts w:hint="eastAsia" w:ascii="宋体" w:hAnsi="宋体" w:cs="宋体"/>
                <w:color w:val="000000"/>
              </w:rPr>
              <w:t> </w:t>
            </w:r>
          </w:p>
        </w:tc>
      </w:tr>
    </w:tbl>
    <w:p>
      <w:pPr>
        <w:pStyle w:val="7"/>
        <w:keepNext w:val="0"/>
        <w:spacing w:before="0" w:after="0" w:line="360" w:lineRule="auto"/>
        <w:rPr>
          <w:rFonts w:hint="eastAsia" w:ascii="宋体" w:hAnsi="宋体" w:eastAsia="宋体" w:cs="宋体"/>
          <w:bCs/>
          <w:sz w:val="28"/>
          <w:szCs w:val="28"/>
        </w:rPr>
      </w:pPr>
      <w:bookmarkStart w:id="40" w:name="_Toc256000026"/>
      <w:r>
        <w:rPr>
          <w:rFonts w:hint="eastAsia" w:ascii="宋体" w:hAnsi="宋体" w:eastAsia="宋体" w:cs="宋体"/>
        </w:rPr>
        <w:t>4.3技术团队</w:t>
      </w:r>
      <w:bookmarkEnd w:id="40"/>
    </w:p>
    <w:tbl>
      <w:tblPr>
        <w:tblStyle w:val="79"/>
        <w:tblW w:w="8102" w:type="dxa"/>
        <w:tblCellSpacing w:w="0" w:type="dxa"/>
        <w:tblInd w:w="224" w:type="dxa"/>
        <w:tblLayout w:type="fixed"/>
        <w:tblCellMar>
          <w:top w:w="15" w:type="dxa"/>
          <w:left w:w="15" w:type="dxa"/>
          <w:bottom w:w="15" w:type="dxa"/>
          <w:right w:w="15" w:type="dxa"/>
        </w:tblCellMar>
      </w:tblPr>
      <w:tblGrid>
        <w:gridCol w:w="831"/>
        <w:gridCol w:w="1281"/>
        <w:gridCol w:w="1276"/>
        <w:gridCol w:w="927"/>
        <w:gridCol w:w="1814"/>
        <w:gridCol w:w="1973"/>
      </w:tblGrid>
      <w:tr>
        <w:tblPrEx>
          <w:tblLayout w:type="fixed"/>
          <w:tblCellMar>
            <w:top w:w="15" w:type="dxa"/>
            <w:left w:w="15" w:type="dxa"/>
            <w:bottom w:w="15" w:type="dxa"/>
            <w:right w:w="15" w:type="dxa"/>
          </w:tblCellMar>
        </w:tblPrEx>
        <w:trPr>
          <w:trHeight w:val="440" w:hRule="atLeast"/>
          <w:tblCellSpacing w:w="0" w:type="dxa"/>
        </w:trPr>
        <w:tc>
          <w:tcPr>
            <w:tcW w:w="831"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序号</w:t>
            </w:r>
          </w:p>
        </w:tc>
        <w:tc>
          <w:tcPr>
            <w:tcW w:w="1281"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部门职能</w:t>
            </w:r>
          </w:p>
        </w:tc>
        <w:tc>
          <w:tcPr>
            <w:tcW w:w="127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岗位</w:t>
            </w:r>
          </w:p>
        </w:tc>
        <w:tc>
          <w:tcPr>
            <w:tcW w:w="927"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配置人数</w:t>
            </w:r>
          </w:p>
        </w:tc>
        <w:tc>
          <w:tcPr>
            <w:tcW w:w="181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办公地点</w:t>
            </w:r>
          </w:p>
        </w:tc>
        <w:tc>
          <w:tcPr>
            <w:tcW w:w="1973"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工作时间</w:t>
            </w:r>
          </w:p>
        </w:tc>
      </w:tr>
      <w:tr>
        <w:tblPrEx>
          <w:tblLayout w:type="fixed"/>
          <w:tblCellMar>
            <w:top w:w="15" w:type="dxa"/>
            <w:left w:w="15" w:type="dxa"/>
            <w:bottom w:w="15" w:type="dxa"/>
            <w:right w:w="15" w:type="dxa"/>
          </w:tblCellMar>
        </w:tblPrEx>
        <w:trPr>
          <w:trHeight w:val="919" w:hRule="atLeast"/>
          <w:tblCellSpacing w:w="0" w:type="dxa"/>
        </w:trPr>
        <w:tc>
          <w:tcPr>
            <w:tcW w:w="831"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281"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公用设施设备维护</w:t>
            </w:r>
            <w:r>
              <w:rPr>
                <w:rFonts w:hint="eastAsia" w:ascii="宋体" w:hAnsi="宋体" w:cs="宋体"/>
                <w:color w:val="000000"/>
                <w:sz w:val="21"/>
                <w:szCs w:val="21"/>
              </w:rPr>
              <w:br w:type="textWrapping"/>
            </w:r>
            <w:r>
              <w:rPr>
                <w:rFonts w:hint="eastAsia" w:ascii="宋体" w:hAnsi="宋体" w:cs="宋体"/>
                <w:color w:val="000000"/>
                <w:sz w:val="21"/>
                <w:szCs w:val="21"/>
              </w:rPr>
              <w:t>（5人）</w:t>
            </w:r>
          </w:p>
        </w:tc>
        <w:tc>
          <w:tcPr>
            <w:tcW w:w="1276"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水电工</w:t>
            </w:r>
            <w:r>
              <w:rPr>
                <w:rStyle w:val="941"/>
                <w:rFonts w:hint="eastAsia" w:ascii="宋体" w:hAnsi="宋体" w:cs="宋体"/>
                <w:color w:val="000000"/>
              </w:rPr>
              <w:t> </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3</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区局</w:t>
            </w:r>
            <w:r>
              <w:rPr>
                <w:rFonts w:hint="eastAsia" w:ascii="宋体" w:hAnsi="宋体" w:cs="宋体"/>
                <w:color w:val="000000"/>
                <w:sz w:val="21"/>
                <w:szCs w:val="21"/>
                <w:lang w:eastAsia="zh-CN"/>
              </w:rPr>
              <w:t>办公区</w:t>
            </w:r>
          </w:p>
        </w:tc>
        <w:tc>
          <w:tcPr>
            <w:tcW w:w="197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24小时三班轮值及各办公点的应急维修</w:t>
            </w: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continue"/>
            <w:tcBorders>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新厦路</w:t>
            </w:r>
            <w:r>
              <w:rPr>
                <w:rFonts w:hint="eastAsia" w:ascii="宋体" w:hAnsi="宋体" w:cs="宋体"/>
                <w:color w:val="000000"/>
                <w:sz w:val="21"/>
                <w:szCs w:val="21"/>
                <w:lang w:eastAsia="zh-CN"/>
              </w:rPr>
              <w:t>办公区</w:t>
            </w:r>
          </w:p>
        </w:tc>
        <w:tc>
          <w:tcPr>
            <w:tcW w:w="1973"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正常工作时间</w:t>
            </w: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1276"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同益分局</w:t>
            </w:r>
            <w:r>
              <w:rPr>
                <w:rFonts w:hint="eastAsia" w:ascii="宋体" w:hAnsi="宋体" w:cs="宋体"/>
                <w:color w:val="000000"/>
                <w:sz w:val="21"/>
                <w:szCs w:val="21"/>
                <w:lang w:eastAsia="zh-CN"/>
              </w:rPr>
              <w:t>办公区</w:t>
            </w:r>
          </w:p>
        </w:tc>
        <w:tc>
          <w:tcPr>
            <w:tcW w:w="1973"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440" w:hRule="atLeast"/>
          <w:tblCellSpacing w:w="0" w:type="dxa"/>
        </w:trPr>
        <w:tc>
          <w:tcPr>
            <w:tcW w:w="831"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2</w:t>
            </w:r>
          </w:p>
        </w:tc>
        <w:tc>
          <w:tcPr>
            <w:tcW w:w="1281" w:type="dxa"/>
            <w:vMerge w:val="restart"/>
            <w:tcBorders>
              <w:bottom w:val="nil"/>
              <w:right w:val="single" w:color="000000" w:sz="8" w:space="0"/>
            </w:tcBorders>
            <w:tcMar>
              <w:top w:w="0" w:type="dxa"/>
              <w:left w:w="108" w:type="dxa"/>
              <w:bottom w:w="0" w:type="dxa"/>
              <w:right w:w="118" w:type="dxa"/>
            </w:tcMar>
            <w:vAlign w:val="center"/>
          </w:tcPr>
          <w:p>
            <w:pPr>
              <w:pStyle w:val="936"/>
              <w:spacing w:after="240"/>
              <w:jc w:val="center"/>
              <w:textAlignment w:val="center"/>
              <w:rPr>
                <w:rFonts w:hint="eastAsia" w:ascii="宋体" w:hAnsi="宋体" w:cs="宋体"/>
                <w:color w:val="000000"/>
              </w:rPr>
            </w:pPr>
            <w:r>
              <w:rPr>
                <w:rFonts w:hint="eastAsia" w:ascii="宋体" w:hAnsi="宋体" w:cs="宋体"/>
                <w:color w:val="000000"/>
                <w:sz w:val="21"/>
                <w:szCs w:val="21"/>
              </w:rPr>
              <w:t>保洁服务</w:t>
            </w:r>
          </w:p>
          <w:p>
            <w:pPr>
              <w:pStyle w:val="936"/>
              <w:spacing w:before="240"/>
              <w:jc w:val="center"/>
              <w:textAlignment w:val="center"/>
              <w:rPr>
                <w:rFonts w:hint="eastAsia" w:ascii="宋体" w:hAnsi="宋体" w:cs="宋体"/>
                <w:color w:val="000000"/>
              </w:rPr>
            </w:pPr>
            <w:r>
              <w:rPr>
                <w:rFonts w:hint="eastAsia" w:ascii="宋体" w:hAnsi="宋体" w:cs="宋体"/>
                <w:color w:val="000000"/>
                <w:sz w:val="21"/>
                <w:szCs w:val="21"/>
              </w:rPr>
              <w:t>（26人）</w:t>
            </w:r>
          </w:p>
        </w:tc>
        <w:tc>
          <w:tcPr>
            <w:tcW w:w="1276"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保洁班长</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区局</w:t>
            </w:r>
            <w:r>
              <w:rPr>
                <w:rFonts w:hint="eastAsia" w:ascii="宋体" w:hAnsi="宋体" w:cs="宋体"/>
                <w:color w:val="000000"/>
                <w:sz w:val="21"/>
                <w:szCs w:val="21"/>
                <w:lang w:eastAsia="zh-CN"/>
              </w:rPr>
              <w:t>办公区</w:t>
            </w:r>
          </w:p>
        </w:tc>
        <w:tc>
          <w:tcPr>
            <w:tcW w:w="1973"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正常工作时间</w:t>
            </w: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新厦路</w:t>
            </w:r>
            <w:r>
              <w:rPr>
                <w:rFonts w:hint="eastAsia" w:ascii="宋体" w:hAnsi="宋体" w:cs="宋体"/>
                <w:color w:val="000000"/>
                <w:sz w:val="21"/>
                <w:szCs w:val="21"/>
                <w:lang w:eastAsia="zh-CN"/>
              </w:rPr>
              <w:t>办公区</w:t>
            </w:r>
          </w:p>
        </w:tc>
        <w:tc>
          <w:tcPr>
            <w:tcW w:w="1973"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保洁</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14</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区局</w:t>
            </w:r>
            <w:r>
              <w:rPr>
                <w:rFonts w:hint="eastAsia" w:ascii="宋体" w:hAnsi="宋体" w:cs="宋体"/>
                <w:color w:val="000000"/>
                <w:sz w:val="21"/>
                <w:szCs w:val="21"/>
                <w:lang w:eastAsia="zh-CN"/>
              </w:rPr>
              <w:t>办公区</w:t>
            </w:r>
          </w:p>
        </w:tc>
        <w:tc>
          <w:tcPr>
            <w:tcW w:w="1973"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每天8时至19时</w:t>
            </w: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continue"/>
            <w:tcBorders>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6</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新厦路</w:t>
            </w:r>
            <w:r>
              <w:rPr>
                <w:rFonts w:hint="eastAsia" w:ascii="宋体" w:hAnsi="宋体" w:cs="宋体"/>
                <w:color w:val="000000"/>
                <w:sz w:val="21"/>
                <w:szCs w:val="21"/>
                <w:lang w:eastAsia="zh-CN"/>
              </w:rPr>
              <w:t>办公区</w:t>
            </w:r>
          </w:p>
        </w:tc>
        <w:tc>
          <w:tcPr>
            <w:tcW w:w="1973" w:type="dxa"/>
            <w:vMerge w:val="continue"/>
            <w:tcBorders>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continue"/>
            <w:tcBorders>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3</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同益分局</w:t>
            </w:r>
            <w:r>
              <w:rPr>
                <w:rFonts w:hint="eastAsia" w:ascii="宋体" w:hAnsi="宋体" w:cs="宋体"/>
                <w:color w:val="000000"/>
                <w:sz w:val="21"/>
                <w:szCs w:val="21"/>
                <w:lang w:eastAsia="zh-CN"/>
              </w:rPr>
              <w:t>办公区</w:t>
            </w:r>
          </w:p>
        </w:tc>
        <w:tc>
          <w:tcPr>
            <w:tcW w:w="1973" w:type="dxa"/>
            <w:vMerge w:val="continue"/>
            <w:tcBorders>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1276"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鮀江分局</w:t>
            </w:r>
            <w:r>
              <w:rPr>
                <w:rFonts w:hint="eastAsia" w:ascii="宋体" w:hAnsi="宋体" w:cs="宋体"/>
                <w:color w:val="000000"/>
                <w:sz w:val="21"/>
                <w:szCs w:val="21"/>
                <w:lang w:eastAsia="zh-CN"/>
              </w:rPr>
              <w:t>办公区</w:t>
            </w:r>
          </w:p>
        </w:tc>
        <w:tc>
          <w:tcPr>
            <w:tcW w:w="1973"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700" w:hRule="atLeast"/>
          <w:tblCellSpacing w:w="0" w:type="dxa"/>
        </w:trPr>
        <w:tc>
          <w:tcPr>
            <w:tcW w:w="83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3</w:t>
            </w:r>
          </w:p>
        </w:tc>
        <w:tc>
          <w:tcPr>
            <w:tcW w:w="1281" w:type="dxa"/>
            <w:tcBorders>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绿化养护</w:t>
            </w:r>
            <w:r>
              <w:rPr>
                <w:rFonts w:hint="eastAsia" w:ascii="宋体" w:hAnsi="宋体" w:cs="宋体"/>
                <w:color w:val="000000"/>
                <w:sz w:val="21"/>
                <w:szCs w:val="21"/>
              </w:rPr>
              <w:br w:type="textWrapping"/>
            </w:r>
            <w:r>
              <w:rPr>
                <w:rFonts w:hint="eastAsia" w:ascii="宋体" w:hAnsi="宋体" w:cs="宋体"/>
                <w:color w:val="000000"/>
                <w:sz w:val="21"/>
                <w:szCs w:val="21"/>
              </w:rPr>
              <w:t>（1人）</w:t>
            </w:r>
          </w:p>
        </w:tc>
        <w:tc>
          <w:tcPr>
            <w:tcW w:w="127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绿化</w:t>
            </w:r>
            <w:r>
              <w:rPr>
                <w:rStyle w:val="948"/>
                <w:rFonts w:hint="eastAsia" w:ascii="宋体" w:hAnsi="宋体" w:cs="宋体"/>
                <w:color w:val="000000"/>
                <w:sz w:val="21"/>
                <w:szCs w:val="21"/>
              </w:rPr>
              <w:t>员</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各办公</w:t>
            </w:r>
            <w:r>
              <w:rPr>
                <w:rFonts w:hint="eastAsia" w:ascii="宋体" w:hAnsi="宋体" w:cs="宋体"/>
                <w:color w:val="000000"/>
                <w:sz w:val="21"/>
                <w:szCs w:val="21"/>
                <w:lang w:eastAsia="zh-CN"/>
              </w:rPr>
              <w:t>区</w:t>
            </w:r>
          </w:p>
        </w:tc>
        <w:tc>
          <w:tcPr>
            <w:tcW w:w="197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正常工作时间</w:t>
            </w:r>
          </w:p>
        </w:tc>
      </w:tr>
      <w:tr>
        <w:tblPrEx>
          <w:tblLayout w:type="fixed"/>
          <w:tblCellMar>
            <w:top w:w="15" w:type="dxa"/>
            <w:left w:w="15" w:type="dxa"/>
            <w:bottom w:w="15" w:type="dxa"/>
            <w:right w:w="15" w:type="dxa"/>
          </w:tblCellMar>
        </w:tblPrEx>
        <w:trPr>
          <w:trHeight w:val="440" w:hRule="atLeast"/>
          <w:tblCellSpacing w:w="0" w:type="dxa"/>
        </w:trPr>
        <w:tc>
          <w:tcPr>
            <w:tcW w:w="831" w:type="dxa"/>
            <w:vMerge w:val="restart"/>
            <w:tcBorders>
              <w:left w:val="single" w:color="000000" w:sz="8" w:space="0"/>
              <w:bottom w:val="nil"/>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4</w:t>
            </w:r>
          </w:p>
        </w:tc>
        <w:tc>
          <w:tcPr>
            <w:tcW w:w="1281" w:type="dxa"/>
            <w:vMerge w:val="restart"/>
            <w:tcBorders>
              <w:top w:val="single" w:color="000000" w:sz="8" w:space="0"/>
              <w:bottom w:val="nil"/>
              <w:right w:val="single" w:color="000000" w:sz="8" w:space="0"/>
            </w:tcBorders>
            <w:tcMar>
              <w:top w:w="0" w:type="dxa"/>
              <w:left w:w="108" w:type="dxa"/>
              <w:bottom w:w="0" w:type="dxa"/>
              <w:right w:w="118" w:type="dxa"/>
            </w:tcMar>
            <w:vAlign w:val="center"/>
          </w:tcPr>
          <w:p>
            <w:pPr>
              <w:pStyle w:val="936"/>
              <w:spacing w:after="240"/>
              <w:jc w:val="center"/>
              <w:textAlignment w:val="center"/>
              <w:rPr>
                <w:rFonts w:hint="eastAsia" w:ascii="宋体" w:hAnsi="宋体" w:cs="宋体"/>
                <w:color w:val="000000"/>
              </w:rPr>
            </w:pPr>
            <w:r>
              <w:rPr>
                <w:rFonts w:hint="eastAsia" w:ascii="宋体" w:hAnsi="宋体" w:cs="宋体"/>
                <w:color w:val="000000"/>
                <w:sz w:val="21"/>
                <w:szCs w:val="21"/>
              </w:rPr>
              <w:t>保安服务</w:t>
            </w:r>
          </w:p>
          <w:p>
            <w:pPr>
              <w:pStyle w:val="936"/>
              <w:spacing w:before="240"/>
              <w:jc w:val="center"/>
              <w:textAlignment w:val="center"/>
              <w:rPr>
                <w:rFonts w:hint="eastAsia" w:ascii="宋体" w:hAnsi="宋体" w:cs="宋体"/>
                <w:color w:val="000000"/>
              </w:rPr>
            </w:pPr>
            <w:r>
              <w:rPr>
                <w:rFonts w:hint="eastAsia" w:ascii="宋体" w:hAnsi="宋体" w:cs="宋体"/>
                <w:color w:val="000000"/>
                <w:sz w:val="21"/>
                <w:szCs w:val="21"/>
              </w:rPr>
              <w:t>（35人）</w:t>
            </w:r>
          </w:p>
        </w:tc>
        <w:tc>
          <w:tcPr>
            <w:tcW w:w="1276"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保安队长</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区局</w:t>
            </w:r>
            <w:r>
              <w:rPr>
                <w:rFonts w:hint="eastAsia" w:ascii="宋体" w:hAnsi="宋体" w:cs="宋体"/>
                <w:color w:val="000000"/>
                <w:sz w:val="21"/>
                <w:szCs w:val="21"/>
                <w:lang w:eastAsia="zh-CN"/>
              </w:rPr>
              <w:t>办公区</w:t>
            </w:r>
          </w:p>
        </w:tc>
        <w:tc>
          <w:tcPr>
            <w:tcW w:w="1973"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正常工作时间</w:t>
            </w: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新厦路</w:t>
            </w:r>
            <w:r>
              <w:rPr>
                <w:rFonts w:hint="eastAsia" w:ascii="宋体" w:hAnsi="宋体" w:cs="宋体"/>
                <w:color w:val="000000"/>
                <w:sz w:val="21"/>
                <w:szCs w:val="21"/>
                <w:lang w:eastAsia="zh-CN"/>
              </w:rPr>
              <w:t>办公区</w:t>
            </w:r>
          </w:p>
        </w:tc>
        <w:tc>
          <w:tcPr>
            <w:tcW w:w="1973"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保安队员</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14</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区局</w:t>
            </w:r>
            <w:r>
              <w:rPr>
                <w:rFonts w:hint="eastAsia" w:ascii="宋体" w:hAnsi="宋体" w:cs="宋体"/>
                <w:color w:val="000000"/>
                <w:sz w:val="21"/>
                <w:szCs w:val="21"/>
                <w:lang w:eastAsia="zh-CN"/>
              </w:rPr>
              <w:t>办公区</w:t>
            </w:r>
          </w:p>
        </w:tc>
        <w:tc>
          <w:tcPr>
            <w:tcW w:w="1973"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全天24小时三班轮值</w:t>
            </w: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continue"/>
            <w:tcBorders>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11</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新厦路</w:t>
            </w:r>
            <w:r>
              <w:rPr>
                <w:rFonts w:hint="eastAsia" w:ascii="宋体" w:hAnsi="宋体" w:cs="宋体"/>
                <w:color w:val="000000"/>
                <w:sz w:val="21"/>
                <w:szCs w:val="21"/>
                <w:lang w:eastAsia="zh-CN"/>
              </w:rPr>
              <w:t>办公区</w:t>
            </w:r>
          </w:p>
        </w:tc>
        <w:tc>
          <w:tcPr>
            <w:tcW w:w="1973" w:type="dxa"/>
            <w:vMerge w:val="continue"/>
            <w:tcBorders>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right w:val="single" w:color="000000" w:sz="8" w:space="0"/>
            </w:tcBorders>
            <w:vAlign w:val="center"/>
          </w:tcPr>
          <w:p>
            <w:pPr>
              <w:rPr>
                <w:rFonts w:hint="eastAsia" w:ascii="宋体" w:hAnsi="宋体" w:cs="宋体"/>
                <w:color w:val="000000"/>
                <w:sz w:val="21"/>
                <w:szCs w:val="21"/>
              </w:rPr>
            </w:pPr>
          </w:p>
        </w:tc>
        <w:tc>
          <w:tcPr>
            <w:tcW w:w="1276" w:type="dxa"/>
            <w:vMerge w:val="continue"/>
            <w:tcBorders>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5</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同益分局</w:t>
            </w:r>
            <w:r>
              <w:rPr>
                <w:rFonts w:hint="eastAsia" w:ascii="宋体" w:hAnsi="宋体" w:cs="宋体"/>
                <w:color w:val="000000"/>
                <w:sz w:val="21"/>
                <w:szCs w:val="21"/>
                <w:lang w:eastAsia="zh-CN"/>
              </w:rPr>
              <w:t>办公区</w:t>
            </w:r>
          </w:p>
        </w:tc>
        <w:tc>
          <w:tcPr>
            <w:tcW w:w="1973" w:type="dxa"/>
            <w:vMerge w:val="continue"/>
            <w:tcBorders>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440" w:hRule="atLeast"/>
          <w:tblCellSpacing w:w="0" w:type="dxa"/>
        </w:trPr>
        <w:tc>
          <w:tcPr>
            <w:tcW w:w="831" w:type="dxa"/>
            <w:vMerge w:val="continue"/>
            <w:tcBorders>
              <w:left w:val="single" w:color="000000" w:sz="8" w:space="0"/>
              <w:bottom w:val="single" w:color="000000" w:sz="8" w:space="0"/>
              <w:right w:val="single" w:color="000000" w:sz="8" w:space="0"/>
            </w:tcBorders>
            <w:vAlign w:val="center"/>
          </w:tcPr>
          <w:p>
            <w:pPr>
              <w:rPr>
                <w:rFonts w:hint="eastAsia" w:ascii="宋体" w:hAnsi="宋体" w:cs="宋体"/>
                <w:color w:val="000000"/>
                <w:sz w:val="21"/>
                <w:szCs w:val="21"/>
              </w:rPr>
            </w:pPr>
          </w:p>
        </w:tc>
        <w:tc>
          <w:tcPr>
            <w:tcW w:w="1281"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1276"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3</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鮀江分局</w:t>
            </w:r>
            <w:r>
              <w:rPr>
                <w:rFonts w:hint="eastAsia" w:ascii="宋体" w:hAnsi="宋体" w:cs="宋体"/>
                <w:color w:val="000000"/>
                <w:sz w:val="21"/>
                <w:szCs w:val="21"/>
                <w:lang w:eastAsia="zh-CN"/>
              </w:rPr>
              <w:t>办公区</w:t>
            </w:r>
          </w:p>
        </w:tc>
        <w:tc>
          <w:tcPr>
            <w:tcW w:w="1973" w:type="dxa"/>
            <w:vMerge w:val="continue"/>
            <w:tcBorders>
              <w:bottom w:val="single" w:color="000000" w:sz="8" w:space="0"/>
              <w:right w:val="single" w:color="000000" w:sz="8" w:space="0"/>
            </w:tcBorders>
            <w:vAlign w:val="center"/>
          </w:tcPr>
          <w:p>
            <w:pPr>
              <w:rPr>
                <w:rFonts w:hint="eastAsia" w:ascii="宋体" w:hAnsi="宋体" w:cs="宋体"/>
                <w:color w:val="000000"/>
                <w:sz w:val="21"/>
                <w:szCs w:val="21"/>
              </w:rPr>
            </w:pPr>
          </w:p>
        </w:tc>
      </w:tr>
      <w:tr>
        <w:tblPrEx>
          <w:tblLayout w:type="fixed"/>
          <w:tblCellMar>
            <w:top w:w="15" w:type="dxa"/>
            <w:left w:w="15" w:type="dxa"/>
            <w:bottom w:w="15" w:type="dxa"/>
            <w:right w:w="15" w:type="dxa"/>
          </w:tblCellMar>
        </w:tblPrEx>
        <w:trPr>
          <w:trHeight w:val="700" w:hRule="atLeast"/>
          <w:tblCellSpacing w:w="0" w:type="dxa"/>
        </w:trPr>
        <w:tc>
          <w:tcPr>
            <w:tcW w:w="83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5</w:t>
            </w:r>
          </w:p>
        </w:tc>
        <w:tc>
          <w:tcPr>
            <w:tcW w:w="1281" w:type="dxa"/>
            <w:tcBorders>
              <w:bottom w:val="single" w:color="000000" w:sz="8" w:space="0"/>
              <w:right w:val="single" w:color="000000" w:sz="8" w:space="0"/>
            </w:tcBorders>
            <w:tcMar>
              <w:top w:w="0" w:type="dxa"/>
              <w:left w:w="108" w:type="dxa"/>
              <w:bottom w:w="0" w:type="dxa"/>
              <w:right w:w="118" w:type="dxa"/>
            </w:tcMar>
            <w:vAlign w:val="center"/>
          </w:tcPr>
          <w:p>
            <w:pPr>
              <w:pStyle w:val="936"/>
              <w:spacing w:after="240"/>
              <w:jc w:val="center"/>
              <w:textAlignment w:val="center"/>
              <w:rPr>
                <w:rFonts w:hint="eastAsia" w:ascii="宋体" w:hAnsi="宋体" w:cs="宋体"/>
                <w:color w:val="000000"/>
              </w:rPr>
            </w:pPr>
            <w:r>
              <w:rPr>
                <w:rFonts w:hint="eastAsia" w:ascii="宋体" w:hAnsi="宋体" w:cs="宋体"/>
                <w:color w:val="000000"/>
                <w:sz w:val="21"/>
                <w:szCs w:val="21"/>
              </w:rPr>
              <w:t>会议服务</w:t>
            </w:r>
          </w:p>
          <w:p>
            <w:pPr>
              <w:pStyle w:val="936"/>
              <w:spacing w:before="240"/>
              <w:jc w:val="center"/>
              <w:textAlignment w:val="center"/>
              <w:rPr>
                <w:rFonts w:hint="eastAsia" w:ascii="宋体" w:hAnsi="宋体" w:cs="宋体"/>
                <w:color w:val="000000"/>
              </w:rPr>
            </w:pPr>
            <w:r>
              <w:rPr>
                <w:rFonts w:hint="eastAsia" w:ascii="宋体" w:hAnsi="宋体" w:cs="宋体"/>
                <w:color w:val="000000"/>
                <w:sz w:val="21"/>
                <w:szCs w:val="21"/>
              </w:rPr>
              <w:t>（2人）</w:t>
            </w:r>
          </w:p>
        </w:tc>
        <w:tc>
          <w:tcPr>
            <w:tcW w:w="127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会务员</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2</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eastAsia="宋体" w:cs="宋体"/>
                <w:color w:val="000000"/>
                <w:lang w:eastAsia="zh-CN"/>
              </w:rPr>
            </w:pPr>
            <w:r>
              <w:rPr>
                <w:rFonts w:hint="eastAsia" w:ascii="宋体" w:hAnsi="宋体" w:cs="宋体"/>
                <w:color w:val="000000"/>
                <w:sz w:val="21"/>
                <w:szCs w:val="21"/>
              </w:rPr>
              <w:t>区局</w:t>
            </w:r>
            <w:r>
              <w:rPr>
                <w:rFonts w:hint="eastAsia" w:ascii="宋体" w:hAnsi="宋体" w:cs="宋体"/>
                <w:color w:val="000000"/>
                <w:sz w:val="21"/>
                <w:szCs w:val="21"/>
                <w:lang w:eastAsia="zh-CN"/>
              </w:rPr>
              <w:t>办公区</w:t>
            </w:r>
          </w:p>
        </w:tc>
        <w:tc>
          <w:tcPr>
            <w:tcW w:w="197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正常工作时间</w:t>
            </w:r>
          </w:p>
        </w:tc>
      </w:tr>
      <w:tr>
        <w:tblPrEx>
          <w:tblLayout w:type="fixed"/>
          <w:tblCellMar>
            <w:top w:w="15" w:type="dxa"/>
            <w:left w:w="15" w:type="dxa"/>
            <w:bottom w:w="15" w:type="dxa"/>
            <w:right w:w="15" w:type="dxa"/>
          </w:tblCellMar>
        </w:tblPrEx>
        <w:trPr>
          <w:trHeight w:val="440" w:hRule="atLeast"/>
          <w:tblCellSpacing w:w="0" w:type="dxa"/>
        </w:trPr>
        <w:tc>
          <w:tcPr>
            <w:tcW w:w="831"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c>
          <w:tcPr>
            <w:tcW w:w="128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合计</w:t>
            </w:r>
          </w:p>
        </w:tc>
        <w:tc>
          <w:tcPr>
            <w:tcW w:w="127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c>
          <w:tcPr>
            <w:tcW w:w="927"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1"/>
                <w:szCs w:val="21"/>
              </w:rPr>
              <w:t>69</w:t>
            </w:r>
          </w:p>
        </w:tc>
        <w:tc>
          <w:tcPr>
            <w:tcW w:w="181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1"/>
                <w:szCs w:val="21"/>
              </w:rPr>
              <w:t> </w:t>
            </w:r>
          </w:p>
        </w:tc>
        <w:tc>
          <w:tcPr>
            <w:tcW w:w="1973"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hint="eastAsia" w:ascii="宋体" w:hAnsi="宋体" w:cs="宋体"/>
                <w:color w:val="000000"/>
              </w:rPr>
            </w:pPr>
            <w:r>
              <w:rPr>
                <w:rFonts w:hint="eastAsia" w:ascii="宋体" w:hAnsi="宋体" w:cs="宋体"/>
                <w:color w:val="000000"/>
              </w:rPr>
              <w:t> </w:t>
            </w:r>
          </w:p>
        </w:tc>
      </w:tr>
    </w:tbl>
    <w:p>
      <w:pPr>
        <w:pStyle w:val="7"/>
        <w:keepNext w:val="0"/>
        <w:spacing w:before="0" w:after="0" w:line="360" w:lineRule="auto"/>
        <w:rPr>
          <w:rFonts w:hint="eastAsia" w:ascii="宋体" w:hAnsi="宋体" w:eastAsia="宋体" w:cs="宋体"/>
          <w:bCs/>
          <w:sz w:val="28"/>
          <w:szCs w:val="28"/>
        </w:rPr>
      </w:pPr>
      <w:bookmarkStart w:id="41" w:name="_Toc256000027"/>
      <w:r>
        <w:rPr>
          <w:rFonts w:hint="eastAsia" w:ascii="宋体" w:hAnsi="宋体" w:eastAsia="宋体" w:cs="宋体"/>
        </w:rPr>
        <w:t>4.4优选资质/优选指标</w:t>
      </w:r>
      <w:bookmarkEnd w:id="41"/>
    </w:p>
    <w:tbl>
      <w:tblPr>
        <w:tblStyle w:val="79"/>
        <w:tblW w:w="9457" w:type="dxa"/>
        <w:tblInd w:w="30" w:type="dxa"/>
        <w:tblLayout w:type="fixed"/>
        <w:tblCellMar>
          <w:top w:w="15" w:type="dxa"/>
          <w:left w:w="15" w:type="dxa"/>
          <w:bottom w:w="15" w:type="dxa"/>
          <w:right w:w="15" w:type="dxa"/>
        </w:tblCellMar>
      </w:tblPr>
      <w:tblGrid>
        <w:gridCol w:w="1050"/>
        <w:gridCol w:w="2101"/>
        <w:gridCol w:w="2102"/>
        <w:gridCol w:w="2102"/>
        <w:gridCol w:w="2102"/>
      </w:tblGrid>
      <w:tr>
        <w:tblPrEx>
          <w:tblLayout w:type="fixed"/>
          <w:tblCellMar>
            <w:top w:w="15" w:type="dxa"/>
            <w:left w:w="15" w:type="dxa"/>
            <w:bottom w:w="15" w:type="dxa"/>
            <w:right w:w="15" w:type="dxa"/>
          </w:tblCellMar>
        </w:tblPrEx>
        <w:tc>
          <w:tcPr>
            <w:tcW w:w="1050"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2101"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人员类别</w:t>
            </w:r>
          </w:p>
        </w:tc>
        <w:tc>
          <w:tcPr>
            <w:tcW w:w="2102"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人员岗位</w:t>
            </w:r>
          </w:p>
        </w:tc>
        <w:tc>
          <w:tcPr>
            <w:tcW w:w="2102"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人员要求</w:t>
            </w:r>
          </w:p>
        </w:tc>
        <w:tc>
          <w:tcPr>
            <w:tcW w:w="2102"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是否作为加分项</w:t>
            </w:r>
          </w:p>
        </w:tc>
      </w:tr>
      <w:tr>
        <w:tblPrEx>
          <w:tblLayout w:type="fixed"/>
          <w:tblCellMar>
            <w:top w:w="15" w:type="dxa"/>
            <w:left w:w="15" w:type="dxa"/>
            <w:bottom w:w="15" w:type="dxa"/>
            <w:right w:w="15" w:type="dxa"/>
          </w:tblCellMar>
        </w:tblPrEx>
        <w:tc>
          <w:tcPr>
            <w:tcW w:w="105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210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管理团队</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业务主管</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负责管理整个项目，要求有一定的物业项目管理工作经验。</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是</w:t>
            </w:r>
          </w:p>
        </w:tc>
      </w:tr>
      <w:tr>
        <w:tblPrEx>
          <w:tblLayout w:type="fixed"/>
        </w:tblPrEx>
        <w:tc>
          <w:tcPr>
            <w:tcW w:w="105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宋体" w:hAnsi="宋体" w:cs="宋体"/>
                <w:color w:val="000000"/>
                <w:sz w:val="21"/>
                <w:szCs w:val="21"/>
              </w:rPr>
            </w:pPr>
            <w:r>
              <w:rPr>
                <w:rFonts w:hint="eastAsia" w:ascii="宋体" w:hAnsi="宋体" w:cs="宋体"/>
                <w:color w:val="000000"/>
                <w:sz w:val="21"/>
                <w:szCs w:val="21"/>
              </w:rPr>
              <w:t>2</w:t>
            </w:r>
          </w:p>
        </w:tc>
        <w:tc>
          <w:tcPr>
            <w:tcW w:w="210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管理团队</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项目内务助理</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熟练使用各办公软件、打印设备。</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否</w:t>
            </w:r>
          </w:p>
        </w:tc>
      </w:tr>
      <w:tr>
        <w:tblPrEx>
          <w:tblLayout w:type="fixed"/>
        </w:tblPrEx>
        <w:tc>
          <w:tcPr>
            <w:tcW w:w="105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center"/>
              <w:rPr>
                <w:rFonts w:hint="eastAsia" w:ascii="宋体" w:hAnsi="宋体" w:cs="宋体"/>
                <w:color w:val="000000"/>
                <w:sz w:val="21"/>
                <w:szCs w:val="21"/>
              </w:rPr>
            </w:pPr>
            <w:r>
              <w:rPr>
                <w:rFonts w:hint="eastAsia" w:ascii="宋体" w:hAnsi="宋体" w:cs="宋体"/>
                <w:color w:val="000000"/>
                <w:sz w:val="21"/>
                <w:szCs w:val="21"/>
              </w:rPr>
              <w:t>3</w:t>
            </w:r>
          </w:p>
        </w:tc>
        <w:tc>
          <w:tcPr>
            <w:tcW w:w="210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技术团队</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保安人员</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退伍军人优先考虑；其中保安队长应具有一定的保安队伍管理工作经验。</w:t>
            </w:r>
          </w:p>
        </w:tc>
        <w:tc>
          <w:tcPr>
            <w:tcW w:w="21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是</w:t>
            </w:r>
          </w:p>
        </w:tc>
      </w:tr>
    </w:tbl>
    <w:p>
      <w:pPr>
        <w:pStyle w:val="6"/>
        <w:keepNext w:val="0"/>
        <w:spacing w:before="0" w:after="0" w:line="360" w:lineRule="auto"/>
        <w:jc w:val="center"/>
        <w:rPr>
          <w:rFonts w:hint="eastAsia" w:ascii="宋体" w:hAnsi="宋体" w:cs="宋体"/>
          <w:bCs/>
          <w:sz w:val="32"/>
          <w:szCs w:val="32"/>
        </w:rPr>
      </w:pPr>
      <w:bookmarkStart w:id="42" w:name="_Toc256000028"/>
      <w:r>
        <w:rPr>
          <w:rFonts w:hint="eastAsia" w:ascii="宋体" w:hAnsi="宋体" w:cs="宋体"/>
          <w:kern w:val="36"/>
        </w:rPr>
        <w:t>5管理实施要求</w:t>
      </w:r>
      <w:bookmarkEnd w:id="42"/>
    </w:p>
    <w:p>
      <w:pPr>
        <w:pStyle w:val="935"/>
        <w:spacing w:line="360" w:lineRule="auto"/>
        <w:ind w:firstLine="420"/>
        <w:rPr>
          <w:rFonts w:hint="eastAsia" w:ascii="宋体" w:hAnsi="宋体" w:cs="宋体"/>
        </w:rPr>
      </w:pPr>
      <w:r>
        <w:rPr>
          <w:rFonts w:hint="eastAsia" w:ascii="宋体" w:hAnsi="宋体" w:cs="宋体"/>
          <w:sz w:val="21"/>
          <w:szCs w:val="21"/>
        </w:rPr>
        <w:t>（1）本项目各类用水、用电（公共用水用电、设备用水用电等）由采购人负责，中标人必须严格遵守采购人有关节能减排等用水用电相关规定。</w:t>
      </w:r>
    </w:p>
    <w:p>
      <w:pPr>
        <w:pStyle w:val="935"/>
        <w:spacing w:line="360" w:lineRule="auto"/>
        <w:ind w:firstLine="420"/>
        <w:rPr>
          <w:rFonts w:hint="eastAsia" w:ascii="宋体" w:hAnsi="宋体" w:cs="宋体"/>
        </w:rPr>
      </w:pPr>
      <w:r>
        <w:rPr>
          <w:rFonts w:hint="eastAsia" w:ascii="宋体" w:hAnsi="宋体" w:cs="宋体"/>
          <w:sz w:val="21"/>
          <w:szCs w:val="21"/>
        </w:rPr>
        <w:t>（2）中标人必须接受采购人指定的管理部门的检查监督，包括工作质量、工作强度、安全作业及相关职能部门根据有关政策规定日常检查、监督或评比工作等。</w:t>
      </w:r>
    </w:p>
    <w:p>
      <w:pPr>
        <w:pStyle w:val="935"/>
        <w:spacing w:line="360" w:lineRule="auto"/>
        <w:ind w:firstLine="420"/>
        <w:rPr>
          <w:rFonts w:hint="eastAsia" w:ascii="宋体" w:hAnsi="宋体" w:cs="宋体"/>
        </w:rPr>
      </w:pPr>
      <w:r>
        <w:rPr>
          <w:rFonts w:hint="eastAsia" w:ascii="宋体" w:hAnsi="宋体" w:cs="宋体"/>
          <w:sz w:val="21"/>
          <w:szCs w:val="21"/>
        </w:rPr>
        <w:t>（3）为便于双方在服务管理中的交流沟通，中标人应在采购人处设立管理处，管理处场地由采购人提供。</w:t>
      </w:r>
    </w:p>
    <w:p>
      <w:pPr>
        <w:pStyle w:val="935"/>
        <w:spacing w:line="360" w:lineRule="auto"/>
        <w:ind w:firstLine="420"/>
        <w:rPr>
          <w:rFonts w:hint="eastAsia" w:ascii="宋体" w:hAnsi="宋体" w:cs="宋体"/>
        </w:rPr>
      </w:pPr>
      <w:r>
        <w:rPr>
          <w:rFonts w:hint="eastAsia" w:ascii="宋体" w:hAnsi="宋体" w:cs="宋体"/>
          <w:sz w:val="21"/>
          <w:szCs w:val="21"/>
        </w:rPr>
        <w:t>（4）如中标人驻场人员严重影响采购人的工作秩序，经采购人查证属实，通知中标人5天内撤回该工作人员，并追究该人员相应法律责任，中标人在5天内另派工作人员驻场工作。</w:t>
      </w:r>
    </w:p>
    <w:p>
      <w:pPr>
        <w:pStyle w:val="935"/>
        <w:spacing w:line="360" w:lineRule="auto"/>
        <w:ind w:firstLine="420"/>
        <w:rPr>
          <w:rFonts w:hint="eastAsia" w:ascii="宋体" w:hAnsi="宋体" w:cs="宋体"/>
        </w:rPr>
      </w:pPr>
      <w:r>
        <w:rPr>
          <w:rFonts w:hint="eastAsia" w:ascii="宋体" w:hAnsi="宋体" w:cs="宋体"/>
          <w:sz w:val="21"/>
          <w:szCs w:val="21"/>
        </w:rPr>
        <w:t>（5）中标人应在派出工作人员（人员变动）10天前，将该工作人员的姓名、相片、身份证资料等造册交由采购人备案，并在备案前将资料上传公安部门确认没有犯罪前科，如因审查不严出现工作人员有违法犯罪记录并因违反犯罪或其他过错造成的损失，中标人应承担连带赔偿责任。</w:t>
      </w:r>
    </w:p>
    <w:p>
      <w:pPr>
        <w:pStyle w:val="935"/>
        <w:spacing w:line="360" w:lineRule="auto"/>
        <w:ind w:firstLine="420"/>
        <w:rPr>
          <w:rFonts w:hint="eastAsia" w:ascii="宋体" w:hAnsi="宋体" w:cs="宋体"/>
        </w:rPr>
      </w:pPr>
      <w:r>
        <w:rPr>
          <w:rFonts w:hint="eastAsia" w:ascii="宋体" w:hAnsi="宋体" w:cs="宋体"/>
          <w:sz w:val="21"/>
          <w:szCs w:val="21"/>
        </w:rPr>
        <w:t>（6）做好新、旧物业的交接工作，包括相关设施如物业服务用房、公共设施和相关资料等的移交工作。</w:t>
      </w:r>
    </w:p>
    <w:p>
      <w:pPr>
        <w:pStyle w:val="6"/>
        <w:keepNext w:val="0"/>
        <w:spacing w:before="0" w:after="0" w:line="360" w:lineRule="auto"/>
        <w:jc w:val="center"/>
        <w:rPr>
          <w:rFonts w:hint="eastAsia" w:ascii="宋体" w:hAnsi="宋体" w:cs="宋体"/>
          <w:bCs/>
          <w:sz w:val="32"/>
          <w:szCs w:val="32"/>
        </w:rPr>
      </w:pPr>
      <w:bookmarkStart w:id="43" w:name="_Toc256000029"/>
      <w:r>
        <w:rPr>
          <w:rFonts w:hint="eastAsia" w:ascii="宋体" w:hAnsi="宋体" w:cs="宋体"/>
          <w:kern w:val="36"/>
        </w:rPr>
        <w:t>6风险管控要求</w:t>
      </w:r>
      <w:bookmarkEnd w:id="43"/>
    </w:p>
    <w:p>
      <w:pPr>
        <w:pStyle w:val="935"/>
        <w:spacing w:line="360" w:lineRule="auto"/>
        <w:ind w:firstLine="420"/>
        <w:rPr>
          <w:rFonts w:hint="eastAsia" w:ascii="宋体" w:hAnsi="宋体" w:cs="宋体"/>
        </w:rPr>
      </w:pPr>
      <w:r>
        <w:rPr>
          <w:rFonts w:hint="eastAsia" w:ascii="宋体" w:hAnsi="宋体" w:cs="宋体"/>
          <w:sz w:val="21"/>
          <w:szCs w:val="21"/>
        </w:rPr>
        <w:t>（1）采购人与中标人提供服务的劳动者之间不存在劳动合同关系，中标人不得将对劳动者的法定义务转嫁于采购人。投标人负责服务人员的人身安全、健康、意外以及劳动争议等所有问题处置，承担所有人事风险责任（包括法律、经济赔偿责任）。</w:t>
      </w:r>
    </w:p>
    <w:p>
      <w:pPr>
        <w:pStyle w:val="935"/>
        <w:spacing w:line="360" w:lineRule="auto"/>
        <w:ind w:firstLine="420"/>
        <w:rPr>
          <w:rFonts w:hint="eastAsia" w:ascii="宋体" w:hAnsi="宋体" w:cs="宋体"/>
        </w:rPr>
      </w:pPr>
      <w:r>
        <w:rPr>
          <w:rFonts w:hint="eastAsia" w:ascii="宋体" w:hAnsi="宋体" w:cs="宋体"/>
          <w:sz w:val="21"/>
          <w:szCs w:val="21"/>
        </w:rPr>
        <w:t>（2）中标人在服务期内由于管理不善造成群众、采购人等相关人员人身伤亡和财产损失的，由中标人负责赔偿。</w:t>
      </w:r>
    </w:p>
    <w:p>
      <w:pPr>
        <w:pStyle w:val="935"/>
        <w:spacing w:line="360" w:lineRule="auto"/>
        <w:ind w:firstLine="420"/>
        <w:rPr>
          <w:rFonts w:hint="eastAsia" w:ascii="宋体" w:hAnsi="宋体" w:cs="宋体"/>
        </w:rPr>
      </w:pPr>
      <w:r>
        <w:rPr>
          <w:rFonts w:hint="eastAsia" w:ascii="宋体" w:hAnsi="宋体" w:cs="宋体"/>
          <w:sz w:val="21"/>
          <w:szCs w:val="21"/>
        </w:rPr>
        <w:t>（3）中标人所委派的工作人员在本项目范围内发生违法、违规行为的，所造成一切后果及损失，由中标人承担责任和负责赔偿。</w:t>
      </w:r>
    </w:p>
    <w:p>
      <w:pPr>
        <w:pStyle w:val="6"/>
        <w:keepNext w:val="0"/>
        <w:spacing w:before="0" w:after="0" w:line="360" w:lineRule="auto"/>
        <w:jc w:val="center"/>
        <w:rPr>
          <w:rFonts w:hint="eastAsia" w:ascii="宋体" w:hAnsi="宋体" w:cs="宋体"/>
          <w:bCs/>
          <w:sz w:val="32"/>
          <w:szCs w:val="32"/>
        </w:rPr>
      </w:pPr>
      <w:bookmarkStart w:id="44" w:name="_Toc256000030"/>
      <w:r>
        <w:rPr>
          <w:rFonts w:hint="eastAsia" w:ascii="宋体" w:hAnsi="宋体" w:cs="宋体"/>
          <w:kern w:val="36"/>
        </w:rPr>
        <w:t>7履约验收要求</w:t>
      </w:r>
      <w:bookmarkEnd w:id="44"/>
    </w:p>
    <w:p>
      <w:pPr>
        <w:pStyle w:val="7"/>
        <w:keepNext w:val="0"/>
        <w:spacing w:before="0" w:after="0" w:line="360" w:lineRule="auto"/>
        <w:rPr>
          <w:rFonts w:hint="eastAsia" w:ascii="宋体" w:hAnsi="宋体" w:eastAsia="宋体" w:cs="宋体"/>
          <w:bCs/>
          <w:sz w:val="28"/>
          <w:szCs w:val="28"/>
        </w:rPr>
      </w:pPr>
      <w:bookmarkStart w:id="45" w:name="_Toc256000031"/>
      <w:r>
        <w:rPr>
          <w:rFonts w:hint="eastAsia" w:ascii="宋体" w:hAnsi="宋体" w:eastAsia="宋体" w:cs="宋体"/>
        </w:rPr>
        <w:t>7.1总体要求</w:t>
      </w:r>
      <w:bookmarkEnd w:id="45"/>
    </w:p>
    <w:tbl>
      <w:tblPr>
        <w:tblStyle w:val="79"/>
        <w:tblW w:w="9457" w:type="dxa"/>
        <w:tblInd w:w="30" w:type="dxa"/>
        <w:tblLayout w:type="fixed"/>
        <w:tblCellMar>
          <w:top w:w="15" w:type="dxa"/>
          <w:left w:w="15" w:type="dxa"/>
          <w:bottom w:w="15" w:type="dxa"/>
          <w:right w:w="15" w:type="dxa"/>
        </w:tblCellMar>
      </w:tblPr>
      <w:tblGrid>
        <w:gridCol w:w="1981"/>
        <w:gridCol w:w="7476"/>
      </w:tblGrid>
      <w:tr>
        <w:tblPrEx>
          <w:tblLayout w:type="fixed"/>
          <w:tblCellMar>
            <w:top w:w="15" w:type="dxa"/>
            <w:left w:w="15" w:type="dxa"/>
            <w:bottom w:w="15" w:type="dxa"/>
            <w:right w:w="15" w:type="dxa"/>
          </w:tblCellMar>
        </w:tblPrEx>
        <w:tc>
          <w:tcPr>
            <w:tcW w:w="1981"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验收名称</w:t>
            </w:r>
          </w:p>
        </w:tc>
        <w:tc>
          <w:tcPr>
            <w:tcW w:w="7476"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验收要求</w:t>
            </w:r>
          </w:p>
        </w:tc>
      </w:tr>
      <w:tr>
        <w:tblPrEx>
          <w:tblLayout w:type="fixed"/>
          <w:tblCellMar>
            <w:top w:w="15" w:type="dxa"/>
            <w:left w:w="15" w:type="dxa"/>
            <w:bottom w:w="15" w:type="dxa"/>
            <w:right w:w="15" w:type="dxa"/>
          </w:tblCellMar>
        </w:tblPrEx>
        <w:tc>
          <w:tcPr>
            <w:tcW w:w="198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综合考评</w:t>
            </w:r>
          </w:p>
        </w:tc>
        <w:tc>
          <w:tcPr>
            <w:tcW w:w="747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（1）采购人对中标人进行定期与不定期检查和监督，对检查中发现的问题可口头或书面通知中标人限期整改，对中标人素质不符合使用要求的员工，采购人有权用书面形式通知中标人调换。</w:t>
            </w:r>
            <w:r>
              <w:rPr>
                <w:rFonts w:hint="eastAsia" w:ascii="宋体" w:hAnsi="宋体" w:cs="宋体"/>
                <w:color w:val="000000"/>
                <w:sz w:val="21"/>
                <w:szCs w:val="21"/>
              </w:rPr>
              <w:br w:type="textWrapping"/>
            </w:r>
            <w:r>
              <w:rPr>
                <w:rFonts w:hint="eastAsia" w:ascii="宋体" w:hAnsi="宋体" w:cs="宋体"/>
                <w:color w:val="000000"/>
                <w:sz w:val="21"/>
                <w:szCs w:val="21"/>
              </w:rPr>
              <w:t>（2）采购人每个月对服务质量进行考评，综合评价中标人服务质量，考核结果直接与当月服务费挂钩。当期考核分不低于95分的，为考核合格，全额支付服务费用，中标人应对存在的扣分项积极改善；考核分为90-94分的，采购人将对中标人做出警告处理，从中标人第二次受到警告处理起，采购人有权直接在服务费中扣减对应月份服务费的3%作为违约金；考核分为80-89分的，采购人有权直接在服务费中扣减对应月份服务费的5%作为违约金。</w:t>
            </w:r>
            <w:r>
              <w:rPr>
                <w:rFonts w:hint="eastAsia" w:ascii="宋体" w:hAnsi="宋体" w:cs="宋体"/>
                <w:color w:val="000000"/>
                <w:sz w:val="21"/>
                <w:szCs w:val="21"/>
              </w:rPr>
              <w:br w:type="textWrapping"/>
            </w:r>
            <w:r>
              <w:rPr>
                <w:rFonts w:hint="eastAsia" w:ascii="宋体" w:hAnsi="宋体" w:cs="宋体"/>
                <w:color w:val="000000"/>
                <w:sz w:val="21"/>
                <w:szCs w:val="21"/>
              </w:rPr>
              <w:t>（3）项目服务期间中标人累计出现两次考核分为80-89分的，或者出现一次考核分低于80分的，采购人有权解除合同，不予支付对应期间服务费，且不给予中标人任何补偿。</w:t>
            </w:r>
            <w:r>
              <w:rPr>
                <w:rFonts w:hint="eastAsia" w:ascii="宋体" w:hAnsi="宋体" w:cs="宋体"/>
                <w:color w:val="000000"/>
                <w:sz w:val="21"/>
                <w:szCs w:val="21"/>
              </w:rPr>
              <w:br w:type="textWrapping"/>
            </w:r>
            <w:r>
              <w:rPr>
                <w:rFonts w:hint="eastAsia" w:ascii="宋体" w:hAnsi="宋体" w:cs="宋体"/>
                <w:color w:val="000000"/>
                <w:sz w:val="21"/>
                <w:szCs w:val="21"/>
              </w:rPr>
              <w:t>（4）中标人发生《物业管理服务综合考评表》之外的其他违约行为，采购人可根据采购文件要求和投标文件承诺，追究相应的违约责任。如人员安排不到位的，扣除相应人员的服务费用，且中标人需支付当月服务费的5%作为违约金。</w:t>
            </w:r>
            <w:r>
              <w:rPr>
                <w:rFonts w:hint="eastAsia" w:ascii="宋体" w:hAnsi="宋体" w:cs="宋体"/>
                <w:color w:val="000000"/>
                <w:sz w:val="21"/>
                <w:szCs w:val="21"/>
              </w:rPr>
              <w:br w:type="textWrapping"/>
            </w:r>
            <w:r>
              <w:rPr>
                <w:rFonts w:hint="eastAsia" w:ascii="宋体" w:hAnsi="宋体" w:cs="宋体"/>
                <w:color w:val="000000"/>
                <w:sz w:val="21"/>
                <w:szCs w:val="21"/>
              </w:rPr>
              <w:t>（5）在审计、检查中发现中标人有提供虚假资料等情形导致中标、验收不真实的，采购人有权依法追究中标人违约责任并扣减未支付及追讨已支付服务费。</w:t>
            </w:r>
          </w:p>
        </w:tc>
      </w:tr>
    </w:tbl>
    <w:p>
      <w:pPr>
        <w:pStyle w:val="7"/>
        <w:keepNext w:val="0"/>
        <w:spacing w:before="0" w:after="0" w:line="360" w:lineRule="auto"/>
        <w:rPr>
          <w:rFonts w:hint="eastAsia" w:ascii="宋体" w:hAnsi="宋体" w:eastAsia="宋体" w:cs="宋体"/>
          <w:bCs/>
          <w:sz w:val="28"/>
          <w:szCs w:val="28"/>
        </w:rPr>
      </w:pPr>
      <w:bookmarkStart w:id="46" w:name="_Toc256000032"/>
      <w:r>
        <w:rPr>
          <w:rFonts w:hint="eastAsia" w:ascii="宋体" w:hAnsi="宋体" w:eastAsia="宋体" w:cs="宋体"/>
        </w:rPr>
        <w:t>7.2综合考评表及验收书</w:t>
      </w:r>
      <w:bookmarkEnd w:id="46"/>
    </w:p>
    <w:p>
      <w:pPr>
        <w:pStyle w:val="935"/>
        <w:spacing w:line="360" w:lineRule="auto"/>
        <w:rPr>
          <w:rFonts w:hint="eastAsia" w:ascii="宋体" w:hAnsi="宋体" w:cs="宋体"/>
        </w:rPr>
      </w:pPr>
      <w:r>
        <w:rPr>
          <w:rFonts w:hint="eastAsia" w:ascii="宋体" w:hAnsi="宋体" w:cs="宋体"/>
          <w:b/>
          <w:bCs/>
          <w:spacing w:val="10"/>
        </w:rPr>
        <w:t>（1）物业管理服务综合考评表    </w:t>
      </w:r>
    </w:p>
    <w:p>
      <w:pPr>
        <w:pStyle w:val="935"/>
        <w:spacing w:line="360" w:lineRule="auto"/>
        <w:rPr>
          <w:rFonts w:hint="eastAsia" w:ascii="宋体" w:hAnsi="宋体" w:cs="宋体"/>
        </w:rPr>
      </w:pPr>
      <w:r>
        <w:rPr>
          <w:rFonts w:hint="eastAsia" w:ascii="宋体" w:hAnsi="宋体" w:cs="宋体"/>
          <w:b/>
          <w:bCs/>
          <w:spacing w:val="10"/>
        </w:rPr>
        <w:t>             </w:t>
      </w:r>
    </w:p>
    <w:p>
      <w:pPr>
        <w:pStyle w:val="935"/>
        <w:spacing w:line="360" w:lineRule="auto"/>
        <w:rPr>
          <w:rFonts w:hint="eastAsia" w:ascii="宋体" w:hAnsi="宋体" w:cs="宋体"/>
        </w:rPr>
      </w:pPr>
      <w:r>
        <w:rPr>
          <w:rFonts w:hint="eastAsia" w:ascii="宋体" w:hAnsi="宋体" w:cs="宋体"/>
          <w:b/>
          <w:bCs/>
          <w:spacing w:val="10"/>
        </w:rPr>
        <w:t>              物业管理服务综合考评表</w:t>
      </w:r>
    </w:p>
    <w:p>
      <w:pPr>
        <w:pStyle w:val="947"/>
        <w:spacing w:line="360" w:lineRule="auto"/>
        <w:rPr>
          <w:rFonts w:hint="eastAsia" w:ascii="宋体" w:hAnsi="宋体" w:cs="宋体"/>
        </w:rPr>
      </w:pPr>
      <w:r>
        <w:rPr>
          <w:rFonts w:hint="eastAsia" w:ascii="宋体" w:hAnsi="宋体" w:cs="宋体"/>
          <w:sz w:val="21"/>
          <w:szCs w:val="21"/>
        </w:rPr>
        <w:t>                               考核所属期：  年  月</w:t>
      </w:r>
    </w:p>
    <w:tbl>
      <w:tblPr>
        <w:tblStyle w:val="946"/>
        <w:tblW w:w="8772" w:type="dxa"/>
        <w:tblCellSpacing w:w="0" w:type="dxa"/>
        <w:tblInd w:w="440" w:type="dxa"/>
        <w:tblLayout w:type="fixed"/>
        <w:tblCellMar>
          <w:top w:w="15" w:type="dxa"/>
          <w:left w:w="15" w:type="dxa"/>
          <w:bottom w:w="15" w:type="dxa"/>
          <w:right w:w="15" w:type="dxa"/>
        </w:tblCellMar>
      </w:tblPr>
      <w:tblGrid>
        <w:gridCol w:w="1854"/>
        <w:gridCol w:w="4762"/>
        <w:gridCol w:w="1254"/>
        <w:gridCol w:w="902"/>
      </w:tblGrid>
      <w:tr>
        <w:tblPrEx>
          <w:tblLayout w:type="fixed"/>
          <w:tblCellMar>
            <w:top w:w="15" w:type="dxa"/>
            <w:left w:w="15" w:type="dxa"/>
            <w:bottom w:w="15" w:type="dxa"/>
            <w:right w:w="15" w:type="dxa"/>
          </w:tblCellMar>
        </w:tblPrEx>
        <w:trPr>
          <w:trHeight w:val="700" w:hRule="atLeast"/>
          <w:tblCellSpacing w:w="0" w:type="dxa"/>
        </w:trPr>
        <w:tc>
          <w:tcPr>
            <w:tcW w:w="1854" w:type="dxa"/>
            <w:tcBorders>
              <w:top w:val="single" w:color="000000" w:sz="8" w:space="0"/>
              <w:left w:val="single" w:color="000000" w:sz="8" w:space="0"/>
              <w:bottom w:val="single" w:color="000000" w:sz="8" w:space="0"/>
              <w:right w:val="single" w:color="000000" w:sz="8" w:space="0"/>
            </w:tcBorders>
            <w:tcMar>
              <w:top w:w="0" w:type="dxa"/>
              <w:left w:w="13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b/>
                <w:bCs/>
                <w:color w:val="000000"/>
                <w:sz w:val="21"/>
                <w:szCs w:val="21"/>
              </w:rPr>
              <w:t>项目</w:t>
            </w:r>
          </w:p>
        </w:tc>
        <w:tc>
          <w:tcPr>
            <w:tcW w:w="4762" w:type="dxa"/>
            <w:tcBorders>
              <w:top w:val="single" w:color="000000" w:sz="8" w:space="0"/>
              <w:bottom w:val="single" w:color="000000" w:sz="8" w:space="0"/>
              <w:right w:val="single" w:color="000000" w:sz="8" w:space="0"/>
            </w:tcBorders>
            <w:tcMar>
              <w:top w:w="0" w:type="dxa"/>
              <w:left w:w="10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b/>
                <w:bCs/>
                <w:color w:val="000000"/>
                <w:sz w:val="21"/>
                <w:szCs w:val="21"/>
              </w:rPr>
              <w:t>考核内容</w:t>
            </w:r>
          </w:p>
        </w:tc>
        <w:tc>
          <w:tcPr>
            <w:tcW w:w="1254" w:type="dxa"/>
            <w:tcBorders>
              <w:top w:val="single" w:color="000000" w:sz="8" w:space="0"/>
              <w:bottom w:val="single" w:color="000000" w:sz="8" w:space="0"/>
              <w:right w:val="single" w:color="000000" w:sz="8" w:space="0"/>
            </w:tcBorders>
            <w:tcMar>
              <w:top w:w="0" w:type="dxa"/>
              <w:left w:w="10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b/>
                <w:bCs/>
                <w:color w:val="000000"/>
                <w:sz w:val="21"/>
                <w:szCs w:val="21"/>
              </w:rPr>
              <w:t>扣分</w:t>
            </w:r>
            <w:r>
              <w:rPr>
                <w:rFonts w:hint="eastAsia" w:ascii="宋体" w:hAnsi="宋体" w:cs="宋体"/>
                <w:b/>
                <w:bCs/>
                <w:color w:val="000000"/>
                <w:sz w:val="21"/>
                <w:szCs w:val="21"/>
              </w:rPr>
              <w:br w:type="textWrapping"/>
            </w:r>
            <w:r>
              <w:rPr>
                <w:rFonts w:hint="eastAsia" w:ascii="宋体" w:hAnsi="宋体" w:cs="宋体"/>
                <w:b/>
                <w:bCs/>
                <w:color w:val="000000"/>
                <w:sz w:val="21"/>
                <w:szCs w:val="21"/>
              </w:rPr>
              <w:t>小计</w:t>
            </w:r>
          </w:p>
        </w:tc>
        <w:tc>
          <w:tcPr>
            <w:tcW w:w="902" w:type="dxa"/>
            <w:tcBorders>
              <w:top w:val="single" w:color="000000" w:sz="8" w:space="0"/>
              <w:bottom w:val="single" w:color="000000" w:sz="8" w:space="0"/>
              <w:right w:val="single" w:color="000000" w:sz="8" w:space="0"/>
            </w:tcBorders>
            <w:tcMar>
              <w:top w:w="0" w:type="dxa"/>
              <w:left w:w="10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b/>
                <w:bCs/>
                <w:color w:val="000000"/>
                <w:sz w:val="21"/>
                <w:szCs w:val="21"/>
              </w:rPr>
              <w:t>备注</w:t>
            </w:r>
          </w:p>
        </w:tc>
      </w:tr>
      <w:tr>
        <w:tblPrEx>
          <w:tblLayout w:type="fixed"/>
          <w:tblCellMar>
            <w:top w:w="15" w:type="dxa"/>
            <w:left w:w="15" w:type="dxa"/>
            <w:bottom w:w="15" w:type="dxa"/>
            <w:right w:w="15" w:type="dxa"/>
          </w:tblCellMar>
        </w:tblPrEx>
        <w:trPr>
          <w:trHeight w:val="850" w:hRule="atLeast"/>
          <w:tblCellSpacing w:w="0" w:type="dxa"/>
        </w:trPr>
        <w:tc>
          <w:tcPr>
            <w:tcW w:w="1854" w:type="dxa"/>
            <w:tcBorders>
              <w:left w:val="single" w:color="000000" w:sz="8" w:space="0"/>
              <w:bottom w:val="single" w:color="000000" w:sz="8" w:space="0"/>
              <w:right w:val="single" w:color="000000" w:sz="8" w:space="0"/>
            </w:tcBorders>
            <w:tcMar>
              <w:top w:w="0" w:type="dxa"/>
              <w:left w:w="13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color w:val="000000"/>
                <w:sz w:val="21"/>
                <w:szCs w:val="21"/>
              </w:rPr>
              <w:t>基本服务</w:t>
            </w:r>
          </w:p>
        </w:tc>
        <w:tc>
          <w:tcPr>
            <w:tcW w:w="4762" w:type="dxa"/>
            <w:tcBorders>
              <w:bottom w:val="single" w:color="000000" w:sz="8" w:space="0"/>
              <w:right w:val="single" w:color="000000" w:sz="8" w:space="0"/>
            </w:tcBorders>
            <w:tcMar>
              <w:top w:w="0" w:type="dxa"/>
              <w:left w:w="108" w:type="dxa"/>
              <w:bottom w:w="0" w:type="dxa"/>
              <w:right w:w="138" w:type="dxa"/>
            </w:tcMar>
            <w:vAlign w:val="center"/>
          </w:tcPr>
          <w:p>
            <w:pPr>
              <w:textAlignment w:val="center"/>
              <w:rPr>
                <w:rFonts w:hint="eastAsia" w:ascii="宋体" w:hAnsi="宋体" w:cs="宋体"/>
                <w:color w:val="000000"/>
              </w:rPr>
            </w:pPr>
            <w:r>
              <w:rPr>
                <w:rFonts w:hint="eastAsia" w:ascii="宋体" w:hAnsi="宋体" w:cs="宋体"/>
                <w:color w:val="000000"/>
                <w:sz w:val="21"/>
                <w:szCs w:val="21"/>
              </w:rPr>
              <w:t>考核项目目标与责任、日常管理与服务、服务人员要求、保密和思想政治教育、档案管理、服务改进、重大活动后勤保障、应急保障预案、服务方案及工作制度等方面情况。</w:t>
            </w:r>
          </w:p>
        </w:tc>
        <w:tc>
          <w:tcPr>
            <w:tcW w:w="1254" w:type="dxa"/>
            <w:tcBorders>
              <w:bottom w:val="single" w:color="000000" w:sz="8" w:space="0"/>
              <w:right w:val="single" w:color="000000" w:sz="8" w:space="0"/>
            </w:tcBorders>
            <w:tcMar>
              <w:top w:w="0" w:type="dxa"/>
              <w:left w:w="108" w:type="dxa"/>
              <w:bottom w:w="0" w:type="dxa"/>
              <w:right w:w="138" w:type="dxa"/>
            </w:tcMar>
            <w:vAlign w:val="center"/>
          </w:tcPr>
          <w:p>
            <w:pPr>
              <w:jc w:val="center"/>
              <w:rPr>
                <w:rFonts w:hint="eastAsia" w:ascii="宋体" w:hAnsi="宋体" w:cs="宋体"/>
                <w:color w:val="000000"/>
              </w:rPr>
            </w:pPr>
            <w:r>
              <w:rPr>
                <w:rFonts w:hint="eastAsia" w:ascii="宋体" w:hAnsi="宋体" w:cs="宋体"/>
                <w:color w:val="000000"/>
                <w:sz w:val="21"/>
                <w:szCs w:val="21"/>
              </w:rPr>
              <w:t> </w:t>
            </w:r>
          </w:p>
        </w:tc>
        <w:tc>
          <w:tcPr>
            <w:tcW w:w="902"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850" w:hRule="atLeast"/>
          <w:tblCellSpacing w:w="0" w:type="dxa"/>
        </w:trPr>
        <w:tc>
          <w:tcPr>
            <w:tcW w:w="1854" w:type="dxa"/>
            <w:tcBorders>
              <w:left w:val="single" w:color="000000" w:sz="8" w:space="0"/>
              <w:bottom w:val="single" w:color="000000" w:sz="8" w:space="0"/>
              <w:right w:val="single" w:color="000000" w:sz="8" w:space="0"/>
            </w:tcBorders>
            <w:tcMar>
              <w:top w:w="0" w:type="dxa"/>
              <w:left w:w="13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color w:val="000000"/>
                <w:sz w:val="21"/>
                <w:szCs w:val="21"/>
              </w:rPr>
              <w:t>公用设施设备维护服务</w:t>
            </w:r>
          </w:p>
        </w:tc>
        <w:tc>
          <w:tcPr>
            <w:tcW w:w="4762" w:type="dxa"/>
            <w:tcBorders>
              <w:bottom w:val="single" w:color="000000" w:sz="8" w:space="0"/>
              <w:right w:val="single" w:color="000000" w:sz="8" w:space="0"/>
            </w:tcBorders>
            <w:tcMar>
              <w:top w:w="0" w:type="dxa"/>
              <w:left w:w="108" w:type="dxa"/>
              <w:bottom w:w="0" w:type="dxa"/>
              <w:right w:w="138" w:type="dxa"/>
            </w:tcMar>
            <w:vAlign w:val="center"/>
          </w:tcPr>
          <w:p>
            <w:pPr>
              <w:textAlignment w:val="center"/>
              <w:rPr>
                <w:rFonts w:hint="eastAsia" w:ascii="宋体" w:hAnsi="宋体" w:cs="宋体"/>
                <w:color w:val="000000"/>
              </w:rPr>
            </w:pPr>
            <w:r>
              <w:rPr>
                <w:rFonts w:hint="eastAsia" w:ascii="宋体" w:hAnsi="宋体" w:cs="宋体"/>
                <w:color w:val="000000"/>
                <w:sz w:val="21"/>
                <w:szCs w:val="21"/>
              </w:rPr>
              <w:t>考核服务基本要求、设备机房、给排水系统、电梯系统、供配电系统、弱电系统、照明系统等方面情况。</w:t>
            </w:r>
          </w:p>
        </w:tc>
        <w:tc>
          <w:tcPr>
            <w:tcW w:w="1254" w:type="dxa"/>
            <w:tcBorders>
              <w:bottom w:val="single" w:color="000000" w:sz="8" w:space="0"/>
              <w:right w:val="single" w:color="000000" w:sz="8" w:space="0"/>
            </w:tcBorders>
            <w:tcMar>
              <w:top w:w="0" w:type="dxa"/>
              <w:left w:w="108" w:type="dxa"/>
              <w:bottom w:w="0" w:type="dxa"/>
              <w:right w:w="138" w:type="dxa"/>
            </w:tcMar>
            <w:vAlign w:val="center"/>
          </w:tcPr>
          <w:p>
            <w:pPr>
              <w:jc w:val="center"/>
              <w:rPr>
                <w:rFonts w:hint="eastAsia" w:ascii="宋体" w:hAnsi="宋体" w:cs="宋体"/>
                <w:color w:val="000000"/>
              </w:rPr>
            </w:pPr>
            <w:r>
              <w:rPr>
                <w:rFonts w:hint="eastAsia" w:ascii="宋体" w:hAnsi="宋体" w:cs="宋体"/>
                <w:color w:val="000000"/>
                <w:sz w:val="21"/>
                <w:szCs w:val="21"/>
              </w:rPr>
              <w:t> </w:t>
            </w:r>
          </w:p>
        </w:tc>
        <w:tc>
          <w:tcPr>
            <w:tcW w:w="902"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850" w:hRule="atLeast"/>
          <w:tblCellSpacing w:w="0" w:type="dxa"/>
        </w:trPr>
        <w:tc>
          <w:tcPr>
            <w:tcW w:w="1854" w:type="dxa"/>
            <w:tcBorders>
              <w:left w:val="single" w:color="000000" w:sz="8" w:space="0"/>
              <w:bottom w:val="single" w:color="000000" w:sz="8" w:space="0"/>
              <w:right w:val="single" w:color="000000" w:sz="8" w:space="0"/>
            </w:tcBorders>
            <w:tcMar>
              <w:top w:w="0" w:type="dxa"/>
              <w:left w:w="13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color w:val="000000"/>
                <w:sz w:val="21"/>
                <w:szCs w:val="21"/>
              </w:rPr>
              <w:t>保洁服务</w:t>
            </w:r>
          </w:p>
        </w:tc>
        <w:tc>
          <w:tcPr>
            <w:tcW w:w="4762" w:type="dxa"/>
            <w:tcBorders>
              <w:bottom w:val="single" w:color="000000" w:sz="8" w:space="0"/>
              <w:right w:val="single" w:color="000000" w:sz="8" w:space="0"/>
            </w:tcBorders>
            <w:tcMar>
              <w:top w:w="0" w:type="dxa"/>
              <w:left w:w="108" w:type="dxa"/>
              <w:bottom w:w="0" w:type="dxa"/>
              <w:right w:w="138" w:type="dxa"/>
            </w:tcMar>
            <w:vAlign w:val="center"/>
          </w:tcPr>
          <w:p>
            <w:pPr>
              <w:textAlignment w:val="center"/>
              <w:rPr>
                <w:rFonts w:hint="eastAsia" w:ascii="宋体" w:hAnsi="宋体" w:cs="宋体"/>
                <w:color w:val="000000"/>
              </w:rPr>
            </w:pPr>
            <w:r>
              <w:rPr>
                <w:rFonts w:hint="eastAsia" w:ascii="宋体" w:hAnsi="宋体" w:cs="宋体"/>
                <w:color w:val="000000"/>
                <w:sz w:val="21"/>
                <w:szCs w:val="21"/>
              </w:rPr>
              <w:t>考核服务基本要求、办公用房区域保洁、公共场地区域保洁、垃圾处理、油、粪池下水道清通等方面情况。</w:t>
            </w:r>
          </w:p>
        </w:tc>
        <w:tc>
          <w:tcPr>
            <w:tcW w:w="1254"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c>
          <w:tcPr>
            <w:tcW w:w="902"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850" w:hRule="atLeast"/>
          <w:tblCellSpacing w:w="0" w:type="dxa"/>
        </w:trPr>
        <w:tc>
          <w:tcPr>
            <w:tcW w:w="1854" w:type="dxa"/>
            <w:tcBorders>
              <w:left w:val="single" w:color="000000" w:sz="8" w:space="0"/>
              <w:bottom w:val="single" w:color="000000" w:sz="8" w:space="0"/>
              <w:right w:val="single" w:color="000000" w:sz="8" w:space="0"/>
            </w:tcBorders>
            <w:tcMar>
              <w:top w:w="0" w:type="dxa"/>
              <w:left w:w="13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color w:val="000000"/>
                <w:sz w:val="21"/>
                <w:szCs w:val="21"/>
              </w:rPr>
              <w:t>绿化服务</w:t>
            </w:r>
          </w:p>
        </w:tc>
        <w:tc>
          <w:tcPr>
            <w:tcW w:w="4762" w:type="dxa"/>
            <w:tcBorders>
              <w:bottom w:val="single" w:color="000000" w:sz="8" w:space="0"/>
              <w:right w:val="single" w:color="000000" w:sz="8" w:space="0"/>
            </w:tcBorders>
            <w:tcMar>
              <w:top w:w="0" w:type="dxa"/>
              <w:left w:w="108" w:type="dxa"/>
              <w:bottom w:w="0" w:type="dxa"/>
              <w:right w:w="138" w:type="dxa"/>
            </w:tcMar>
            <w:vAlign w:val="center"/>
          </w:tcPr>
          <w:p>
            <w:pPr>
              <w:textAlignment w:val="center"/>
              <w:rPr>
                <w:rFonts w:hint="eastAsia" w:ascii="宋体" w:hAnsi="宋体" w:cs="宋体"/>
                <w:color w:val="000000"/>
              </w:rPr>
            </w:pPr>
            <w:r>
              <w:rPr>
                <w:rFonts w:hint="eastAsia" w:ascii="宋体" w:hAnsi="宋体" w:cs="宋体"/>
                <w:color w:val="000000"/>
                <w:sz w:val="21"/>
                <w:szCs w:val="21"/>
              </w:rPr>
              <w:t>考核服务基本要求、室外绿化养护、室内绿化养护等方面情况。</w:t>
            </w:r>
          </w:p>
        </w:tc>
        <w:tc>
          <w:tcPr>
            <w:tcW w:w="1254"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c>
          <w:tcPr>
            <w:tcW w:w="902"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850" w:hRule="atLeast"/>
          <w:tblCellSpacing w:w="0" w:type="dxa"/>
        </w:trPr>
        <w:tc>
          <w:tcPr>
            <w:tcW w:w="1854" w:type="dxa"/>
            <w:tcBorders>
              <w:left w:val="single" w:color="000000" w:sz="8" w:space="0"/>
              <w:right w:val="single" w:color="000000" w:sz="8" w:space="0"/>
            </w:tcBorders>
            <w:tcMar>
              <w:top w:w="0" w:type="dxa"/>
              <w:left w:w="13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color w:val="000000"/>
                <w:sz w:val="21"/>
                <w:szCs w:val="21"/>
              </w:rPr>
              <w:t>保安服务</w:t>
            </w:r>
          </w:p>
        </w:tc>
        <w:tc>
          <w:tcPr>
            <w:tcW w:w="4762" w:type="dxa"/>
            <w:tcBorders>
              <w:bottom w:val="single" w:color="000000" w:sz="8" w:space="0"/>
              <w:right w:val="single" w:color="000000" w:sz="8" w:space="0"/>
            </w:tcBorders>
            <w:tcMar>
              <w:top w:w="0" w:type="dxa"/>
              <w:left w:w="108" w:type="dxa"/>
              <w:bottom w:w="0" w:type="dxa"/>
              <w:right w:w="138" w:type="dxa"/>
            </w:tcMar>
            <w:vAlign w:val="center"/>
          </w:tcPr>
          <w:p>
            <w:pPr>
              <w:textAlignment w:val="center"/>
              <w:rPr>
                <w:rFonts w:hint="eastAsia" w:ascii="宋体" w:hAnsi="宋体" w:cs="宋体"/>
                <w:color w:val="000000"/>
              </w:rPr>
            </w:pPr>
            <w:r>
              <w:rPr>
                <w:rFonts w:hint="eastAsia" w:ascii="宋体" w:hAnsi="宋体" w:cs="宋体"/>
                <w:color w:val="000000"/>
                <w:sz w:val="21"/>
                <w:szCs w:val="21"/>
              </w:rPr>
              <w:t>考核服务基本要求、出入管理、值班巡查、车辆停放、消防安全管理、突发事件处理、大型活动秩序等方面情况。</w:t>
            </w:r>
          </w:p>
        </w:tc>
        <w:tc>
          <w:tcPr>
            <w:tcW w:w="1254"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c>
          <w:tcPr>
            <w:tcW w:w="902"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850" w:hRule="atLeast"/>
          <w:tblCellSpacing w:w="0" w:type="dxa"/>
        </w:trPr>
        <w:tc>
          <w:tcPr>
            <w:tcW w:w="1854" w:type="dxa"/>
            <w:tcBorders>
              <w:top w:val="single" w:color="000000" w:sz="8" w:space="0"/>
              <w:left w:val="single" w:color="000000" w:sz="8" w:space="0"/>
              <w:bottom w:val="single" w:color="000000" w:sz="8" w:space="0"/>
              <w:right w:val="single" w:color="000000" w:sz="8" w:space="0"/>
            </w:tcBorders>
            <w:tcMar>
              <w:top w:w="0" w:type="dxa"/>
              <w:left w:w="138" w:type="dxa"/>
              <w:bottom w:w="0" w:type="dxa"/>
              <w:right w:w="138" w:type="dxa"/>
            </w:tcMar>
            <w:vAlign w:val="center"/>
          </w:tcPr>
          <w:p>
            <w:pPr>
              <w:jc w:val="center"/>
              <w:textAlignment w:val="center"/>
              <w:rPr>
                <w:rFonts w:hint="eastAsia" w:ascii="宋体" w:hAnsi="宋体" w:cs="宋体"/>
                <w:color w:val="000000"/>
              </w:rPr>
            </w:pPr>
            <w:r>
              <w:rPr>
                <w:rFonts w:hint="eastAsia" w:ascii="宋体" w:hAnsi="宋体" w:cs="宋体"/>
                <w:color w:val="000000"/>
                <w:sz w:val="21"/>
                <w:szCs w:val="21"/>
              </w:rPr>
              <w:t>会议服务</w:t>
            </w:r>
          </w:p>
        </w:tc>
        <w:tc>
          <w:tcPr>
            <w:tcW w:w="4762" w:type="dxa"/>
            <w:tcBorders>
              <w:bottom w:val="single" w:color="000000" w:sz="8" w:space="0"/>
              <w:right w:val="single" w:color="000000" w:sz="8" w:space="0"/>
            </w:tcBorders>
            <w:tcMar>
              <w:top w:w="0" w:type="dxa"/>
              <w:left w:w="108" w:type="dxa"/>
              <w:bottom w:w="0" w:type="dxa"/>
              <w:right w:w="138" w:type="dxa"/>
            </w:tcMar>
            <w:vAlign w:val="center"/>
          </w:tcPr>
          <w:p>
            <w:pPr>
              <w:textAlignment w:val="center"/>
              <w:rPr>
                <w:rFonts w:hint="eastAsia" w:ascii="宋体" w:hAnsi="宋体" w:cs="宋体"/>
                <w:color w:val="000000"/>
              </w:rPr>
            </w:pPr>
            <w:r>
              <w:rPr>
                <w:rFonts w:hint="eastAsia" w:ascii="宋体" w:hAnsi="宋体" w:cs="宋体"/>
                <w:color w:val="000000"/>
                <w:sz w:val="21"/>
                <w:szCs w:val="21"/>
              </w:rPr>
              <w:t>考核会议受理、会前准备、引导服务、会中服务、会后整理等方面情况。</w:t>
            </w:r>
          </w:p>
        </w:tc>
        <w:tc>
          <w:tcPr>
            <w:tcW w:w="1254"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c>
          <w:tcPr>
            <w:tcW w:w="902" w:type="dxa"/>
            <w:tcBorders>
              <w:bottom w:val="single" w:color="000000" w:sz="8" w:space="0"/>
              <w:right w:val="single" w:color="000000" w:sz="8" w:space="0"/>
            </w:tcBorders>
            <w:tcMar>
              <w:top w:w="0" w:type="dxa"/>
              <w:left w:w="108" w:type="dxa"/>
              <w:bottom w:w="0" w:type="dxa"/>
              <w:right w:w="138" w:type="dxa"/>
            </w:tcMar>
            <w:vAlign w:val="center"/>
          </w:tcPr>
          <w:p>
            <w:pPr>
              <w:rPr>
                <w:rFonts w:hint="eastAsia" w:ascii="宋体" w:hAnsi="宋体" w:cs="宋体"/>
                <w:color w:val="000000"/>
              </w:rPr>
            </w:pPr>
            <w:r>
              <w:rPr>
                <w:rFonts w:hint="eastAsia" w:ascii="宋体" w:hAnsi="宋体" w:cs="宋体"/>
                <w:color w:val="000000"/>
                <w:sz w:val="21"/>
                <w:szCs w:val="21"/>
              </w:rPr>
              <w:t> </w:t>
            </w:r>
          </w:p>
        </w:tc>
      </w:tr>
      <w:tr>
        <w:tblPrEx>
          <w:tblLayout w:type="fixed"/>
          <w:tblCellMar>
            <w:top w:w="15" w:type="dxa"/>
            <w:left w:w="15" w:type="dxa"/>
            <w:bottom w:w="15" w:type="dxa"/>
            <w:right w:w="15" w:type="dxa"/>
          </w:tblCellMar>
        </w:tblPrEx>
        <w:trPr>
          <w:trHeight w:val="703" w:hRule="atLeast"/>
          <w:tblCellSpacing w:w="0" w:type="dxa"/>
        </w:trPr>
        <w:tc>
          <w:tcPr>
            <w:tcW w:w="6616" w:type="dxa"/>
            <w:gridSpan w:val="2"/>
            <w:tcBorders>
              <w:left w:val="single" w:color="000000" w:sz="8" w:space="0"/>
              <w:bottom w:val="single" w:color="000000" w:sz="8" w:space="0"/>
              <w:right w:val="single" w:color="000000" w:sz="8" w:space="0"/>
            </w:tcBorders>
            <w:tcMar>
              <w:top w:w="0" w:type="dxa"/>
              <w:left w:w="138" w:type="dxa"/>
              <w:bottom w:w="0" w:type="dxa"/>
              <w:right w:w="138" w:type="dxa"/>
            </w:tcMar>
            <w:vAlign w:val="center"/>
          </w:tcPr>
          <w:p>
            <w:pPr>
              <w:jc w:val="center"/>
              <w:rPr>
                <w:rFonts w:hint="eastAsia" w:ascii="宋体" w:hAnsi="宋体" w:cs="宋体"/>
                <w:color w:val="000000"/>
              </w:rPr>
            </w:pPr>
            <w:r>
              <w:rPr>
                <w:rFonts w:hint="eastAsia" w:ascii="宋体" w:hAnsi="宋体" w:cs="宋体"/>
                <w:color w:val="000000"/>
                <w:sz w:val="21"/>
                <w:szCs w:val="21"/>
              </w:rPr>
              <w:t>考核得分</w:t>
            </w:r>
          </w:p>
        </w:tc>
        <w:tc>
          <w:tcPr>
            <w:tcW w:w="2156" w:type="dxa"/>
            <w:gridSpan w:val="2"/>
            <w:tcBorders>
              <w:bottom w:val="single" w:color="000000" w:sz="8" w:space="0"/>
              <w:right w:val="single" w:color="000000" w:sz="8" w:space="0"/>
            </w:tcBorders>
            <w:tcMar>
              <w:top w:w="0" w:type="dxa"/>
              <w:left w:w="108" w:type="dxa"/>
              <w:bottom w:w="0" w:type="dxa"/>
              <w:right w:w="138" w:type="dxa"/>
            </w:tcMar>
            <w:vAlign w:val="center"/>
          </w:tcPr>
          <w:p>
            <w:pPr>
              <w:jc w:val="center"/>
              <w:rPr>
                <w:rFonts w:hint="eastAsia" w:ascii="宋体" w:hAnsi="宋体" w:cs="宋体"/>
                <w:color w:val="000000"/>
              </w:rPr>
            </w:pPr>
            <w:r>
              <w:rPr>
                <w:rFonts w:hint="eastAsia" w:ascii="宋体" w:hAnsi="宋体" w:cs="宋体"/>
                <w:color w:val="000000"/>
                <w:sz w:val="21"/>
                <w:szCs w:val="21"/>
              </w:rPr>
              <w:t>         </w:t>
            </w:r>
          </w:p>
        </w:tc>
      </w:tr>
      <w:tr>
        <w:tblPrEx>
          <w:tblLayout w:type="fixed"/>
        </w:tblPrEx>
        <w:trPr>
          <w:trHeight w:val="1699" w:hRule="atLeast"/>
          <w:tblCellSpacing w:w="0" w:type="dxa"/>
        </w:trPr>
        <w:tc>
          <w:tcPr>
            <w:tcW w:w="6616" w:type="dxa"/>
            <w:gridSpan w:val="2"/>
            <w:tcBorders>
              <w:left w:val="single" w:color="000000" w:sz="8" w:space="0"/>
              <w:bottom w:val="single" w:color="000000" w:sz="8" w:space="0"/>
              <w:right w:val="single" w:color="000000" w:sz="8" w:space="0"/>
            </w:tcBorders>
            <w:tcMar>
              <w:top w:w="0" w:type="dxa"/>
              <w:left w:w="138" w:type="dxa"/>
              <w:bottom w:w="0" w:type="dxa"/>
              <w:right w:w="138" w:type="dxa"/>
            </w:tcMar>
            <w:vAlign w:val="center"/>
          </w:tcPr>
          <w:p>
            <w:pPr>
              <w:spacing w:after="240"/>
              <w:rPr>
                <w:rFonts w:hint="eastAsia" w:ascii="宋体" w:hAnsi="宋体" w:cs="宋体"/>
                <w:color w:val="000000"/>
              </w:rPr>
            </w:pPr>
            <w:r>
              <w:rPr>
                <w:rFonts w:hint="eastAsia" w:ascii="宋体" w:hAnsi="宋体" w:cs="宋体"/>
                <w:color w:val="000000"/>
                <w:sz w:val="21"/>
                <w:szCs w:val="21"/>
              </w:rPr>
              <w:t>考评代表：              </w:t>
            </w:r>
          </w:p>
          <w:p>
            <w:pPr>
              <w:spacing w:before="240" w:after="240"/>
              <w:rPr>
                <w:rFonts w:hint="eastAsia" w:ascii="宋体" w:hAnsi="宋体" w:cs="宋体"/>
                <w:color w:val="000000"/>
              </w:rPr>
            </w:pPr>
            <w:r>
              <w:rPr>
                <w:rFonts w:hint="eastAsia" w:ascii="宋体" w:hAnsi="宋体" w:cs="宋体"/>
                <w:color w:val="000000"/>
                <w:sz w:val="21"/>
                <w:szCs w:val="21"/>
              </w:rPr>
              <w:t>                              </w:t>
            </w:r>
          </w:p>
          <w:p>
            <w:pPr>
              <w:spacing w:before="240" w:after="240"/>
              <w:rPr>
                <w:rFonts w:hint="eastAsia" w:ascii="宋体" w:hAnsi="宋体" w:cs="宋体"/>
                <w:color w:val="000000"/>
              </w:rPr>
            </w:pPr>
            <w:r>
              <w:rPr>
                <w:rFonts w:hint="eastAsia" w:ascii="宋体" w:hAnsi="宋体" w:cs="宋体"/>
                <w:color w:val="000000"/>
                <w:sz w:val="21"/>
                <w:szCs w:val="21"/>
              </w:rPr>
              <w:t>            </w:t>
            </w:r>
          </w:p>
          <w:p>
            <w:pPr>
              <w:spacing w:before="240"/>
              <w:jc w:val="right"/>
              <w:rPr>
                <w:rFonts w:hint="eastAsia" w:ascii="宋体" w:hAnsi="宋体" w:cs="宋体"/>
                <w:color w:val="000000"/>
              </w:rPr>
            </w:pPr>
            <w:r>
              <w:rPr>
                <w:rFonts w:hint="eastAsia" w:ascii="宋体" w:hAnsi="宋体" w:cs="宋体"/>
                <w:color w:val="000000"/>
                <w:sz w:val="21"/>
                <w:szCs w:val="21"/>
              </w:rPr>
              <w:t>考评日期：    年   月   日</w:t>
            </w:r>
          </w:p>
        </w:tc>
        <w:tc>
          <w:tcPr>
            <w:tcW w:w="2156" w:type="dxa"/>
            <w:gridSpan w:val="2"/>
            <w:tcBorders>
              <w:bottom w:val="single" w:color="000000" w:sz="8" w:space="0"/>
              <w:right w:val="single" w:color="000000" w:sz="8" w:space="0"/>
            </w:tcBorders>
            <w:tcMar>
              <w:top w:w="0" w:type="dxa"/>
              <w:left w:w="108" w:type="dxa"/>
              <w:bottom w:w="0" w:type="dxa"/>
              <w:right w:w="138" w:type="dxa"/>
            </w:tcMar>
            <w:vAlign w:val="center"/>
          </w:tcPr>
          <w:p>
            <w:pPr>
              <w:spacing w:after="240"/>
              <w:jc w:val="center"/>
              <w:rPr>
                <w:rFonts w:hint="eastAsia" w:ascii="宋体" w:hAnsi="宋体" w:cs="宋体"/>
                <w:color w:val="000000"/>
              </w:rPr>
            </w:pPr>
            <w:r>
              <w:rPr>
                <w:rFonts w:hint="eastAsia" w:ascii="宋体" w:hAnsi="宋体" w:cs="宋体"/>
                <w:b/>
                <w:bCs/>
                <w:color w:val="000000"/>
                <w:sz w:val="21"/>
                <w:szCs w:val="21"/>
              </w:rPr>
              <w:t>考核部门</w:t>
            </w:r>
          </w:p>
          <w:p>
            <w:pPr>
              <w:spacing w:before="240"/>
              <w:jc w:val="center"/>
              <w:rPr>
                <w:rFonts w:hint="eastAsia" w:ascii="宋体" w:hAnsi="宋体" w:cs="宋体"/>
                <w:color w:val="000000"/>
              </w:rPr>
            </w:pPr>
            <w:r>
              <w:rPr>
                <w:rFonts w:hint="eastAsia" w:ascii="宋体" w:hAnsi="宋体" w:cs="宋体"/>
                <w:b/>
                <w:bCs/>
                <w:color w:val="000000"/>
                <w:sz w:val="21"/>
                <w:szCs w:val="21"/>
              </w:rPr>
              <w:t>盖章</w:t>
            </w:r>
          </w:p>
        </w:tc>
      </w:tr>
    </w:tbl>
    <w:p>
      <w:pPr>
        <w:spacing w:line="360" w:lineRule="auto"/>
        <w:rPr>
          <w:rFonts w:hint="eastAsia" w:ascii="宋体" w:hAnsi="宋体" w:cs="宋体"/>
        </w:rPr>
      </w:pPr>
      <w:r>
        <w:rPr>
          <w:rFonts w:hint="eastAsia" w:ascii="宋体" w:hAnsi="宋体" w:cs="宋体"/>
          <w:sz w:val="21"/>
          <w:szCs w:val="21"/>
        </w:rPr>
        <w:t>注：1.每月考核基础分为100分。</w:t>
      </w:r>
    </w:p>
    <w:p>
      <w:pPr>
        <w:spacing w:line="360" w:lineRule="auto"/>
        <w:ind w:firstLine="420"/>
        <w:rPr>
          <w:rFonts w:hint="eastAsia" w:ascii="宋体" w:hAnsi="宋体" w:cs="宋体"/>
        </w:rPr>
      </w:pPr>
      <w:r>
        <w:rPr>
          <w:rFonts w:hint="eastAsia" w:ascii="宋体" w:hAnsi="宋体" w:cs="宋体"/>
          <w:sz w:val="21"/>
          <w:szCs w:val="21"/>
        </w:rPr>
        <w:t>2.服务要求及标准以招标文件为准，每发现一人/次/处不合格扣1分。考核分数低于95分时，考核部门应对具体扣分事项另附详情说明。</w:t>
      </w:r>
    </w:p>
    <w:p>
      <w:pPr>
        <w:spacing w:line="360" w:lineRule="auto"/>
        <w:ind w:firstLine="420"/>
        <w:rPr>
          <w:rFonts w:hint="eastAsia" w:ascii="宋体" w:hAnsi="宋体" w:cs="宋体"/>
        </w:rPr>
      </w:pPr>
      <w:r>
        <w:rPr>
          <w:rFonts w:hint="eastAsia" w:ascii="宋体" w:hAnsi="宋体" w:cs="宋体"/>
          <w:sz w:val="21"/>
          <w:szCs w:val="21"/>
        </w:rPr>
        <w:t>3.当期考核分不低于95分的，为考核合格，全额支付服务费用，中标人应对存在的扣分项积极改善；考核分为90-94分的，采购人将对中标人做出警告处理，从中标人第二次受到警告处理起，采购人有权直接在服务费中扣减对应月份服务费的3%作为违约金；考核分为80-89分的，采购人有权直接在服务费中扣减对应月份服务费的5%作为违约金。</w:t>
      </w:r>
    </w:p>
    <w:p>
      <w:pPr>
        <w:spacing w:line="360" w:lineRule="auto"/>
        <w:ind w:firstLine="420"/>
        <w:rPr>
          <w:rFonts w:hint="eastAsia" w:ascii="宋体" w:hAnsi="宋体" w:cs="宋体"/>
          <w:b/>
          <w:bCs/>
        </w:rPr>
      </w:pPr>
      <w:r>
        <w:rPr>
          <w:rFonts w:hint="eastAsia" w:ascii="宋体" w:hAnsi="宋体" w:cs="宋体"/>
          <w:sz w:val="21"/>
          <w:szCs w:val="21"/>
        </w:rPr>
        <w:t>4.项目服务期间中标人累计出现两次考核分为80-89分的，或者出现一次考核分低于80分的，采购人有权解除合同，不予支付对应期间服务费，且不给予中标人任何补偿。</w:t>
      </w:r>
    </w:p>
    <w:p>
      <w:pPr>
        <w:pStyle w:val="2"/>
        <w:ind w:left="0" w:leftChars="0" w:firstLine="0" w:firstLineChars="0"/>
        <w:rPr>
          <w:rFonts w:hint="eastAsia"/>
        </w:rPr>
      </w:pPr>
    </w:p>
    <w:p>
      <w:pPr>
        <w:spacing w:line="360" w:lineRule="auto"/>
        <w:rPr>
          <w:rFonts w:hint="eastAsia" w:ascii="宋体" w:hAnsi="宋体" w:cs="宋体"/>
        </w:rPr>
      </w:pPr>
      <w:r>
        <w:rPr>
          <w:rFonts w:hint="eastAsia" w:ascii="宋体" w:hAnsi="宋体" w:cs="宋体"/>
          <w:b/>
          <w:bCs/>
        </w:rPr>
        <w:t>（2）项目验收书（付款时提供，模板仅做参考）</w:t>
      </w:r>
    </w:p>
    <w:p>
      <w:pPr>
        <w:pStyle w:val="938"/>
        <w:spacing w:line="360" w:lineRule="auto"/>
        <w:rPr>
          <w:rFonts w:hint="eastAsia" w:ascii="宋体" w:hAnsi="宋体" w:cs="宋体"/>
        </w:rPr>
      </w:pPr>
      <w:r>
        <w:rPr>
          <w:rFonts w:hint="eastAsia" w:ascii="宋体" w:hAnsi="宋体" w:cs="宋体"/>
          <w:b/>
          <w:bCs/>
          <w:sz w:val="36"/>
          <w:szCs w:val="36"/>
        </w:rPr>
        <w:t> </w:t>
      </w:r>
    </w:p>
    <w:p>
      <w:pPr>
        <w:pStyle w:val="938"/>
        <w:spacing w:line="360" w:lineRule="auto"/>
        <w:jc w:val="center"/>
        <w:rPr>
          <w:rFonts w:hint="eastAsia" w:ascii="宋体" w:hAnsi="宋体" w:cs="宋体"/>
        </w:rPr>
      </w:pPr>
      <w:r>
        <w:rPr>
          <w:rFonts w:hint="eastAsia" w:ascii="宋体" w:hAnsi="宋体" w:cs="宋体"/>
          <w:b/>
          <w:bCs/>
          <w:sz w:val="36"/>
          <w:szCs w:val="36"/>
        </w:rPr>
        <w:t>项目验收书（付款时提供）</w:t>
      </w:r>
    </w:p>
    <w:p>
      <w:pPr>
        <w:pStyle w:val="938"/>
        <w:spacing w:line="360" w:lineRule="auto"/>
        <w:jc w:val="center"/>
        <w:rPr>
          <w:rFonts w:hint="eastAsia" w:ascii="宋体" w:hAnsi="宋体" w:cs="宋体"/>
        </w:rPr>
      </w:pPr>
      <w:r>
        <w:rPr>
          <w:rFonts w:hint="eastAsia" w:ascii="宋体" w:hAnsi="宋体" w:cs="宋体"/>
          <w:b/>
          <w:bCs/>
          <w:sz w:val="28"/>
          <w:szCs w:val="28"/>
        </w:rPr>
        <w:t> </w:t>
      </w:r>
    </w:p>
    <w:p>
      <w:pPr>
        <w:spacing w:line="360" w:lineRule="auto"/>
        <w:ind w:firstLine="427"/>
        <w:rPr>
          <w:rFonts w:hint="eastAsia" w:ascii="宋体" w:hAnsi="宋体" w:cs="宋体"/>
        </w:rPr>
      </w:pPr>
      <w:r>
        <w:rPr>
          <w:rFonts w:hint="eastAsia" w:ascii="宋体" w:hAnsi="宋体" w:cs="宋体"/>
          <w:sz w:val="32"/>
          <w:szCs w:val="32"/>
        </w:rPr>
        <w:t>　</w:t>
      </w:r>
      <w:r>
        <w:rPr>
          <w:rFonts w:hint="eastAsia" w:ascii="宋体" w:hAnsi="宋体" w:cs="宋体"/>
          <w:sz w:val="21"/>
          <w:szCs w:val="21"/>
        </w:rPr>
        <w:t>　</w:t>
      </w:r>
      <w:r>
        <w:rPr>
          <w:rFonts w:hint="eastAsia" w:ascii="宋体" w:hAnsi="宋体" w:cs="宋体"/>
          <w:b/>
          <w:bCs/>
        </w:rPr>
        <w:t>一、项目基本情况</w:t>
      </w:r>
    </w:p>
    <w:p>
      <w:pPr>
        <w:spacing w:line="360" w:lineRule="auto"/>
        <w:ind w:firstLine="427"/>
        <w:rPr>
          <w:rFonts w:hint="eastAsia" w:ascii="宋体" w:hAnsi="宋体" w:cs="宋体"/>
        </w:rPr>
      </w:pPr>
      <w:r>
        <w:rPr>
          <w:rFonts w:hint="eastAsia" w:ascii="宋体" w:hAnsi="宋体" w:cs="宋体"/>
          <w:sz w:val="21"/>
          <w:szCs w:val="21"/>
        </w:rPr>
        <w:t>　　（一）项目名称及编号</w:t>
      </w:r>
    </w:p>
    <w:p>
      <w:pPr>
        <w:spacing w:line="360" w:lineRule="auto"/>
        <w:ind w:firstLine="427"/>
        <w:rPr>
          <w:rFonts w:hint="eastAsia" w:ascii="宋体" w:hAnsi="宋体" w:cs="宋体"/>
        </w:rPr>
      </w:pPr>
      <w:r>
        <w:rPr>
          <w:rFonts w:hint="eastAsia" w:ascii="宋体" w:hAnsi="宋体" w:cs="宋体"/>
          <w:sz w:val="21"/>
          <w:szCs w:val="21"/>
        </w:rPr>
        <w:t>　　（二）合同名称及编号</w:t>
      </w:r>
    </w:p>
    <w:p>
      <w:pPr>
        <w:spacing w:line="360" w:lineRule="auto"/>
        <w:ind w:firstLine="427"/>
        <w:rPr>
          <w:rFonts w:hint="eastAsia" w:ascii="宋体" w:hAnsi="宋体" w:cs="宋体"/>
        </w:rPr>
      </w:pPr>
      <w:r>
        <w:rPr>
          <w:rFonts w:hint="eastAsia" w:ascii="宋体" w:hAnsi="宋体" w:cs="宋体"/>
          <w:sz w:val="21"/>
          <w:szCs w:val="21"/>
        </w:rPr>
        <w:t>　　（三）乙方名称、乙方联系人及联系方式</w:t>
      </w:r>
    </w:p>
    <w:p>
      <w:pPr>
        <w:spacing w:line="360" w:lineRule="auto"/>
        <w:ind w:firstLine="427"/>
        <w:rPr>
          <w:rFonts w:hint="eastAsia" w:ascii="宋体" w:hAnsi="宋体" w:cs="宋体"/>
        </w:rPr>
      </w:pPr>
      <w:r>
        <w:rPr>
          <w:rFonts w:hint="eastAsia" w:ascii="宋体" w:hAnsi="宋体" w:cs="宋体"/>
          <w:sz w:val="21"/>
          <w:szCs w:val="21"/>
        </w:rPr>
        <w:t>　　（四）合同金额</w:t>
      </w:r>
    </w:p>
    <w:p>
      <w:pPr>
        <w:spacing w:line="360" w:lineRule="auto"/>
        <w:ind w:firstLine="427"/>
        <w:rPr>
          <w:rFonts w:hint="eastAsia" w:ascii="宋体" w:hAnsi="宋体" w:cs="宋体"/>
        </w:rPr>
      </w:pPr>
      <w:r>
        <w:rPr>
          <w:rFonts w:hint="eastAsia" w:ascii="宋体" w:hAnsi="宋体" w:cs="宋体"/>
          <w:sz w:val="21"/>
          <w:szCs w:val="21"/>
        </w:rPr>
        <w:t>　　（五）历次验收及已付款情况等</w:t>
      </w:r>
    </w:p>
    <w:p>
      <w:pPr>
        <w:spacing w:line="360" w:lineRule="auto"/>
        <w:ind w:firstLine="427"/>
        <w:rPr>
          <w:rFonts w:hint="eastAsia" w:ascii="宋体" w:hAnsi="宋体" w:cs="宋体"/>
        </w:rPr>
      </w:pPr>
      <w:r>
        <w:rPr>
          <w:rFonts w:hint="eastAsia" w:ascii="宋体" w:hAnsi="宋体" w:cs="宋体"/>
          <w:sz w:val="21"/>
          <w:szCs w:val="21"/>
        </w:rPr>
        <w:t>　</w:t>
      </w:r>
      <w:r>
        <w:rPr>
          <w:rFonts w:hint="eastAsia" w:ascii="宋体" w:hAnsi="宋体" w:cs="宋体"/>
          <w:b/>
          <w:bCs/>
        </w:rPr>
        <w:t>　二、项目基本内容</w:t>
      </w:r>
    </w:p>
    <w:p>
      <w:pPr>
        <w:spacing w:line="360" w:lineRule="auto"/>
        <w:ind w:firstLine="427"/>
        <w:rPr>
          <w:rFonts w:hint="eastAsia" w:ascii="宋体" w:hAnsi="宋体" w:cs="宋体"/>
        </w:rPr>
      </w:pPr>
      <w:r>
        <w:rPr>
          <w:rFonts w:hint="eastAsia" w:ascii="宋体" w:hAnsi="宋体" w:cs="宋体"/>
          <w:sz w:val="21"/>
          <w:szCs w:val="21"/>
        </w:rPr>
        <w:t>　　（一）合同约定的主要内容</w:t>
      </w:r>
    </w:p>
    <w:p>
      <w:pPr>
        <w:spacing w:line="360" w:lineRule="auto"/>
        <w:ind w:firstLine="427"/>
        <w:rPr>
          <w:rFonts w:hint="eastAsia" w:ascii="宋体" w:hAnsi="宋体" w:cs="宋体"/>
        </w:rPr>
      </w:pPr>
      <w:r>
        <w:rPr>
          <w:rFonts w:hint="eastAsia" w:ascii="宋体" w:hAnsi="宋体" w:cs="宋体"/>
          <w:sz w:val="21"/>
          <w:szCs w:val="21"/>
        </w:rPr>
        <w:t>　　（二）本次付款对应的合同内容和所属阶段</w:t>
      </w:r>
    </w:p>
    <w:p>
      <w:pPr>
        <w:spacing w:line="360" w:lineRule="auto"/>
        <w:ind w:firstLine="427"/>
        <w:rPr>
          <w:rFonts w:hint="eastAsia" w:ascii="宋体" w:hAnsi="宋体" w:cs="宋体"/>
        </w:rPr>
      </w:pPr>
      <w:r>
        <w:rPr>
          <w:rFonts w:hint="eastAsia" w:ascii="宋体" w:hAnsi="宋体" w:cs="宋体"/>
          <w:sz w:val="21"/>
          <w:szCs w:val="21"/>
        </w:rPr>
        <w:t>　　</w:t>
      </w:r>
      <w:r>
        <w:rPr>
          <w:rFonts w:hint="eastAsia" w:ascii="宋体" w:hAnsi="宋体" w:cs="宋体"/>
          <w:b/>
          <w:bCs/>
        </w:rPr>
        <w:t>三、组织验收情况</w:t>
      </w:r>
    </w:p>
    <w:p>
      <w:pPr>
        <w:spacing w:line="360" w:lineRule="auto"/>
        <w:ind w:firstLine="427"/>
        <w:rPr>
          <w:rFonts w:hint="eastAsia" w:ascii="宋体" w:hAnsi="宋体" w:cs="宋体"/>
        </w:rPr>
      </w:pPr>
      <w:r>
        <w:rPr>
          <w:rFonts w:hint="eastAsia" w:ascii="宋体" w:hAnsi="宋体" w:cs="宋体"/>
          <w:sz w:val="21"/>
          <w:szCs w:val="21"/>
        </w:rPr>
        <w:t>　　（一）验收情况，包括验收内容、验收期限等</w:t>
      </w:r>
    </w:p>
    <w:p>
      <w:pPr>
        <w:spacing w:line="360" w:lineRule="auto"/>
        <w:ind w:firstLine="844"/>
        <w:rPr>
          <w:rFonts w:hint="eastAsia" w:ascii="宋体" w:hAnsi="宋体" w:cs="宋体"/>
        </w:rPr>
      </w:pPr>
      <w:r>
        <w:rPr>
          <w:rFonts w:hint="eastAsia" w:ascii="宋体" w:hAnsi="宋体" w:cs="宋体"/>
          <w:sz w:val="21"/>
          <w:szCs w:val="21"/>
        </w:rPr>
        <w:t>（二）验收评价及结论，包括项目执行情况、是否通过验收等</w:t>
      </w:r>
    </w:p>
    <w:p>
      <w:pPr>
        <w:spacing w:line="360" w:lineRule="auto"/>
        <w:ind w:firstLine="427"/>
        <w:rPr>
          <w:rFonts w:hint="eastAsia" w:ascii="宋体" w:hAnsi="宋体" w:cs="宋体"/>
        </w:rPr>
      </w:pPr>
      <w:r>
        <w:rPr>
          <w:rFonts w:hint="eastAsia" w:ascii="宋体" w:hAnsi="宋体" w:cs="宋体"/>
          <w:sz w:val="21"/>
          <w:szCs w:val="21"/>
        </w:rPr>
        <w:t>　　</w:t>
      </w:r>
      <w:r>
        <w:rPr>
          <w:rFonts w:hint="eastAsia" w:ascii="宋体" w:hAnsi="宋体" w:cs="宋体"/>
          <w:b/>
          <w:bCs/>
        </w:rPr>
        <w:t>四、其他需要说明的情况</w:t>
      </w:r>
    </w:p>
    <w:p>
      <w:pPr>
        <w:spacing w:line="360" w:lineRule="auto"/>
        <w:ind w:firstLine="427"/>
        <w:rPr>
          <w:rFonts w:hint="eastAsia" w:ascii="宋体" w:hAnsi="宋体" w:cs="宋体"/>
        </w:rPr>
      </w:pPr>
      <w:r>
        <w:rPr>
          <w:rFonts w:hint="eastAsia" w:ascii="宋体" w:hAnsi="宋体" w:cs="宋体"/>
          <w:sz w:val="21"/>
          <w:szCs w:val="21"/>
        </w:rPr>
        <w:t>　　</w:t>
      </w:r>
      <w:r>
        <w:rPr>
          <w:rFonts w:hint="eastAsia" w:ascii="宋体" w:hAnsi="宋体" w:cs="宋体"/>
          <w:b/>
          <w:bCs/>
        </w:rPr>
        <w:t>五、应支付合同款情况</w:t>
      </w:r>
    </w:p>
    <w:p>
      <w:pPr>
        <w:spacing w:line="360" w:lineRule="auto"/>
        <w:ind w:firstLine="427"/>
        <w:rPr>
          <w:rFonts w:hint="eastAsia" w:ascii="宋体" w:hAnsi="宋体" w:cs="宋体"/>
        </w:rPr>
      </w:pPr>
      <w:r>
        <w:rPr>
          <w:rFonts w:hint="eastAsia" w:ascii="宋体" w:hAnsi="宋体" w:cs="宋体"/>
          <w:sz w:val="21"/>
          <w:szCs w:val="21"/>
        </w:rPr>
        <w:t>　　依据验收结论，本次验收后应支付合同第几期付款及付款金额等</w:t>
      </w:r>
    </w:p>
    <w:p>
      <w:pPr>
        <w:spacing w:line="360" w:lineRule="auto"/>
        <w:ind w:firstLine="427"/>
        <w:rPr>
          <w:rFonts w:hint="eastAsia" w:ascii="宋体" w:hAnsi="宋体" w:cs="宋体"/>
        </w:rPr>
      </w:pPr>
      <w:r>
        <w:rPr>
          <w:rFonts w:hint="eastAsia" w:ascii="宋体" w:hAnsi="宋体" w:cs="宋体"/>
          <w:sz w:val="21"/>
          <w:szCs w:val="21"/>
        </w:rPr>
        <w:t> </w:t>
      </w:r>
    </w:p>
    <w:p>
      <w:pPr>
        <w:spacing w:line="360" w:lineRule="auto"/>
        <w:ind w:firstLine="844"/>
        <w:rPr>
          <w:rFonts w:hint="eastAsia" w:ascii="宋体" w:hAnsi="宋体" w:cs="宋体"/>
        </w:rPr>
      </w:pPr>
      <w:r>
        <w:rPr>
          <w:rFonts w:hint="eastAsia" w:ascii="宋体" w:hAnsi="宋体" w:cs="宋体"/>
          <w:sz w:val="21"/>
          <w:szCs w:val="21"/>
        </w:rPr>
        <w:t>验收人：</w:t>
      </w:r>
    </w:p>
    <w:p>
      <w:pPr>
        <w:spacing w:line="360" w:lineRule="auto"/>
        <w:ind w:firstLine="427"/>
        <w:jc w:val="center"/>
        <w:rPr>
          <w:rFonts w:hint="eastAsia" w:ascii="宋体" w:hAnsi="宋体" w:cs="宋体"/>
        </w:rPr>
      </w:pPr>
      <w:r>
        <w:rPr>
          <w:rFonts w:hint="eastAsia" w:ascii="宋体" w:hAnsi="宋体" w:cs="宋体"/>
          <w:sz w:val="21"/>
          <w:szCs w:val="21"/>
        </w:rPr>
        <w:t> </w:t>
      </w:r>
    </w:p>
    <w:p>
      <w:pPr>
        <w:spacing w:line="360" w:lineRule="auto"/>
        <w:ind w:firstLine="427"/>
        <w:jc w:val="center"/>
        <w:rPr>
          <w:rFonts w:hint="eastAsia" w:ascii="宋体" w:hAnsi="宋体" w:cs="宋体"/>
        </w:rPr>
      </w:pPr>
      <w:r>
        <w:rPr>
          <w:rFonts w:hint="eastAsia" w:ascii="宋体" w:hAnsi="宋体" w:cs="宋体"/>
          <w:sz w:val="21"/>
          <w:szCs w:val="21"/>
        </w:rPr>
        <w:t>验收部门 (章)</w:t>
      </w:r>
    </w:p>
    <w:p>
      <w:pPr>
        <w:pStyle w:val="937"/>
        <w:spacing w:line="360" w:lineRule="auto"/>
        <w:rPr>
          <w:rFonts w:hint="eastAsia" w:ascii="宋体" w:hAnsi="宋体" w:cs="宋体"/>
        </w:rPr>
      </w:pPr>
      <w:r>
        <w:rPr>
          <w:rFonts w:hint="eastAsia" w:ascii="宋体" w:hAnsi="宋体" w:cs="宋体"/>
        </w:rPr>
        <w:t> </w:t>
      </w:r>
    </w:p>
    <w:p>
      <w:pPr>
        <w:spacing w:line="360" w:lineRule="auto"/>
        <w:ind w:firstLine="427"/>
        <w:jc w:val="center"/>
        <w:rPr>
          <w:rFonts w:hint="eastAsia" w:ascii="宋体" w:hAnsi="宋体" w:cs="宋体"/>
        </w:rPr>
      </w:pPr>
      <w:r>
        <w:rPr>
          <w:rFonts w:hint="eastAsia" w:ascii="宋体" w:hAnsi="宋体" w:cs="宋体"/>
          <w:sz w:val="21"/>
          <w:szCs w:val="21"/>
        </w:rPr>
        <w:t>年   月   日</w:t>
      </w:r>
    </w:p>
    <w:p>
      <w:pPr>
        <w:pStyle w:val="6"/>
        <w:keepNext w:val="0"/>
        <w:spacing w:before="0" w:after="0" w:line="360" w:lineRule="auto"/>
        <w:rPr>
          <w:rFonts w:hint="eastAsia" w:ascii="宋体" w:hAnsi="宋体" w:cs="宋体"/>
          <w:kern w:val="36"/>
        </w:rPr>
      </w:pPr>
      <w:bookmarkStart w:id="47" w:name="_Toc256000033"/>
    </w:p>
    <w:p>
      <w:pPr>
        <w:pStyle w:val="6"/>
        <w:keepNext w:val="0"/>
        <w:spacing w:before="0" w:after="0" w:line="360" w:lineRule="auto"/>
        <w:jc w:val="center"/>
        <w:rPr>
          <w:rFonts w:hint="eastAsia" w:ascii="宋体" w:hAnsi="宋体" w:cs="宋体"/>
          <w:bCs/>
          <w:sz w:val="32"/>
          <w:szCs w:val="32"/>
        </w:rPr>
      </w:pPr>
      <w:r>
        <w:rPr>
          <w:rFonts w:hint="eastAsia" w:ascii="宋体" w:hAnsi="宋体" w:cs="宋体"/>
          <w:kern w:val="36"/>
        </w:rPr>
        <w:t>8其他要求</w:t>
      </w:r>
      <w:bookmarkEnd w:id="47"/>
    </w:p>
    <w:p>
      <w:pPr>
        <w:pStyle w:val="7"/>
        <w:keepNext w:val="0"/>
        <w:spacing w:before="0" w:after="0" w:line="360" w:lineRule="auto"/>
        <w:rPr>
          <w:rFonts w:hint="eastAsia" w:ascii="宋体" w:hAnsi="宋体" w:eastAsia="宋体" w:cs="宋体"/>
          <w:bCs/>
          <w:sz w:val="28"/>
          <w:szCs w:val="28"/>
        </w:rPr>
      </w:pPr>
      <w:bookmarkStart w:id="48" w:name="_Toc256000034"/>
      <w:r>
        <w:rPr>
          <w:rFonts w:hint="eastAsia" w:ascii="宋体" w:hAnsi="宋体" w:eastAsia="宋体" w:cs="宋体"/>
        </w:rPr>
        <w:t>8.1必备要求</w:t>
      </w:r>
      <w:bookmarkEnd w:id="48"/>
    </w:p>
    <w:p>
      <w:pPr>
        <w:pStyle w:val="8"/>
        <w:keepNext w:val="0"/>
        <w:spacing w:before="0" w:after="0" w:line="360" w:lineRule="auto"/>
        <w:rPr>
          <w:rFonts w:hint="eastAsia" w:ascii="宋体" w:hAnsi="宋体" w:cs="宋体"/>
          <w:bCs/>
          <w:sz w:val="28"/>
          <w:szCs w:val="28"/>
        </w:rPr>
      </w:pPr>
      <w:bookmarkStart w:id="49" w:name="_Toc256000035"/>
      <w:r>
        <w:rPr>
          <w:rFonts w:hint="eastAsia" w:ascii="宋体" w:hAnsi="宋体" w:cs="宋体"/>
          <w:sz w:val="28"/>
          <w:szCs w:val="28"/>
        </w:rPr>
        <w:t>8.1.1通用必备要求</w:t>
      </w:r>
      <w:bookmarkEnd w:id="49"/>
    </w:p>
    <w:p>
      <w:pPr>
        <w:spacing w:line="360" w:lineRule="auto"/>
        <w:ind w:firstLine="561"/>
        <w:rPr>
          <w:rFonts w:hint="eastAsia" w:ascii="宋体" w:hAnsi="宋体" w:cs="宋体"/>
          <w:sz w:val="21"/>
          <w:szCs w:val="21"/>
        </w:rPr>
      </w:pPr>
      <w:r>
        <w:rPr>
          <w:rFonts w:hint="eastAsia" w:ascii="宋体" w:hAnsi="宋体" w:cs="宋体"/>
          <w:sz w:val="21"/>
          <w:szCs w:val="21"/>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spacing w:line="360" w:lineRule="auto"/>
        <w:ind w:firstLine="561"/>
        <w:rPr>
          <w:rFonts w:hint="eastAsia" w:ascii="宋体" w:hAnsi="宋体" w:cs="宋体"/>
          <w:sz w:val="21"/>
          <w:szCs w:val="21"/>
        </w:rPr>
      </w:pPr>
      <w:r>
        <w:rPr>
          <w:rFonts w:hint="eastAsia" w:ascii="宋体" w:hAnsi="宋体" w:cs="宋体"/>
          <w:sz w:val="21"/>
          <w:szCs w:val="21"/>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spacing w:line="360" w:lineRule="auto"/>
        <w:ind w:firstLine="561"/>
        <w:rPr>
          <w:rFonts w:hint="eastAsia" w:ascii="宋体" w:hAnsi="宋体" w:cs="宋体"/>
          <w:sz w:val="21"/>
          <w:szCs w:val="21"/>
        </w:rPr>
      </w:pPr>
      <w:r>
        <w:rPr>
          <w:rFonts w:hint="eastAsia" w:ascii="宋体" w:hAnsi="宋体" w:cs="宋体"/>
          <w:sz w:val="21"/>
          <w:szCs w:val="21"/>
        </w:rPr>
        <w:t xml:space="preserve">3.本项目中如涉及国家强制性产品认证证书（CCC 认证证书）、电信设备进网许可证、无线电发射设备核准证等市场准入类资质的，应严格执行国家相关法律法规的要求。 </w:t>
      </w:r>
    </w:p>
    <w:p>
      <w:pPr>
        <w:spacing w:line="360" w:lineRule="auto"/>
        <w:ind w:firstLine="561"/>
        <w:rPr>
          <w:rFonts w:hint="eastAsia" w:ascii="宋体" w:hAnsi="宋体" w:cs="宋体"/>
          <w:sz w:val="21"/>
          <w:szCs w:val="21"/>
        </w:rPr>
      </w:pPr>
      <w:r>
        <w:rPr>
          <w:rFonts w:hint="eastAsia" w:ascii="宋体" w:hAnsi="宋体" w:cs="宋体"/>
          <w:sz w:val="21"/>
          <w:szCs w:val="21"/>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7"/>
        <w:keepNext w:val="0"/>
        <w:spacing w:before="0" w:after="0" w:line="360" w:lineRule="auto"/>
        <w:rPr>
          <w:rFonts w:hint="eastAsia" w:ascii="宋体" w:hAnsi="宋体" w:eastAsia="宋体" w:cs="宋体"/>
          <w:bCs/>
          <w:sz w:val="28"/>
          <w:szCs w:val="28"/>
        </w:rPr>
      </w:pPr>
      <w:bookmarkStart w:id="50" w:name="_Toc256000036"/>
      <w:r>
        <w:rPr>
          <w:rFonts w:hint="eastAsia" w:ascii="宋体" w:hAnsi="宋体" w:eastAsia="宋体" w:cs="宋体"/>
        </w:rPr>
        <w:t>8.2付款安排建议</w:t>
      </w:r>
      <w:bookmarkEnd w:id="50"/>
    </w:p>
    <w:tbl>
      <w:tblPr>
        <w:tblStyle w:val="79"/>
        <w:tblW w:w="9457" w:type="dxa"/>
        <w:tblInd w:w="30" w:type="dxa"/>
        <w:tblLayout w:type="fixed"/>
        <w:tblCellMar>
          <w:top w:w="15" w:type="dxa"/>
          <w:left w:w="15" w:type="dxa"/>
          <w:bottom w:w="15" w:type="dxa"/>
          <w:right w:w="15" w:type="dxa"/>
        </w:tblCellMar>
      </w:tblPr>
      <w:tblGrid>
        <w:gridCol w:w="1891"/>
        <w:gridCol w:w="5674"/>
        <w:gridCol w:w="1892"/>
      </w:tblGrid>
      <w:tr>
        <w:tblPrEx>
          <w:tblLayout w:type="fixed"/>
          <w:tblCellMar>
            <w:top w:w="15" w:type="dxa"/>
            <w:left w:w="15" w:type="dxa"/>
            <w:bottom w:w="15" w:type="dxa"/>
            <w:right w:w="15" w:type="dxa"/>
          </w:tblCellMar>
        </w:tblPrEx>
        <w:tc>
          <w:tcPr>
            <w:tcW w:w="1891"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付款名称</w:t>
            </w:r>
          </w:p>
        </w:tc>
        <w:tc>
          <w:tcPr>
            <w:tcW w:w="5674"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付款要求</w:t>
            </w:r>
          </w:p>
        </w:tc>
        <w:tc>
          <w:tcPr>
            <w:tcW w:w="1892" w:type="dxa"/>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jc w:val="center"/>
              <w:rPr>
                <w:rFonts w:hint="eastAsia" w:ascii="宋体" w:hAnsi="宋体" w:cs="宋体"/>
                <w:b/>
                <w:bCs/>
                <w:color w:val="000000"/>
                <w:sz w:val="21"/>
                <w:szCs w:val="21"/>
              </w:rPr>
            </w:pPr>
            <w:r>
              <w:rPr>
                <w:rFonts w:hint="eastAsia" w:ascii="宋体" w:hAnsi="宋体" w:cs="宋体"/>
                <w:b/>
                <w:bCs/>
                <w:color w:val="000000"/>
                <w:sz w:val="21"/>
                <w:szCs w:val="21"/>
              </w:rPr>
              <w:t>付款比例(%)</w:t>
            </w:r>
          </w:p>
        </w:tc>
      </w:tr>
      <w:tr>
        <w:tblPrEx>
          <w:tblLayout w:type="fixed"/>
          <w:tblCellMar>
            <w:top w:w="15" w:type="dxa"/>
            <w:left w:w="15" w:type="dxa"/>
            <w:bottom w:w="15" w:type="dxa"/>
            <w:right w:w="15" w:type="dxa"/>
          </w:tblCellMar>
        </w:tblPrEx>
        <w:tc>
          <w:tcPr>
            <w:tcW w:w="189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分24期付款</w:t>
            </w:r>
          </w:p>
        </w:tc>
        <w:tc>
          <w:tcPr>
            <w:tcW w:w="567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1.结算周期为1个月。期间中标供应商履行了服务承诺并通过考核验收，提供了有效发票等必要资料。满足合同约定支付条件的，采购人原则上应当自收到发票后10个工作日内将资金支付到合同约定的中标供应商账户，双方另有争议除外。</w:t>
            </w:r>
            <w:r>
              <w:rPr>
                <w:rFonts w:hint="eastAsia" w:ascii="宋体" w:hAnsi="宋体" w:cs="宋体"/>
                <w:color w:val="000000"/>
                <w:sz w:val="21"/>
                <w:szCs w:val="21"/>
              </w:rPr>
              <w:br w:type="textWrapping"/>
            </w:r>
            <w:r>
              <w:rPr>
                <w:rFonts w:hint="eastAsia" w:ascii="宋体" w:hAnsi="宋体" w:cs="宋体"/>
                <w:color w:val="000000"/>
                <w:sz w:val="21"/>
                <w:szCs w:val="21"/>
              </w:rPr>
              <w:t>2.因中标供应商未能按要求及时提供资料造成的延迟支付，采购人不承担任何责任。</w:t>
            </w:r>
            <w:r>
              <w:rPr>
                <w:rFonts w:hint="eastAsia" w:ascii="宋体" w:hAnsi="宋体" w:cs="宋体"/>
                <w:color w:val="000000"/>
                <w:sz w:val="21"/>
                <w:szCs w:val="21"/>
              </w:rPr>
              <w:br w:type="textWrapping"/>
            </w:r>
            <w:r>
              <w:rPr>
                <w:rFonts w:hint="eastAsia" w:ascii="宋体" w:hAnsi="宋体" w:cs="宋体"/>
                <w:color w:val="000000"/>
                <w:sz w:val="21"/>
                <w:szCs w:val="21"/>
              </w:rPr>
              <w:t>3.服务期间，经双方协商同意增加或减少服务内容，根据中标供应商投标时提供的《分项报价表》的标准，重新结算。在不改变合同其他条款的前提下，追加采购的金额不得超过原合同书采购金额的百分之十。</w:t>
            </w:r>
          </w:p>
        </w:tc>
        <w:tc>
          <w:tcPr>
            <w:tcW w:w="189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jc w:val="left"/>
              <w:rPr>
                <w:rFonts w:hint="eastAsia" w:ascii="宋体" w:hAnsi="宋体" w:cs="宋体"/>
                <w:color w:val="000000"/>
                <w:sz w:val="21"/>
                <w:szCs w:val="21"/>
              </w:rPr>
            </w:pPr>
            <w:r>
              <w:rPr>
                <w:rFonts w:hint="eastAsia" w:ascii="宋体" w:hAnsi="宋体" w:cs="宋体"/>
                <w:color w:val="000000"/>
                <w:sz w:val="21"/>
                <w:szCs w:val="21"/>
              </w:rPr>
              <w:t>100.0</w:t>
            </w:r>
          </w:p>
        </w:tc>
      </w:tr>
    </w:tbl>
    <w:p>
      <w:pPr>
        <w:pStyle w:val="7"/>
        <w:keepNext w:val="0"/>
        <w:spacing w:before="0" w:after="0" w:line="360" w:lineRule="auto"/>
        <w:rPr>
          <w:rFonts w:hint="eastAsia" w:ascii="宋体" w:hAnsi="宋体" w:eastAsia="宋体" w:cs="宋体"/>
          <w:bCs/>
          <w:sz w:val="28"/>
          <w:szCs w:val="28"/>
        </w:rPr>
      </w:pPr>
      <w:bookmarkStart w:id="51" w:name="_Toc256000037"/>
      <w:r>
        <w:rPr>
          <w:rFonts w:hint="eastAsia" w:ascii="宋体" w:hAnsi="宋体" w:eastAsia="宋体" w:cs="宋体"/>
        </w:rPr>
        <w:t>8.3其他要求</w:t>
      </w:r>
      <w:bookmarkEnd w:id="51"/>
    </w:p>
    <w:p>
      <w:pPr>
        <w:pStyle w:val="8"/>
        <w:keepNext w:val="0"/>
        <w:spacing w:before="0" w:after="0" w:line="360" w:lineRule="auto"/>
        <w:rPr>
          <w:rFonts w:hint="eastAsia" w:ascii="宋体" w:hAnsi="宋体" w:cs="宋体"/>
          <w:bCs/>
          <w:sz w:val="28"/>
          <w:szCs w:val="28"/>
        </w:rPr>
      </w:pPr>
      <w:bookmarkStart w:id="52" w:name="_Toc256000038"/>
      <w:r>
        <w:rPr>
          <w:rFonts w:hint="eastAsia" w:ascii="宋体" w:hAnsi="宋体" w:cs="宋体"/>
          <w:sz w:val="28"/>
          <w:szCs w:val="28"/>
        </w:rPr>
        <w:t>8.3.1保密要求</w:t>
      </w:r>
      <w:bookmarkEnd w:id="52"/>
    </w:p>
    <w:p>
      <w:pPr>
        <w:pStyle w:val="935"/>
        <w:spacing w:line="360" w:lineRule="auto"/>
        <w:ind w:firstLine="420"/>
        <w:rPr>
          <w:rFonts w:hint="eastAsia" w:ascii="宋体" w:hAnsi="宋体" w:cs="宋体"/>
        </w:rPr>
      </w:pPr>
      <w:r>
        <w:rPr>
          <w:rFonts w:hint="eastAsia" w:ascii="宋体" w:hAnsi="宋体" w:cs="宋体"/>
          <w:sz w:val="21"/>
          <w:szCs w:val="21"/>
        </w:rPr>
        <w:t>★中标人的工作人员需遵守采购人的有关规章制度和管理规定，中标人向采购人负有保密义务，不得泄露国家秘密、工作秘密和敏感信息。如有违反或损害采购人利益的，采购人有拒绝中标人违规工作人员继续工作的权利。（承诺函格式自拟）</w:t>
      </w:r>
    </w:p>
    <w:p>
      <w:pPr>
        <w:pStyle w:val="8"/>
        <w:keepNext w:val="0"/>
        <w:spacing w:before="0" w:after="0" w:line="360" w:lineRule="auto"/>
        <w:rPr>
          <w:rFonts w:hint="eastAsia" w:ascii="宋体" w:hAnsi="宋体" w:cs="宋体"/>
          <w:bCs/>
          <w:sz w:val="28"/>
          <w:szCs w:val="28"/>
        </w:rPr>
      </w:pPr>
      <w:bookmarkStart w:id="53" w:name="_Toc256000039"/>
      <w:r>
        <w:rPr>
          <w:rFonts w:hint="eastAsia" w:ascii="宋体" w:hAnsi="宋体" w:cs="宋体"/>
          <w:sz w:val="28"/>
          <w:szCs w:val="28"/>
        </w:rPr>
        <w:t>8.3.2其他说明</w:t>
      </w:r>
      <w:bookmarkEnd w:id="53"/>
    </w:p>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8.3.2.1中标人须为本项目配备的物品</w:t>
      </w:r>
    </w:p>
    <w:p>
      <w:pPr>
        <w:pStyle w:val="936"/>
        <w:spacing w:line="360" w:lineRule="auto"/>
        <w:ind w:firstLine="420" w:firstLineChars="200"/>
        <w:rPr>
          <w:rFonts w:hint="eastAsia" w:ascii="宋体" w:hAnsi="宋体" w:cs="宋体"/>
        </w:rPr>
      </w:pPr>
      <w:r>
        <w:rPr>
          <w:rFonts w:hint="eastAsia" w:ascii="宋体" w:hAnsi="宋体" w:cs="宋体"/>
          <w:sz w:val="21"/>
          <w:szCs w:val="21"/>
        </w:rPr>
        <w:t>中标人须为本项目配备下列物品，费用已采取包干制纳入采购预算：</w:t>
      </w:r>
    </w:p>
    <w:tbl>
      <w:tblPr>
        <w:tblStyle w:val="79"/>
        <w:tblW w:w="6899" w:type="dxa"/>
        <w:tblCellSpacing w:w="0" w:type="dxa"/>
        <w:tblInd w:w="224" w:type="dxa"/>
        <w:tblLayout w:type="fixed"/>
        <w:tblCellMar>
          <w:top w:w="15" w:type="dxa"/>
          <w:left w:w="15" w:type="dxa"/>
          <w:bottom w:w="15" w:type="dxa"/>
          <w:right w:w="15" w:type="dxa"/>
        </w:tblCellMar>
      </w:tblPr>
      <w:tblGrid>
        <w:gridCol w:w="1569"/>
        <w:gridCol w:w="5330"/>
      </w:tblGrid>
      <w:tr>
        <w:tblPrEx>
          <w:tblLayout w:type="fixed"/>
          <w:tblCellMar>
            <w:top w:w="15" w:type="dxa"/>
            <w:left w:w="15" w:type="dxa"/>
            <w:bottom w:w="15" w:type="dxa"/>
            <w:right w:w="15" w:type="dxa"/>
          </w:tblCellMar>
        </w:tblPrEx>
        <w:trPr>
          <w:trHeight w:val="348" w:hRule="atLeast"/>
          <w:tblCellSpacing w:w="0" w:type="dxa"/>
        </w:trPr>
        <w:tc>
          <w:tcPr>
            <w:tcW w:w="1569"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序号</w:t>
            </w:r>
          </w:p>
        </w:tc>
        <w:tc>
          <w:tcPr>
            <w:tcW w:w="5330"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物品</w:t>
            </w:r>
          </w:p>
        </w:tc>
      </w:tr>
      <w:tr>
        <w:tblPrEx>
          <w:tblLayout w:type="fixed"/>
          <w:tblCellMar>
            <w:top w:w="15" w:type="dxa"/>
            <w:left w:w="15" w:type="dxa"/>
            <w:bottom w:w="15" w:type="dxa"/>
            <w:right w:w="15" w:type="dxa"/>
          </w:tblCellMar>
        </w:tblPrEx>
        <w:trPr>
          <w:trHeight w:val="348" w:hRule="atLeast"/>
          <w:tblCellSpacing w:w="0" w:type="dxa"/>
        </w:trPr>
        <w:tc>
          <w:tcPr>
            <w:tcW w:w="156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1</w:t>
            </w:r>
          </w:p>
        </w:tc>
        <w:tc>
          <w:tcPr>
            <w:tcW w:w="5330" w:type="dxa"/>
            <w:tcBorders>
              <w:bottom w:val="single" w:color="000000" w:sz="8" w:space="0"/>
              <w:right w:val="single" w:color="000000" w:sz="8" w:space="0"/>
            </w:tcBorders>
            <w:tcMar>
              <w:top w:w="0" w:type="dxa"/>
              <w:left w:w="10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扫把（含竹叶扫）</w:t>
            </w:r>
          </w:p>
        </w:tc>
      </w:tr>
      <w:tr>
        <w:tblPrEx>
          <w:tblLayout w:type="fixed"/>
          <w:tblCellMar>
            <w:top w:w="15" w:type="dxa"/>
            <w:left w:w="15" w:type="dxa"/>
            <w:bottom w:w="15" w:type="dxa"/>
            <w:right w:w="15" w:type="dxa"/>
          </w:tblCellMar>
        </w:tblPrEx>
        <w:trPr>
          <w:trHeight w:val="348" w:hRule="atLeast"/>
          <w:tblCellSpacing w:w="0" w:type="dxa"/>
        </w:trPr>
        <w:tc>
          <w:tcPr>
            <w:tcW w:w="156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2</w:t>
            </w:r>
          </w:p>
        </w:tc>
        <w:tc>
          <w:tcPr>
            <w:tcW w:w="5330" w:type="dxa"/>
            <w:tcBorders>
              <w:bottom w:val="single" w:color="000000" w:sz="8" w:space="0"/>
              <w:right w:val="single" w:color="000000" w:sz="8" w:space="0"/>
            </w:tcBorders>
            <w:tcMar>
              <w:top w:w="0" w:type="dxa"/>
              <w:left w:w="10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垃圾铲/簸箕</w:t>
            </w:r>
          </w:p>
        </w:tc>
      </w:tr>
      <w:tr>
        <w:tblPrEx>
          <w:tblLayout w:type="fixed"/>
          <w:tblCellMar>
            <w:top w:w="15" w:type="dxa"/>
            <w:left w:w="15" w:type="dxa"/>
            <w:bottom w:w="15" w:type="dxa"/>
            <w:right w:w="15" w:type="dxa"/>
          </w:tblCellMar>
        </w:tblPrEx>
        <w:trPr>
          <w:trHeight w:val="348" w:hRule="atLeast"/>
          <w:tblCellSpacing w:w="0" w:type="dxa"/>
        </w:trPr>
        <w:tc>
          <w:tcPr>
            <w:tcW w:w="156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3</w:t>
            </w:r>
          </w:p>
        </w:tc>
        <w:tc>
          <w:tcPr>
            <w:tcW w:w="5330" w:type="dxa"/>
            <w:tcBorders>
              <w:bottom w:val="single" w:color="000000" w:sz="8" w:space="0"/>
              <w:right w:val="single" w:color="000000" w:sz="8" w:space="0"/>
            </w:tcBorders>
            <w:tcMar>
              <w:top w:w="0" w:type="dxa"/>
              <w:left w:w="10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拖把</w:t>
            </w:r>
          </w:p>
        </w:tc>
      </w:tr>
      <w:tr>
        <w:tblPrEx>
          <w:tblLayout w:type="fixed"/>
          <w:tblCellMar>
            <w:top w:w="15" w:type="dxa"/>
            <w:left w:w="15" w:type="dxa"/>
            <w:bottom w:w="15" w:type="dxa"/>
            <w:right w:w="15" w:type="dxa"/>
          </w:tblCellMar>
        </w:tblPrEx>
        <w:trPr>
          <w:trHeight w:val="348" w:hRule="atLeast"/>
          <w:tblCellSpacing w:w="0" w:type="dxa"/>
        </w:trPr>
        <w:tc>
          <w:tcPr>
            <w:tcW w:w="1569"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4</w:t>
            </w:r>
          </w:p>
        </w:tc>
        <w:tc>
          <w:tcPr>
            <w:tcW w:w="5330" w:type="dxa"/>
            <w:tcBorders>
              <w:bottom w:val="single" w:color="000000" w:sz="8" w:space="0"/>
              <w:right w:val="single" w:color="000000" w:sz="8" w:space="0"/>
            </w:tcBorders>
            <w:tcMar>
              <w:top w:w="0" w:type="dxa"/>
              <w:left w:w="108" w:type="dxa"/>
              <w:bottom w:w="0" w:type="dxa"/>
              <w:right w:w="118" w:type="dxa"/>
            </w:tcMar>
            <w:vAlign w:val="center"/>
          </w:tcPr>
          <w:p>
            <w:pPr>
              <w:pStyle w:val="936"/>
              <w:spacing w:line="360" w:lineRule="auto"/>
              <w:rPr>
                <w:rFonts w:hint="eastAsia" w:ascii="宋体" w:hAnsi="宋体" w:cs="宋体"/>
                <w:color w:val="000000"/>
              </w:rPr>
            </w:pPr>
            <w:r>
              <w:rPr>
                <w:rFonts w:hint="eastAsia" w:ascii="宋体" w:hAnsi="宋体" w:cs="宋体"/>
                <w:color w:val="000000"/>
                <w:sz w:val="21"/>
                <w:szCs w:val="21"/>
              </w:rPr>
              <w:t>拖地桶</w:t>
            </w:r>
          </w:p>
        </w:tc>
      </w:tr>
    </w:tbl>
    <w:p>
      <w:pPr>
        <w:pStyle w:val="9"/>
        <w:keepNext w:val="0"/>
        <w:spacing w:before="0" w:after="0" w:line="360" w:lineRule="auto"/>
        <w:rPr>
          <w:rFonts w:hint="eastAsia" w:ascii="宋体" w:hAnsi="宋体" w:eastAsia="宋体" w:cs="宋体"/>
          <w:bCs/>
          <w:szCs w:val="28"/>
        </w:rPr>
      </w:pPr>
      <w:r>
        <w:rPr>
          <w:rFonts w:hint="eastAsia" w:ascii="宋体" w:hAnsi="宋体" w:eastAsia="宋体" w:cs="宋体"/>
        </w:rPr>
        <w:t>8.3.2.2分项报价表</w:t>
      </w:r>
    </w:p>
    <w:tbl>
      <w:tblPr>
        <w:tblStyle w:val="79"/>
        <w:tblW w:w="8536" w:type="dxa"/>
        <w:tblCellSpacing w:w="0" w:type="dxa"/>
        <w:tblInd w:w="224" w:type="dxa"/>
        <w:tblLayout w:type="fixed"/>
        <w:tblCellMar>
          <w:top w:w="15" w:type="dxa"/>
          <w:left w:w="15" w:type="dxa"/>
          <w:bottom w:w="15" w:type="dxa"/>
          <w:right w:w="15" w:type="dxa"/>
        </w:tblCellMar>
      </w:tblPr>
      <w:tblGrid>
        <w:gridCol w:w="765"/>
        <w:gridCol w:w="1026"/>
        <w:gridCol w:w="1466"/>
        <w:gridCol w:w="890"/>
        <w:gridCol w:w="688"/>
        <w:gridCol w:w="906"/>
        <w:gridCol w:w="1135"/>
        <w:gridCol w:w="1050"/>
        <w:gridCol w:w="610"/>
      </w:tblGrid>
      <w:tr>
        <w:tblPrEx>
          <w:tblLayout w:type="fixed"/>
          <w:tblCellMar>
            <w:top w:w="15" w:type="dxa"/>
            <w:left w:w="15" w:type="dxa"/>
            <w:bottom w:w="15" w:type="dxa"/>
            <w:right w:w="15" w:type="dxa"/>
          </w:tblCellMar>
        </w:tblPrEx>
        <w:trPr>
          <w:trHeight w:val="920" w:hRule="atLeast"/>
          <w:tblCellSpacing w:w="0" w:type="dxa"/>
        </w:trPr>
        <w:tc>
          <w:tcPr>
            <w:tcW w:w="765"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序号</w:t>
            </w:r>
          </w:p>
        </w:tc>
        <w:tc>
          <w:tcPr>
            <w:tcW w:w="102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服务内容</w:t>
            </w:r>
          </w:p>
        </w:tc>
        <w:tc>
          <w:tcPr>
            <w:tcW w:w="146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费用类别</w:t>
            </w:r>
          </w:p>
        </w:tc>
        <w:tc>
          <w:tcPr>
            <w:tcW w:w="890"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服务岗位</w:t>
            </w:r>
          </w:p>
        </w:tc>
        <w:tc>
          <w:tcPr>
            <w:tcW w:w="688"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人员数量</w:t>
            </w:r>
          </w:p>
        </w:tc>
        <w:tc>
          <w:tcPr>
            <w:tcW w:w="90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工作</w:t>
            </w:r>
            <w:r>
              <w:rPr>
                <w:rFonts w:hint="eastAsia" w:ascii="宋体" w:hAnsi="宋体" w:cs="宋体"/>
                <w:color w:val="000000"/>
                <w:sz w:val="20"/>
              </w:rPr>
              <w:br w:type="textWrapping"/>
            </w:r>
            <w:r>
              <w:rPr>
                <w:rFonts w:hint="eastAsia" w:ascii="宋体" w:hAnsi="宋体" w:cs="宋体"/>
                <w:color w:val="000000"/>
                <w:sz w:val="20"/>
              </w:rPr>
              <w:t>时间</w:t>
            </w:r>
            <w:r>
              <w:rPr>
                <w:rFonts w:hint="eastAsia" w:ascii="宋体" w:hAnsi="宋体" w:cs="宋体"/>
                <w:color w:val="000000"/>
                <w:sz w:val="20"/>
              </w:rPr>
              <w:br w:type="textWrapping"/>
            </w:r>
            <w:r>
              <w:rPr>
                <w:rFonts w:hint="eastAsia" w:ascii="宋体" w:hAnsi="宋体" w:cs="宋体"/>
                <w:color w:val="000000"/>
                <w:sz w:val="20"/>
              </w:rPr>
              <w:t>（月）</w:t>
            </w:r>
          </w:p>
        </w:tc>
        <w:tc>
          <w:tcPr>
            <w:tcW w:w="113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单价</w:t>
            </w:r>
            <w:r>
              <w:rPr>
                <w:rFonts w:hint="eastAsia" w:ascii="宋体" w:hAnsi="宋体" w:cs="宋体"/>
                <w:color w:val="000000"/>
                <w:sz w:val="20"/>
              </w:rPr>
              <w:br w:type="textWrapping"/>
            </w:r>
            <w:r>
              <w:rPr>
                <w:rFonts w:hint="eastAsia" w:ascii="宋体" w:hAnsi="宋体" w:cs="宋体"/>
                <w:color w:val="000000"/>
                <w:sz w:val="20"/>
              </w:rPr>
              <w:t>（元/人/月、元/月）</w:t>
            </w:r>
          </w:p>
        </w:tc>
        <w:tc>
          <w:tcPr>
            <w:tcW w:w="1050"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小计</w:t>
            </w:r>
            <w:r>
              <w:rPr>
                <w:rFonts w:hint="eastAsia" w:ascii="宋体" w:hAnsi="宋体" w:cs="宋体"/>
                <w:color w:val="000000"/>
                <w:sz w:val="20"/>
              </w:rPr>
              <w:br w:type="textWrapping"/>
            </w:r>
            <w:r>
              <w:rPr>
                <w:rFonts w:hint="eastAsia" w:ascii="宋体" w:hAnsi="宋体" w:cs="宋体"/>
                <w:color w:val="000000"/>
                <w:sz w:val="20"/>
              </w:rPr>
              <w:t>（元）</w:t>
            </w:r>
          </w:p>
        </w:tc>
        <w:tc>
          <w:tcPr>
            <w:tcW w:w="610"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备注</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1</w:t>
            </w:r>
          </w:p>
        </w:tc>
        <w:tc>
          <w:tcPr>
            <w:tcW w:w="1026"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基础服务</w:t>
            </w:r>
          </w:p>
        </w:tc>
        <w:tc>
          <w:tcPr>
            <w:tcW w:w="1466" w:type="dxa"/>
            <w:vMerge w:val="restart"/>
            <w:tcBorders>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人员费用</w:t>
            </w: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业务主管</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1</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w:t>
            </w:r>
          </w:p>
        </w:tc>
        <w:tc>
          <w:tcPr>
            <w:tcW w:w="1026" w:type="dxa"/>
            <w:vMerge w:val="continue"/>
            <w:tcBorders>
              <w:bottom w:val="single" w:color="000000" w:sz="8" w:space="0"/>
              <w:right w:val="single" w:color="000000" w:sz="8" w:space="0"/>
            </w:tcBorders>
            <w:vAlign w:val="center"/>
          </w:tcPr>
          <w:p>
            <w:pPr>
              <w:rPr>
                <w:rFonts w:hint="eastAsia" w:ascii="宋体" w:hAnsi="宋体" w:cs="宋体"/>
                <w:color w:val="000000"/>
                <w:sz w:val="20"/>
              </w:rPr>
            </w:pP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项目内务助理</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1</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3</w:t>
            </w:r>
          </w:p>
        </w:tc>
        <w:tc>
          <w:tcPr>
            <w:tcW w:w="102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公用设施设备维护服务</w:t>
            </w: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水电工</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5</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4</w:t>
            </w:r>
          </w:p>
        </w:tc>
        <w:tc>
          <w:tcPr>
            <w:tcW w:w="1026" w:type="dxa"/>
            <w:vMerge w:val="restart"/>
            <w:tcBorders>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保洁服务</w:t>
            </w: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保洁班长</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5</w:t>
            </w:r>
          </w:p>
        </w:tc>
        <w:tc>
          <w:tcPr>
            <w:tcW w:w="1026" w:type="dxa"/>
            <w:vMerge w:val="continue"/>
            <w:tcBorders>
              <w:right w:val="single" w:color="000000" w:sz="8" w:space="0"/>
            </w:tcBorders>
            <w:vAlign w:val="center"/>
          </w:tcPr>
          <w:p>
            <w:pPr>
              <w:rPr>
                <w:rFonts w:hint="eastAsia" w:ascii="宋体" w:hAnsi="宋体" w:cs="宋体"/>
                <w:color w:val="000000"/>
                <w:sz w:val="20"/>
              </w:rPr>
            </w:pP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保洁</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6</w:t>
            </w:r>
          </w:p>
        </w:tc>
        <w:tc>
          <w:tcPr>
            <w:tcW w:w="102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绿化服务</w:t>
            </w: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绿化员</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1</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7</w:t>
            </w:r>
          </w:p>
        </w:tc>
        <w:tc>
          <w:tcPr>
            <w:tcW w:w="1026"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保安服务</w:t>
            </w: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保安队长</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8</w:t>
            </w:r>
          </w:p>
        </w:tc>
        <w:tc>
          <w:tcPr>
            <w:tcW w:w="1026" w:type="dxa"/>
            <w:vMerge w:val="continue"/>
            <w:tcBorders>
              <w:bottom w:val="single" w:color="000000" w:sz="8" w:space="0"/>
              <w:right w:val="single" w:color="000000" w:sz="8" w:space="0"/>
            </w:tcBorders>
            <w:vAlign w:val="center"/>
          </w:tcPr>
          <w:p>
            <w:pPr>
              <w:rPr>
                <w:rFonts w:hint="eastAsia" w:ascii="宋体" w:hAnsi="宋体" w:cs="宋体"/>
                <w:color w:val="000000"/>
                <w:sz w:val="20"/>
              </w:rPr>
            </w:pP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保安队员</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33</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9</w:t>
            </w:r>
          </w:p>
        </w:tc>
        <w:tc>
          <w:tcPr>
            <w:tcW w:w="102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会议服务</w:t>
            </w:r>
          </w:p>
        </w:tc>
        <w:tc>
          <w:tcPr>
            <w:tcW w:w="1466" w:type="dxa"/>
            <w:vMerge w:val="continue"/>
            <w:tcBorders>
              <w:right w:val="single" w:color="000000" w:sz="8" w:space="0"/>
            </w:tcBorders>
            <w:vAlign w:val="center"/>
          </w:tcPr>
          <w:p>
            <w:pPr>
              <w:rPr>
                <w:rFonts w:hint="eastAsia" w:ascii="宋体" w:hAnsi="宋体" w:cs="宋体"/>
                <w:color w:val="000000"/>
                <w:sz w:val="20"/>
              </w:rPr>
            </w:pP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会务员</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10</w:t>
            </w:r>
          </w:p>
        </w:tc>
        <w:tc>
          <w:tcPr>
            <w:tcW w:w="1026" w:type="dxa"/>
            <w:vMerge w:val="restart"/>
            <w:tcBorders>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保洁服务</w:t>
            </w:r>
          </w:p>
        </w:tc>
        <w:tc>
          <w:tcPr>
            <w:tcW w:w="146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垃圾清运费用</w:t>
            </w: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11</w:t>
            </w:r>
          </w:p>
        </w:tc>
        <w:tc>
          <w:tcPr>
            <w:tcW w:w="1026" w:type="dxa"/>
            <w:vMerge w:val="continue"/>
            <w:tcBorders>
              <w:right w:val="single" w:color="000000" w:sz="8" w:space="0"/>
            </w:tcBorders>
            <w:vAlign w:val="center"/>
          </w:tcPr>
          <w:p>
            <w:pPr>
              <w:rPr>
                <w:rFonts w:hint="eastAsia" w:ascii="宋体" w:hAnsi="宋体" w:cs="宋体"/>
                <w:color w:val="000000"/>
                <w:sz w:val="20"/>
              </w:rPr>
            </w:pPr>
          </w:p>
        </w:tc>
        <w:tc>
          <w:tcPr>
            <w:tcW w:w="14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油、粪池下水道清通费用</w:t>
            </w: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12</w:t>
            </w:r>
          </w:p>
        </w:tc>
        <w:tc>
          <w:tcPr>
            <w:tcW w:w="1026" w:type="dxa"/>
            <w:vMerge w:val="continue"/>
            <w:tcBorders>
              <w:right w:val="single" w:color="000000" w:sz="8" w:space="0"/>
            </w:tcBorders>
            <w:vAlign w:val="center"/>
          </w:tcPr>
          <w:p>
            <w:pPr>
              <w:rPr>
                <w:rFonts w:hint="eastAsia" w:ascii="宋体" w:hAnsi="宋体" w:cs="宋体"/>
                <w:color w:val="000000"/>
                <w:sz w:val="20"/>
              </w:rPr>
            </w:pPr>
          </w:p>
        </w:tc>
        <w:tc>
          <w:tcPr>
            <w:tcW w:w="14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中标人须为本项目配备的物品费用</w:t>
            </w: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24</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765"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102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4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89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r>
        <w:tblPrEx>
          <w:tblLayout w:type="fixed"/>
          <w:tblCellMar>
            <w:top w:w="15" w:type="dxa"/>
            <w:left w:w="15" w:type="dxa"/>
            <w:bottom w:w="15" w:type="dxa"/>
            <w:right w:w="15" w:type="dxa"/>
          </w:tblCellMar>
        </w:tblPrEx>
        <w:trPr>
          <w:trHeight w:val="500" w:hRule="atLeast"/>
          <w:tblCellSpacing w:w="0" w:type="dxa"/>
        </w:trPr>
        <w:tc>
          <w:tcPr>
            <w:tcW w:w="4147" w:type="dxa"/>
            <w:gridSpan w:val="4"/>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合计</w:t>
            </w:r>
          </w:p>
        </w:tc>
        <w:tc>
          <w:tcPr>
            <w:tcW w:w="6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90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113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hint="eastAsia" w:ascii="宋体" w:hAnsi="宋体" w:cs="宋体"/>
                <w:color w:val="000000"/>
              </w:rPr>
            </w:pPr>
            <w:r>
              <w:rPr>
                <w:rFonts w:hint="eastAsia" w:ascii="宋体" w:hAnsi="宋体" w:cs="宋体"/>
                <w:color w:val="000000"/>
                <w:sz w:val="20"/>
              </w:rPr>
              <w:t>/</w:t>
            </w:r>
          </w:p>
        </w:tc>
        <w:tc>
          <w:tcPr>
            <w:tcW w:w="105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c>
          <w:tcPr>
            <w:tcW w:w="610"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hint="eastAsia" w:ascii="宋体" w:hAnsi="宋体" w:cs="宋体"/>
                <w:color w:val="000000"/>
              </w:rPr>
            </w:pPr>
            <w:r>
              <w:rPr>
                <w:rFonts w:hint="eastAsia" w:ascii="宋体" w:hAnsi="宋体" w:cs="宋体"/>
                <w:color w:val="000000"/>
                <w:sz w:val="20"/>
              </w:rPr>
              <w:t> </w:t>
            </w:r>
          </w:p>
        </w:tc>
      </w:tr>
    </w:tbl>
    <w:p>
      <w:pPr>
        <w:pStyle w:val="938"/>
        <w:spacing w:line="360" w:lineRule="auto"/>
        <w:rPr>
          <w:rFonts w:hint="eastAsia" w:ascii="宋体" w:hAnsi="宋体" w:cs="宋体"/>
        </w:rPr>
      </w:pPr>
      <w:r>
        <w:rPr>
          <w:rFonts w:hint="eastAsia" w:ascii="宋体" w:hAnsi="宋体" w:cs="宋体"/>
          <w:sz w:val="21"/>
          <w:szCs w:val="21"/>
        </w:rPr>
        <w:t>特别说明:</w:t>
      </w:r>
    </w:p>
    <w:p>
      <w:pPr>
        <w:pStyle w:val="938"/>
        <w:spacing w:line="360" w:lineRule="auto"/>
        <w:rPr>
          <w:rFonts w:hint="eastAsia" w:ascii="宋体" w:hAnsi="宋体" w:cs="宋体"/>
        </w:rPr>
      </w:pPr>
      <w:r>
        <w:rPr>
          <w:rFonts w:hint="eastAsia" w:ascii="宋体" w:hAnsi="宋体" w:cs="宋体"/>
          <w:sz w:val="21"/>
          <w:szCs w:val="21"/>
        </w:rPr>
        <w:t>1.本项目总价及分项报价均不接受任何形式的赠送、“零”报价和折扣报价。</w:t>
      </w:r>
    </w:p>
    <w:p>
      <w:pPr>
        <w:pStyle w:val="938"/>
        <w:spacing w:line="360" w:lineRule="auto"/>
        <w:rPr>
          <w:rFonts w:hint="eastAsia" w:ascii="宋体" w:hAnsi="宋体" w:cs="宋体"/>
        </w:rPr>
      </w:pPr>
      <w:r>
        <w:rPr>
          <w:rFonts w:hint="eastAsia" w:ascii="宋体" w:hAnsi="宋体" w:cs="宋体"/>
          <w:sz w:val="21"/>
          <w:szCs w:val="21"/>
        </w:rPr>
        <w:t>2.本表中费用类别为人员费用的项目，小计=人员数量×工作时间×单价；费用类别非人员费用的项目，小计=工作时间×单价。</w:t>
      </w:r>
    </w:p>
    <w:p>
      <w:pPr>
        <w:pStyle w:val="938"/>
        <w:spacing w:line="360" w:lineRule="auto"/>
        <w:rPr>
          <w:rFonts w:hint="eastAsia" w:ascii="宋体" w:hAnsi="宋体" w:cs="宋体"/>
          <w:sz w:val="21"/>
          <w:szCs w:val="21"/>
        </w:rPr>
      </w:pPr>
      <w:r>
        <w:rPr>
          <w:rFonts w:hint="eastAsia" w:ascii="宋体" w:hAnsi="宋体" w:cs="宋体"/>
          <w:sz w:val="21"/>
          <w:szCs w:val="21"/>
        </w:rPr>
        <w:t>3.本表中“小计数额的合计数”应等于《开标一览表》中的“投标报价”。</w:t>
      </w:r>
    </w:p>
    <w:p>
      <w:pPr>
        <w:pStyle w:val="938"/>
        <w:spacing w:line="360" w:lineRule="auto"/>
        <w:rPr>
          <w:rFonts w:hint="eastAsia" w:ascii="宋体" w:hAnsi="宋体" w:cs="宋体"/>
          <w:sz w:val="21"/>
          <w:szCs w:val="21"/>
        </w:rPr>
      </w:pPr>
      <w:r>
        <w:rPr>
          <w:rFonts w:hint="eastAsia" w:ascii="宋体" w:hAnsi="宋体" w:cs="宋体"/>
          <w:sz w:val="21"/>
          <w:szCs w:val="21"/>
        </w:rPr>
        <w:t>4.中标人须为本项目配备的物品详见需求书8.3.2.1。</w:t>
      </w:r>
    </w:p>
    <w:p>
      <w:pPr>
        <w:pStyle w:val="938"/>
        <w:spacing w:line="360" w:lineRule="auto"/>
        <w:rPr>
          <w:rFonts w:hint="eastAsia" w:ascii="宋体" w:hAnsi="宋体" w:cs="宋体"/>
          <w:sz w:val="21"/>
          <w:szCs w:val="21"/>
        </w:rPr>
      </w:pPr>
      <w:r>
        <w:rPr>
          <w:rFonts w:hint="eastAsia" w:ascii="宋体" w:hAnsi="宋体" w:cs="宋体"/>
          <w:sz w:val="21"/>
          <w:szCs w:val="21"/>
        </w:rPr>
        <w:t>5.本表可扩展。</w:t>
      </w:r>
    </w:p>
    <w:p>
      <w:pPr>
        <w:spacing w:line="360" w:lineRule="auto"/>
        <w:ind w:firstLine="561"/>
        <w:rPr>
          <w:rFonts w:hint="eastAsia" w:ascii="宋体" w:hAnsi="宋体" w:cs="宋体"/>
          <w:sz w:val="28"/>
          <w:szCs w:val="28"/>
        </w:rPr>
      </w:pPr>
    </w:p>
    <w:p>
      <w:pPr>
        <w:rPr>
          <w:rFonts w:hint="eastAsia" w:ascii="宋体" w:hAnsi="宋体" w:cs="宋体"/>
          <w:sz w:val="21"/>
          <w:szCs w:val="21"/>
        </w:rPr>
      </w:pPr>
    </w:p>
    <w:p>
      <w:pPr>
        <w:pStyle w:val="5"/>
        <w:rPr>
          <w:rFonts w:hint="eastAsia" w:hAnsi="宋体" w:cs="宋体"/>
          <w:sz w:val="21"/>
          <w:szCs w:val="21"/>
        </w:rPr>
      </w:pPr>
    </w:p>
    <w:p>
      <w:pPr>
        <w:rPr>
          <w:rFonts w:hint="eastAsia" w:ascii="宋体" w:hAnsi="宋体" w:cs="宋体"/>
          <w:sz w:val="21"/>
          <w:szCs w:val="21"/>
        </w:rPr>
      </w:pPr>
    </w:p>
    <w:p>
      <w:pPr>
        <w:pStyle w:val="5"/>
        <w:rPr>
          <w:rFonts w:hint="eastAsia" w:hAnsi="宋体" w:cs="宋体"/>
        </w:rPr>
      </w:pPr>
    </w:p>
    <w:p>
      <w:pPr>
        <w:rPr>
          <w:rFonts w:hint="eastAsia" w:ascii="宋体" w:hAnsi="宋体" w:cs="宋体"/>
        </w:rPr>
      </w:pPr>
    </w:p>
    <w:p>
      <w:pPr>
        <w:pStyle w:val="5"/>
        <w:rPr>
          <w:rFonts w:hint="eastAsia" w:hAnsi="宋体" w:cs="宋体"/>
        </w:rPr>
      </w:pPr>
    </w:p>
    <w:p>
      <w:pPr>
        <w:pStyle w:val="6"/>
        <w:spacing w:line="360" w:lineRule="auto"/>
        <w:jc w:val="center"/>
        <w:rPr>
          <w:rFonts w:hint="eastAsia" w:ascii="宋体" w:hAnsi="宋体" w:cs="宋体"/>
        </w:rPr>
      </w:pPr>
      <w:bookmarkStart w:id="54" w:name="_Toc25305"/>
    </w:p>
    <w:p>
      <w:pPr>
        <w:pStyle w:val="6"/>
        <w:spacing w:line="360" w:lineRule="auto"/>
        <w:jc w:val="center"/>
        <w:rPr>
          <w:rFonts w:hint="eastAsia" w:ascii="宋体" w:hAnsi="宋体" w:cs="宋体"/>
        </w:rPr>
      </w:pPr>
    </w:p>
    <w:p>
      <w:pPr>
        <w:pStyle w:val="6"/>
        <w:spacing w:line="360" w:lineRule="auto"/>
        <w:jc w:val="center"/>
        <w:rPr>
          <w:rFonts w:hint="eastAsia" w:ascii="宋体" w:hAnsi="宋体" w:cs="宋体"/>
        </w:rPr>
      </w:pPr>
    </w:p>
    <w:p>
      <w:pPr>
        <w:pStyle w:val="6"/>
        <w:spacing w:line="360" w:lineRule="auto"/>
        <w:jc w:val="center"/>
        <w:rPr>
          <w:rFonts w:hint="eastAsia" w:ascii="宋体" w:hAnsi="宋体" w:cs="宋体"/>
        </w:rPr>
      </w:pPr>
    </w:p>
    <w:p>
      <w:pPr>
        <w:pStyle w:val="6"/>
        <w:spacing w:line="360" w:lineRule="auto"/>
        <w:jc w:val="center"/>
        <w:rPr>
          <w:rFonts w:hint="eastAsia" w:ascii="宋体" w:hAnsi="宋体" w:cs="宋体"/>
        </w:rPr>
      </w:pPr>
      <w:r>
        <w:rPr>
          <w:rFonts w:hint="eastAsia" w:ascii="宋体" w:hAnsi="宋体" w:cs="宋体"/>
        </w:rPr>
        <w:t xml:space="preserve">第三章 </w:t>
      </w:r>
      <w:bookmarkStart w:id="55" w:name="_Hlt98173559"/>
      <w:bookmarkEnd w:id="55"/>
      <w:r>
        <w:rPr>
          <w:rFonts w:hint="eastAsia" w:ascii="宋体" w:hAnsi="宋体" w:cs="宋体"/>
        </w:rPr>
        <w:t xml:space="preserve"> 投标人须知</w:t>
      </w:r>
      <w:bookmarkEnd w:id="11"/>
      <w:bookmarkEnd w:id="12"/>
      <w:bookmarkEnd w:id="13"/>
      <w:bookmarkEnd w:id="54"/>
    </w:p>
    <w:p>
      <w:pPr>
        <w:pStyle w:val="6"/>
        <w:spacing w:before="240" w:beforeLines="100" w:after="0" w:line="360" w:lineRule="auto"/>
        <w:jc w:val="center"/>
        <w:rPr>
          <w:rFonts w:hint="eastAsia" w:ascii="宋体" w:hAnsi="宋体" w:cs="宋体"/>
          <w:sz w:val="32"/>
        </w:rPr>
      </w:pPr>
      <w:bookmarkStart w:id="56" w:name="_Toc102300270"/>
      <w:bookmarkStart w:id="57" w:name="_Toc98175189"/>
      <w:r>
        <w:rPr>
          <w:rFonts w:hint="eastAsia" w:ascii="宋体" w:hAnsi="宋体" w:cs="宋体"/>
        </w:rPr>
        <w:br w:type="page"/>
      </w:r>
      <w:bookmarkStart w:id="58" w:name="_Toc500229357"/>
      <w:bookmarkStart w:id="59" w:name="_Toc18166"/>
      <w:r>
        <w:rPr>
          <w:rFonts w:hint="eastAsia" w:ascii="宋体" w:hAnsi="宋体" w:cs="宋体"/>
          <w:sz w:val="32"/>
        </w:rPr>
        <w:t>一  说明</w:t>
      </w:r>
      <w:bookmarkEnd w:id="56"/>
      <w:bookmarkEnd w:id="57"/>
      <w:bookmarkEnd w:id="58"/>
      <w:bookmarkEnd w:id="59"/>
    </w:p>
    <w:p>
      <w:pPr>
        <w:pStyle w:val="8"/>
        <w:rPr>
          <w:rFonts w:hint="eastAsia" w:ascii="宋体" w:hAnsi="宋体" w:cs="宋体"/>
        </w:rPr>
      </w:pPr>
      <w:bookmarkStart w:id="60" w:name="_Toc102300271"/>
      <w:bookmarkStart w:id="61" w:name="_Toc262242490"/>
      <w:bookmarkStart w:id="62" w:name="_Toc500229358"/>
      <w:bookmarkStart w:id="63" w:name="_Toc8850"/>
      <w:r>
        <w:rPr>
          <w:rFonts w:hint="eastAsia" w:ascii="宋体" w:hAnsi="宋体" w:cs="宋体"/>
        </w:rPr>
        <w:t xml:space="preserve">1  </w:t>
      </w:r>
      <w:bookmarkEnd w:id="60"/>
      <w:bookmarkEnd w:id="61"/>
      <w:bookmarkEnd w:id="62"/>
      <w:bookmarkStart w:id="64" w:name="_Hlt98175198"/>
      <w:bookmarkEnd w:id="64"/>
      <w:r>
        <w:rPr>
          <w:rFonts w:hint="eastAsia" w:ascii="宋体" w:hAnsi="宋体" w:cs="宋体"/>
        </w:rPr>
        <w:t>资金来源</w:t>
      </w:r>
      <w:bookmarkEnd w:id="63"/>
    </w:p>
    <w:p>
      <w:pPr>
        <w:spacing w:line="360" w:lineRule="auto"/>
        <w:ind w:firstLine="480" w:firstLineChars="200"/>
        <w:rPr>
          <w:rFonts w:hint="eastAsia" w:ascii="宋体" w:hAnsi="宋体" w:cs="宋体"/>
        </w:rPr>
      </w:pPr>
      <w:r>
        <w:rPr>
          <w:rFonts w:hint="eastAsia" w:ascii="宋体" w:hAnsi="宋体" w:cs="宋体"/>
        </w:rPr>
        <w:t>财政性资金。</w:t>
      </w:r>
    </w:p>
    <w:p>
      <w:pPr>
        <w:pStyle w:val="8"/>
        <w:rPr>
          <w:rFonts w:hint="eastAsia" w:ascii="宋体" w:hAnsi="宋体" w:cs="宋体"/>
        </w:rPr>
      </w:pPr>
      <w:bookmarkStart w:id="65" w:name="_Toc102300272"/>
      <w:bookmarkStart w:id="66" w:name="_Toc1626"/>
      <w:bookmarkStart w:id="67" w:name="_Toc500229359"/>
      <w:bookmarkStart w:id="68" w:name="_Toc262242491"/>
      <w:r>
        <w:rPr>
          <w:rFonts w:hint="eastAsia" w:ascii="宋体" w:hAnsi="宋体" w:cs="宋体"/>
        </w:rPr>
        <w:t>2  采购人</w:t>
      </w:r>
      <w:bookmarkEnd w:id="65"/>
      <w:bookmarkEnd w:id="66"/>
      <w:bookmarkEnd w:id="67"/>
      <w:bookmarkEnd w:id="68"/>
    </w:p>
    <w:p>
      <w:pPr>
        <w:spacing w:line="360" w:lineRule="auto"/>
        <w:ind w:firstLine="480" w:firstLineChars="200"/>
        <w:rPr>
          <w:rFonts w:hint="eastAsia" w:ascii="宋体" w:hAnsi="宋体" w:cs="宋体"/>
        </w:rPr>
      </w:pPr>
      <w:r>
        <w:rPr>
          <w:rFonts w:hint="eastAsia" w:ascii="宋体" w:hAnsi="宋体" w:cs="宋体"/>
        </w:rPr>
        <w:t>采购人是指获得资金的国家机关、企事业单位或者其他社会组织。本采购文件的采购人特指“</w:t>
      </w:r>
      <w:r>
        <w:rPr>
          <w:rFonts w:hint="eastAsia" w:ascii="宋体" w:hAnsi="宋体" w:cs="宋体"/>
          <w:b/>
          <w:szCs w:val="18"/>
        </w:rPr>
        <w:t>国家税务总局汕头市金平区税务局</w:t>
      </w:r>
      <w:r>
        <w:rPr>
          <w:rFonts w:hint="eastAsia" w:ascii="宋体" w:hAnsi="宋体" w:cs="宋体"/>
        </w:rPr>
        <w:t>”，简称采购人或买方。</w:t>
      </w:r>
    </w:p>
    <w:p>
      <w:pPr>
        <w:pStyle w:val="8"/>
        <w:rPr>
          <w:rFonts w:hint="eastAsia" w:ascii="宋体" w:hAnsi="宋体" w:cs="宋体"/>
        </w:rPr>
      </w:pPr>
      <w:bookmarkStart w:id="69" w:name="_Toc3033"/>
      <w:bookmarkStart w:id="70" w:name="_Toc500229360"/>
      <w:bookmarkStart w:id="71" w:name="_Toc102300273"/>
      <w:bookmarkStart w:id="72" w:name="_Toc262242492"/>
      <w:r>
        <w:rPr>
          <w:rFonts w:hint="eastAsia" w:ascii="宋体" w:hAnsi="宋体" w:cs="宋体"/>
        </w:rPr>
        <w:t>3  采购代理机构</w:t>
      </w:r>
      <w:bookmarkEnd w:id="69"/>
      <w:bookmarkEnd w:id="70"/>
      <w:bookmarkEnd w:id="71"/>
      <w:bookmarkEnd w:id="72"/>
      <w:r>
        <w:rPr>
          <w:rFonts w:hint="eastAsia" w:ascii="宋体" w:hAnsi="宋体" w:cs="宋体"/>
        </w:rPr>
        <w:t xml:space="preserve"> </w:t>
      </w:r>
    </w:p>
    <w:p>
      <w:pPr>
        <w:spacing w:line="360" w:lineRule="auto"/>
        <w:ind w:firstLine="480" w:firstLineChars="200"/>
        <w:rPr>
          <w:rFonts w:hint="eastAsia" w:ascii="宋体" w:hAnsi="宋体" w:cs="宋体"/>
        </w:rPr>
      </w:pPr>
      <w:r>
        <w:rPr>
          <w:rFonts w:hint="eastAsia" w:ascii="宋体" w:hAnsi="宋体" w:cs="宋体"/>
        </w:rPr>
        <w:t>采购代理机构是指依法取得采购资格、从事采购代理业务并提供相关服务的专门机构。本采购文件的采购代理机构特指“广州穗科建设管理有限公司汕头分公司”，简称采购代理机构。</w:t>
      </w:r>
    </w:p>
    <w:p>
      <w:pPr>
        <w:spacing w:line="360" w:lineRule="auto"/>
        <w:ind w:firstLine="480" w:firstLineChars="200"/>
        <w:rPr>
          <w:rFonts w:hint="eastAsia" w:ascii="宋体" w:hAnsi="宋体" w:cs="宋体"/>
        </w:rPr>
      </w:pPr>
      <w:r>
        <w:rPr>
          <w:rFonts w:hint="eastAsia" w:ascii="宋体" w:hAnsi="宋体" w:cs="宋体"/>
        </w:rPr>
        <w:t>采购代理机构地址：汕头市金平区东厦路1号世纪海岸雅园6栋1810房，1811房</w:t>
      </w:r>
    </w:p>
    <w:p>
      <w:pPr>
        <w:spacing w:line="360" w:lineRule="auto"/>
        <w:ind w:firstLine="480" w:firstLineChars="200"/>
        <w:rPr>
          <w:rFonts w:hint="eastAsia" w:ascii="宋体" w:hAnsi="宋体" w:cs="宋体"/>
        </w:rPr>
      </w:pPr>
      <w:r>
        <w:rPr>
          <w:rFonts w:hint="eastAsia" w:ascii="宋体" w:hAnsi="宋体" w:cs="宋体"/>
        </w:rPr>
        <w:t>采购代理机构电话：0754-87123068</w:t>
      </w:r>
    </w:p>
    <w:p>
      <w:pPr>
        <w:spacing w:line="360" w:lineRule="auto"/>
        <w:ind w:firstLine="480" w:firstLineChars="200"/>
        <w:rPr>
          <w:rFonts w:hint="eastAsia" w:ascii="宋体" w:hAnsi="宋体" w:cs="宋体"/>
        </w:rPr>
      </w:pPr>
      <w:r>
        <w:rPr>
          <w:rFonts w:hint="eastAsia" w:ascii="宋体" w:hAnsi="宋体" w:cs="宋体"/>
        </w:rPr>
        <w:t>采购代理机构传真：0754-87279975</w:t>
      </w:r>
    </w:p>
    <w:p>
      <w:pPr>
        <w:pStyle w:val="8"/>
        <w:rPr>
          <w:rFonts w:hint="eastAsia" w:ascii="宋体" w:hAnsi="宋体" w:cs="宋体"/>
        </w:rPr>
      </w:pPr>
      <w:bookmarkStart w:id="73" w:name="_Toc27335"/>
      <w:bookmarkStart w:id="74" w:name="_Toc102300274"/>
      <w:bookmarkStart w:id="75" w:name="_Toc500229361"/>
      <w:bookmarkStart w:id="76" w:name="_Toc262242493"/>
      <w:r>
        <w:rPr>
          <w:rFonts w:hint="eastAsia" w:ascii="宋体" w:hAnsi="宋体" w:cs="宋体"/>
        </w:rPr>
        <w:t>4  合格的投标人</w:t>
      </w:r>
      <w:bookmarkEnd w:id="73"/>
      <w:bookmarkEnd w:id="74"/>
      <w:bookmarkEnd w:id="75"/>
      <w:bookmarkEnd w:id="76"/>
    </w:p>
    <w:p>
      <w:pPr>
        <w:pStyle w:val="59"/>
        <w:spacing w:line="456" w:lineRule="auto"/>
        <w:ind w:firstLine="480" w:firstLineChars="200"/>
        <w:rPr>
          <w:rFonts w:hint="eastAsia" w:hAnsi="宋体" w:cs="宋体"/>
          <w:kern w:val="2"/>
          <w:sz w:val="24"/>
          <w:szCs w:val="24"/>
        </w:rPr>
      </w:pPr>
      <w:bookmarkStart w:id="77" w:name="_Toc500229362"/>
      <w:bookmarkStart w:id="78" w:name="_Toc262242494"/>
      <w:bookmarkStart w:id="79" w:name="_Toc102300275"/>
      <w:r>
        <w:rPr>
          <w:rFonts w:hint="eastAsia" w:hAnsi="宋体" w:cs="宋体"/>
          <w:kern w:val="2"/>
          <w:sz w:val="24"/>
          <w:szCs w:val="24"/>
        </w:rPr>
        <w:t>4.1、投标人应具备《中华人民共和国政府采购法》第二十二条规定的条件。</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4.1.1、具有独立承担民事责任的能力：提供在中华人民共和国境内注册的法人或其他组织的营业执照复印件（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投标人为自然人的需提供自然人身份证明。</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4.1.2、有依法缴纳税收和社会保障资金的良好记录：提供2024年度任意1个月缴纳税收和社会保险的凭据证明材料复印件；如依法免税或不需要缴纳社会保障资金的，应提供相应文件证明。</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4.1.3、具有良好的商业信誉和健全的财务会计制度：提供2023年度财务状况报告或2024年度任意1个月的财务状况报告复印件，或银行出具的资信证明材料复印件 。</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4.1.4、履行合同所必需的设备和专业技术能力：提供履行合同所必需的设备和专业技术能力的书面声明（提供《投标人资格声明函》）；</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4.1.5、参加采购活动前3年内，在经营活动中没有重大违法记录：（提供《参加政府采购活动前三年内在经营活动中没有重大违法记录的声明函》）。 重大违法记录，是指供应商因违法经营受到刑事处罚或者责令停产停业、吊销许可证或者执照、较大数额罚款等行政处罚。（根据《财政部关于&lt;中华人民共和国政府采购法实施条例&gt;第十九条第一款“较大数额罚款”具体使用问题的意见》财库〔2022〕3号文，“较大数额罚款”认定为200万元以上的罚款，法律、行政法规以及国务院有关部门明确规定相关领域“较大数额罚款”标准高于200万元的，从其规定）；</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4.2、落实政府采购政策需满足的资格要求：本项目属于服务项目，且专门面向小微企业采购。投标人须为符合本项目采购标的对应行业（物业管理）划分标准的小型、微型企业（监狱企业、残疾人福利单位视同小型、微型企业）。注：小型、微型企业以投标人填写的《中小企业声明函》（见投标格式）为判定标准，残疾人福利性单位以投标人填写的《残疾人福利性单位声明函》（见投标格式）为判定标准，监狱企业须投标人提供由省级以上监狱管理局、戒毒管理局（含新疆生产建设兵团）出具的属于监狱企业的证明文件，否则不予认定。</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4.3、本项目的特定资格要求：</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4.3.1、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 (响应) 截止时间当天在“信用中国”网站 (www.creditchina.gov.cn) 及中国政府采购网( http://www.ccgp.gov.cn/) 查询结果为准，如相关失信记录已失效，投标人需提供相关证明资料)；</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4.3.2、单位负责人为同一人或者存在直接控股、管理关系的不同供应商，不得同时参加本采购项目（或采购包）投标（响应）。为本项目提供整体设计、规范编制或者项目管理、监理、检测等服务的供应商， 不得再参与本项目投标（响应）。投标人应在《投标人资格声明函》中如实做出承诺；</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4.3.3、投标人必须满足以下条件之一：</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①具有《保安服务许可证》，投标时提交许可证复印件并加盖投标人公章；</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②投标时承诺签订合同之后按《保安服务管理条例》的要求到公安机关备案（承诺函格式自拟）。</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4.4、本项目不接受联合体投标，不允许分包、转包。</w:t>
      </w:r>
    </w:p>
    <w:p>
      <w:pPr>
        <w:pStyle w:val="59"/>
        <w:spacing w:line="456" w:lineRule="auto"/>
        <w:ind w:firstLine="480" w:firstLineChars="200"/>
        <w:rPr>
          <w:rFonts w:hint="eastAsia" w:hAnsi="宋体" w:cs="宋体"/>
          <w:kern w:val="2"/>
          <w:sz w:val="24"/>
          <w:szCs w:val="24"/>
        </w:rPr>
      </w:pPr>
      <w:r>
        <w:rPr>
          <w:rFonts w:hint="eastAsia" w:hAnsi="宋体" w:cs="宋体"/>
          <w:kern w:val="2"/>
          <w:sz w:val="24"/>
          <w:szCs w:val="24"/>
        </w:rPr>
        <w:t>4.5、已登记报名并获取本项目采购文件。</w:t>
      </w:r>
    </w:p>
    <w:p>
      <w:pPr>
        <w:pStyle w:val="8"/>
        <w:rPr>
          <w:rFonts w:hint="eastAsia" w:ascii="宋体" w:hAnsi="宋体" w:cs="宋体"/>
        </w:rPr>
      </w:pPr>
      <w:bookmarkStart w:id="80" w:name="_Toc14834"/>
      <w:r>
        <w:rPr>
          <w:rFonts w:hint="eastAsia" w:ascii="宋体" w:hAnsi="宋体" w:cs="宋体"/>
        </w:rPr>
        <w:t>5  合格的服务</w:t>
      </w:r>
      <w:bookmarkEnd w:id="77"/>
      <w:bookmarkEnd w:id="78"/>
      <w:bookmarkEnd w:id="79"/>
      <w:bookmarkEnd w:id="80"/>
    </w:p>
    <w:p>
      <w:pPr>
        <w:spacing w:line="360" w:lineRule="auto"/>
        <w:ind w:firstLine="480" w:firstLineChars="200"/>
        <w:rPr>
          <w:rFonts w:hint="eastAsia" w:ascii="宋体" w:hAnsi="宋体" w:cs="宋体"/>
        </w:rPr>
      </w:pPr>
      <w:r>
        <w:rPr>
          <w:rFonts w:hint="eastAsia" w:ascii="宋体" w:hAnsi="宋体" w:cs="宋体"/>
        </w:rPr>
        <w:t>5.1  投标人提供的所有服务，其来源均应通过合法途径取得。</w:t>
      </w:r>
    </w:p>
    <w:p>
      <w:pPr>
        <w:spacing w:line="360" w:lineRule="auto"/>
        <w:ind w:firstLine="480" w:firstLineChars="200"/>
        <w:rPr>
          <w:rFonts w:hint="eastAsia" w:ascii="宋体" w:hAnsi="宋体" w:cs="宋体"/>
        </w:rPr>
      </w:pPr>
      <w:r>
        <w:rPr>
          <w:rFonts w:hint="eastAsia" w:ascii="宋体" w:hAnsi="宋体" w:cs="宋体"/>
        </w:rPr>
        <w:t xml:space="preserve">5.2  </w:t>
      </w:r>
      <w:bookmarkStart w:id="81" w:name="_Toc102300276"/>
      <w:bookmarkStart w:id="82" w:name="_Toc500229363"/>
      <w:bookmarkStart w:id="83" w:name="_Toc262242495"/>
      <w:r>
        <w:rPr>
          <w:rFonts w:hint="eastAsia" w:ascii="宋体" w:hAnsi="宋体" w:cs="宋体"/>
        </w:rPr>
        <w:t>采购人将拒绝接受不合格的服务，并有权不予支付任何费用，同时保留追究相关责任的权利。</w:t>
      </w:r>
    </w:p>
    <w:p>
      <w:pPr>
        <w:pStyle w:val="8"/>
        <w:rPr>
          <w:rFonts w:hint="eastAsia" w:ascii="宋体" w:hAnsi="宋体" w:cs="宋体"/>
        </w:rPr>
      </w:pPr>
      <w:bookmarkStart w:id="84" w:name="_Toc6654"/>
      <w:r>
        <w:rPr>
          <w:rFonts w:hint="eastAsia" w:ascii="宋体" w:hAnsi="宋体" w:cs="宋体"/>
        </w:rPr>
        <w:t>6  投标费用</w:t>
      </w:r>
      <w:bookmarkEnd w:id="81"/>
      <w:bookmarkEnd w:id="82"/>
      <w:bookmarkEnd w:id="83"/>
      <w:bookmarkEnd w:id="84"/>
    </w:p>
    <w:p>
      <w:pPr>
        <w:spacing w:line="360" w:lineRule="auto"/>
        <w:ind w:firstLine="480" w:firstLineChars="200"/>
        <w:rPr>
          <w:rFonts w:hint="eastAsia" w:ascii="宋体" w:hAnsi="宋体" w:cs="宋体"/>
        </w:rPr>
      </w:pPr>
      <w:r>
        <w:rPr>
          <w:rFonts w:hint="eastAsia" w:ascii="宋体" w:hAnsi="宋体" w:cs="宋体"/>
        </w:rPr>
        <w:t>6.1  投标人应承担所有与准备和参加投标有关的费用。不论投标的结果如何，采购代理机构和采购人均无义务和责任承担投标费用。</w:t>
      </w:r>
    </w:p>
    <w:p>
      <w:pPr>
        <w:pStyle w:val="6"/>
        <w:spacing w:before="240" w:beforeLines="100" w:after="0" w:line="360" w:lineRule="auto"/>
        <w:jc w:val="center"/>
        <w:rPr>
          <w:rFonts w:hint="eastAsia" w:ascii="宋体" w:hAnsi="宋体" w:cs="宋体"/>
          <w:sz w:val="32"/>
        </w:rPr>
      </w:pPr>
      <w:bookmarkStart w:id="85" w:name="_Toc500229364"/>
      <w:bookmarkStart w:id="86" w:name="_Toc102300277"/>
      <w:bookmarkStart w:id="87" w:name="_Toc7390"/>
      <w:bookmarkStart w:id="88" w:name="_Toc98175190"/>
      <w:r>
        <w:rPr>
          <w:rFonts w:hint="eastAsia" w:ascii="宋体" w:hAnsi="宋体" w:cs="宋体"/>
          <w:sz w:val="32"/>
        </w:rPr>
        <w:t>二  采购文件</w:t>
      </w:r>
      <w:bookmarkEnd w:id="85"/>
      <w:bookmarkEnd w:id="86"/>
      <w:bookmarkEnd w:id="87"/>
      <w:bookmarkEnd w:id="88"/>
    </w:p>
    <w:p>
      <w:pPr>
        <w:pStyle w:val="8"/>
        <w:rPr>
          <w:rFonts w:hint="eastAsia" w:ascii="宋体" w:hAnsi="宋体" w:cs="宋体"/>
        </w:rPr>
      </w:pPr>
      <w:bookmarkStart w:id="89" w:name="_Toc102300278"/>
      <w:bookmarkStart w:id="90" w:name="_Toc18471"/>
      <w:bookmarkStart w:id="91" w:name="_Toc262242497"/>
      <w:bookmarkStart w:id="92" w:name="_Toc500229365"/>
      <w:r>
        <w:rPr>
          <w:rFonts w:hint="eastAsia" w:ascii="宋体" w:hAnsi="宋体" w:cs="宋体"/>
        </w:rPr>
        <w:t>7  采购文件构成</w:t>
      </w:r>
      <w:bookmarkEnd w:id="89"/>
      <w:bookmarkEnd w:id="90"/>
      <w:bookmarkEnd w:id="91"/>
      <w:bookmarkEnd w:id="92"/>
    </w:p>
    <w:p>
      <w:pPr>
        <w:spacing w:line="360" w:lineRule="auto"/>
        <w:rPr>
          <w:rFonts w:hint="eastAsia" w:ascii="宋体" w:hAnsi="宋体" w:cs="宋体"/>
        </w:rPr>
      </w:pPr>
      <w:r>
        <w:rPr>
          <w:rFonts w:hint="eastAsia" w:ascii="宋体" w:hAnsi="宋体" w:cs="宋体"/>
        </w:rPr>
        <w:t>7.1  要求提供的服务、采购过程和合同条件在采购文件中均有说明。</w:t>
      </w:r>
    </w:p>
    <w:p>
      <w:pPr>
        <w:spacing w:line="360" w:lineRule="auto"/>
        <w:ind w:firstLine="480" w:firstLineChars="200"/>
        <w:rPr>
          <w:rFonts w:hint="eastAsia" w:ascii="宋体" w:hAnsi="宋体" w:cs="宋体"/>
        </w:rPr>
      </w:pPr>
      <w:r>
        <w:rPr>
          <w:rFonts w:hint="eastAsia" w:ascii="宋体" w:hAnsi="宋体" w:cs="宋体"/>
        </w:rPr>
        <w:t>采购文件共五章，内容如下：</w:t>
      </w:r>
    </w:p>
    <w:p>
      <w:pPr>
        <w:numPr>
          <w:ilvl w:val="0"/>
          <w:numId w:val="10"/>
        </w:numPr>
        <w:spacing w:line="360" w:lineRule="auto"/>
        <w:rPr>
          <w:rFonts w:hint="eastAsia" w:ascii="宋体" w:hAnsi="宋体" w:cs="宋体"/>
        </w:rPr>
      </w:pPr>
      <w:r>
        <w:rPr>
          <w:rFonts w:hint="eastAsia" w:ascii="宋体" w:hAnsi="宋体" w:cs="宋体"/>
        </w:rPr>
        <w:t>投标邀请函</w:t>
      </w:r>
    </w:p>
    <w:p>
      <w:pPr>
        <w:numPr>
          <w:ilvl w:val="0"/>
          <w:numId w:val="10"/>
        </w:numPr>
        <w:spacing w:line="360" w:lineRule="auto"/>
        <w:rPr>
          <w:rFonts w:hint="eastAsia" w:ascii="宋体" w:hAnsi="宋体" w:cs="宋体"/>
        </w:rPr>
      </w:pPr>
      <w:r>
        <w:rPr>
          <w:rFonts w:hint="eastAsia" w:ascii="宋体" w:hAnsi="宋体" w:cs="宋体"/>
        </w:rPr>
        <w:t>用户需求书</w:t>
      </w:r>
    </w:p>
    <w:p>
      <w:pPr>
        <w:numPr>
          <w:ilvl w:val="0"/>
          <w:numId w:val="10"/>
        </w:numPr>
        <w:spacing w:line="360" w:lineRule="auto"/>
        <w:rPr>
          <w:rFonts w:hint="eastAsia" w:ascii="宋体" w:hAnsi="宋体" w:cs="宋体"/>
        </w:rPr>
      </w:pPr>
      <w:r>
        <w:rPr>
          <w:rFonts w:hint="eastAsia" w:ascii="宋体" w:hAnsi="宋体" w:cs="宋体"/>
        </w:rPr>
        <w:t>投标人须知</w:t>
      </w:r>
    </w:p>
    <w:p>
      <w:pPr>
        <w:numPr>
          <w:ilvl w:val="0"/>
          <w:numId w:val="10"/>
        </w:numPr>
        <w:spacing w:line="360" w:lineRule="auto"/>
        <w:rPr>
          <w:rFonts w:hint="eastAsia" w:ascii="宋体" w:hAnsi="宋体" w:cs="宋体"/>
        </w:rPr>
      </w:pPr>
      <w:r>
        <w:rPr>
          <w:rFonts w:hint="eastAsia" w:ascii="宋体" w:hAnsi="宋体" w:cs="宋体"/>
        </w:rPr>
        <w:t>合同书文本</w:t>
      </w:r>
    </w:p>
    <w:p>
      <w:pPr>
        <w:numPr>
          <w:ilvl w:val="0"/>
          <w:numId w:val="10"/>
        </w:numPr>
        <w:spacing w:line="360" w:lineRule="auto"/>
        <w:rPr>
          <w:rFonts w:hint="eastAsia" w:ascii="宋体" w:hAnsi="宋体" w:cs="宋体"/>
        </w:rPr>
      </w:pPr>
      <w:r>
        <w:rPr>
          <w:rFonts w:hint="eastAsia" w:ascii="宋体" w:hAnsi="宋体" w:cs="宋体"/>
        </w:rPr>
        <w:t>投标文件格式</w:t>
      </w:r>
    </w:p>
    <w:p>
      <w:pPr>
        <w:spacing w:line="360" w:lineRule="auto"/>
        <w:rPr>
          <w:rFonts w:hint="eastAsia" w:ascii="宋体" w:hAnsi="宋体" w:cs="宋体"/>
        </w:rPr>
      </w:pPr>
      <w:r>
        <w:rPr>
          <w:rFonts w:hint="eastAsia" w:ascii="宋体" w:hAnsi="宋体" w:cs="宋体"/>
        </w:rPr>
        <w:t>7.2  投标人应认真阅读采购文件中所有的事项、格式、条款和技术规范等。投标人没有按照采购文件要求提交全部资料，或者投标没有对采购文件在各方面都作出实质性响应是投标人的风险，并可能导致其投标被拒绝。</w:t>
      </w:r>
    </w:p>
    <w:p>
      <w:pPr>
        <w:pStyle w:val="8"/>
        <w:rPr>
          <w:rFonts w:hint="eastAsia" w:ascii="宋体" w:hAnsi="宋体" w:cs="宋体"/>
        </w:rPr>
      </w:pPr>
      <w:bookmarkStart w:id="93" w:name="_Toc102300279"/>
      <w:bookmarkStart w:id="94" w:name="_Toc5059"/>
      <w:bookmarkStart w:id="95" w:name="_Toc262242498"/>
      <w:bookmarkStart w:id="96" w:name="_Toc500229366"/>
      <w:r>
        <w:rPr>
          <w:rFonts w:hint="eastAsia" w:ascii="宋体" w:hAnsi="宋体" w:cs="宋体"/>
        </w:rPr>
        <w:t>8  采购文件的澄清</w:t>
      </w:r>
      <w:bookmarkEnd w:id="93"/>
      <w:bookmarkEnd w:id="94"/>
      <w:bookmarkEnd w:id="95"/>
      <w:bookmarkEnd w:id="96"/>
    </w:p>
    <w:p>
      <w:pPr>
        <w:spacing w:line="360" w:lineRule="auto"/>
        <w:rPr>
          <w:rFonts w:hint="eastAsia" w:ascii="宋体" w:hAnsi="宋体" w:cs="宋体"/>
        </w:rPr>
      </w:pPr>
      <w:bookmarkStart w:id="97" w:name="_Toc102300280"/>
      <w:bookmarkStart w:id="98" w:name="_Toc500229367"/>
      <w:bookmarkStart w:id="99" w:name="_Toc262242499"/>
      <w:r>
        <w:rPr>
          <w:rFonts w:hint="eastAsia" w:ascii="宋体" w:hAnsi="宋体" w:cs="宋体"/>
        </w:rPr>
        <w:t>8.1询问</w:t>
      </w:r>
    </w:p>
    <w:p>
      <w:pPr>
        <w:spacing w:line="360" w:lineRule="auto"/>
        <w:rPr>
          <w:rFonts w:hint="eastAsia" w:ascii="宋体" w:hAnsi="宋体" w:cs="宋体"/>
        </w:rPr>
      </w:pPr>
      <w:r>
        <w:rPr>
          <w:rFonts w:hint="eastAsia" w:ascii="宋体" w:hAnsi="宋体" w:cs="宋体"/>
        </w:rPr>
        <w:t>8.1.1. 投标人对政府采购活动事项有疑问的，可以向采购人或者采购代理机构提出询问，询问可以口头方式提出，也可以书面方式提出。</w:t>
      </w:r>
    </w:p>
    <w:p>
      <w:pPr>
        <w:spacing w:line="360" w:lineRule="auto"/>
        <w:rPr>
          <w:rFonts w:hint="eastAsia" w:ascii="宋体" w:hAnsi="宋体" w:cs="宋体"/>
        </w:rPr>
      </w:pPr>
      <w:r>
        <w:rPr>
          <w:rFonts w:hint="eastAsia" w:ascii="宋体" w:hAnsi="宋体" w:cs="宋体"/>
        </w:rPr>
        <w:t>8.1.2. 如采用书面方式提出询问，投标人为自然人的，询问函应当由本人签字；投标人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spacing w:line="360" w:lineRule="auto"/>
        <w:rPr>
          <w:rFonts w:hint="eastAsia" w:ascii="宋体" w:hAnsi="宋体" w:cs="宋体"/>
        </w:rPr>
      </w:pPr>
      <w:r>
        <w:rPr>
          <w:rFonts w:hint="eastAsia" w:ascii="宋体" w:hAnsi="宋体" w:cs="宋体"/>
        </w:rPr>
        <w:t>8.1.3. 采购人或者采购代理机构在三个工作日内对投标人依法提出的询问作出答复。</w:t>
      </w:r>
    </w:p>
    <w:p>
      <w:pPr>
        <w:spacing w:line="360" w:lineRule="auto"/>
        <w:rPr>
          <w:rFonts w:hint="eastAsia" w:ascii="宋体" w:hAnsi="宋体" w:cs="宋体"/>
        </w:rPr>
      </w:pPr>
      <w:r>
        <w:rPr>
          <w:rFonts w:hint="eastAsia" w:ascii="宋体" w:hAnsi="宋体" w:cs="宋体"/>
        </w:rPr>
        <w:t>8.1.4. 采购人或采购代理机构接收以书面形式递交的询问函。</w:t>
      </w:r>
    </w:p>
    <w:p>
      <w:pPr>
        <w:spacing w:line="360" w:lineRule="auto"/>
        <w:rPr>
          <w:rFonts w:hint="eastAsia" w:ascii="宋体" w:hAnsi="宋体" w:cs="宋体"/>
        </w:rPr>
      </w:pPr>
      <w:r>
        <w:rPr>
          <w:rFonts w:hint="eastAsia" w:ascii="宋体" w:hAnsi="宋体" w:cs="宋体"/>
        </w:rPr>
        <w:t>8.1.5 询问联系人：陈工</w:t>
      </w:r>
    </w:p>
    <w:p>
      <w:pPr>
        <w:spacing w:line="360" w:lineRule="auto"/>
        <w:rPr>
          <w:rFonts w:hint="eastAsia" w:ascii="宋体" w:hAnsi="宋体" w:cs="宋体"/>
        </w:rPr>
      </w:pPr>
      <w:r>
        <w:rPr>
          <w:rFonts w:hint="eastAsia" w:ascii="宋体" w:hAnsi="宋体" w:cs="宋体"/>
        </w:rPr>
        <w:t>电话：0754-87123068；</w:t>
      </w:r>
    </w:p>
    <w:p>
      <w:pPr>
        <w:spacing w:line="360" w:lineRule="auto"/>
        <w:rPr>
          <w:rFonts w:hint="eastAsia" w:ascii="宋体" w:hAnsi="宋体" w:cs="宋体"/>
        </w:rPr>
      </w:pPr>
      <w:r>
        <w:rPr>
          <w:rFonts w:hint="eastAsia" w:ascii="宋体" w:hAnsi="宋体" w:cs="宋体"/>
        </w:rPr>
        <w:t>邮箱：3252316415@qq.com</w:t>
      </w:r>
    </w:p>
    <w:p>
      <w:pPr>
        <w:spacing w:line="360" w:lineRule="auto"/>
        <w:rPr>
          <w:rFonts w:hint="eastAsia" w:ascii="宋体" w:hAnsi="宋体" w:cs="宋体"/>
        </w:rPr>
      </w:pPr>
      <w:r>
        <w:rPr>
          <w:rFonts w:hint="eastAsia" w:ascii="宋体" w:hAnsi="宋体" w:cs="宋体"/>
        </w:rPr>
        <w:t>地址：广东省汕头市金平区东厦路1号世纪海岸雅园6栋1810房，1811房；</w:t>
      </w:r>
    </w:p>
    <w:p>
      <w:pPr>
        <w:spacing w:line="360" w:lineRule="auto"/>
        <w:rPr>
          <w:rFonts w:hint="eastAsia" w:ascii="宋体" w:hAnsi="宋体" w:cs="宋体"/>
        </w:rPr>
      </w:pPr>
      <w:r>
        <w:rPr>
          <w:rFonts w:hint="eastAsia" w:ascii="宋体" w:hAnsi="宋体" w:cs="宋体"/>
        </w:rPr>
        <w:t>邮编：515041</w:t>
      </w:r>
    </w:p>
    <w:p>
      <w:pPr>
        <w:spacing w:line="360" w:lineRule="auto"/>
        <w:rPr>
          <w:rFonts w:hint="eastAsia" w:ascii="宋体" w:hAnsi="宋体" w:cs="宋体"/>
        </w:rPr>
      </w:pPr>
      <w:r>
        <w:rPr>
          <w:rFonts w:hint="eastAsia" w:ascii="宋体" w:hAnsi="宋体" w:cs="宋体"/>
        </w:rPr>
        <w:t>8.2质疑</w:t>
      </w:r>
    </w:p>
    <w:p>
      <w:pPr>
        <w:spacing w:line="360" w:lineRule="auto"/>
        <w:rPr>
          <w:rFonts w:hint="eastAsia" w:ascii="宋体" w:hAnsi="宋体" w:cs="宋体"/>
        </w:rPr>
      </w:pPr>
      <w:r>
        <w:rPr>
          <w:rFonts w:hint="eastAsia" w:ascii="宋体" w:hAnsi="宋体" w:cs="宋体"/>
        </w:rPr>
        <w:t>8.2.1. 质疑期限：</w:t>
      </w:r>
    </w:p>
    <w:p>
      <w:pPr>
        <w:spacing w:line="360" w:lineRule="auto"/>
        <w:rPr>
          <w:rFonts w:hint="eastAsia" w:ascii="宋体" w:hAnsi="宋体" w:cs="宋体"/>
        </w:rPr>
      </w:pPr>
      <w:r>
        <w:rPr>
          <w:rFonts w:hint="eastAsia" w:ascii="宋体" w:hAnsi="宋体" w:cs="宋体"/>
        </w:rPr>
        <w:t>（1) 投标人认为采购文件的内容损害其权益的，应在收到采购文件之日或者采购文件公告期届满之日起七个工作日内提出。</w:t>
      </w:r>
    </w:p>
    <w:p>
      <w:pPr>
        <w:spacing w:line="360" w:lineRule="auto"/>
        <w:rPr>
          <w:rFonts w:hint="eastAsia" w:ascii="宋体" w:hAnsi="宋体" w:cs="宋体"/>
        </w:rPr>
      </w:pPr>
      <w:r>
        <w:rPr>
          <w:rFonts w:hint="eastAsia" w:ascii="宋体" w:hAnsi="宋体" w:cs="宋体"/>
        </w:rPr>
        <w:t>（2) 投标人</w:t>
      </w:r>
      <w:r>
        <w:rPr>
          <w:rFonts w:hint="eastAsia" w:ascii="宋体" w:hAnsi="宋体" w:cs="宋体"/>
          <w:lang w:eastAsia="zh-CN"/>
        </w:rPr>
        <w:t>获取</w:t>
      </w:r>
      <w:r>
        <w:rPr>
          <w:rFonts w:hint="eastAsia" w:ascii="宋体" w:hAnsi="宋体" w:cs="宋体"/>
        </w:rPr>
        <w:t>采购文件之日早于采购文件公告期限届满之日的，则以投标人</w:t>
      </w:r>
      <w:r>
        <w:rPr>
          <w:rFonts w:hint="eastAsia" w:ascii="宋体" w:hAnsi="宋体" w:cs="宋体"/>
          <w:lang w:eastAsia="zh-CN"/>
        </w:rPr>
        <w:t>获取</w:t>
      </w:r>
      <w:r>
        <w:rPr>
          <w:rFonts w:hint="eastAsia" w:ascii="宋体" w:hAnsi="宋体" w:cs="宋体"/>
        </w:rPr>
        <w:t>采购文件之日为质疑时效期间的起算日期；否则，以采购文件公告期限届满之日为质疑时效期间的起算日期。</w:t>
      </w:r>
    </w:p>
    <w:p>
      <w:pPr>
        <w:spacing w:line="360" w:lineRule="auto"/>
        <w:rPr>
          <w:rFonts w:hint="eastAsia" w:ascii="宋体" w:hAnsi="宋体" w:cs="宋体"/>
        </w:rPr>
      </w:pPr>
      <w:r>
        <w:rPr>
          <w:rFonts w:hint="eastAsia" w:ascii="宋体" w:hAnsi="宋体" w:cs="宋体"/>
        </w:rPr>
        <w:t>（3) 投标人认为采购过程损害其权益的，应在各采购程序环节结束之日起七个工作日内提出。</w:t>
      </w:r>
    </w:p>
    <w:p>
      <w:pPr>
        <w:spacing w:line="360" w:lineRule="auto"/>
        <w:rPr>
          <w:rFonts w:hint="eastAsia" w:ascii="宋体" w:hAnsi="宋体" w:cs="宋体"/>
        </w:rPr>
      </w:pPr>
      <w:r>
        <w:rPr>
          <w:rFonts w:hint="eastAsia" w:ascii="宋体" w:hAnsi="宋体" w:cs="宋体"/>
        </w:rPr>
        <w:t>（4) 投标人认为中标或者成交结果损害其权益的，应在中标或者成交结果公告期限届满之日起七个工作日内提出。</w:t>
      </w:r>
    </w:p>
    <w:p>
      <w:pPr>
        <w:spacing w:line="360" w:lineRule="auto"/>
        <w:rPr>
          <w:rFonts w:hint="eastAsia" w:ascii="宋体" w:hAnsi="宋体" w:cs="宋体"/>
        </w:rPr>
      </w:pPr>
      <w:r>
        <w:rPr>
          <w:rFonts w:hint="eastAsia" w:ascii="宋体" w:hAnsi="宋体" w:cs="宋体"/>
        </w:rPr>
        <w:t>8.2.2. 提交要求：</w:t>
      </w:r>
    </w:p>
    <w:p>
      <w:pPr>
        <w:spacing w:line="360" w:lineRule="auto"/>
        <w:rPr>
          <w:rFonts w:hint="eastAsia" w:ascii="宋体" w:hAnsi="宋体" w:cs="宋体"/>
        </w:rPr>
      </w:pPr>
      <w:r>
        <w:rPr>
          <w:rFonts w:hint="eastAsia" w:ascii="宋体" w:hAnsi="宋体" w:cs="宋体"/>
        </w:rPr>
        <w:t>（1) 以书面纸质质疑函原件（不包括电报、电传、传真、电子数据交换和电子邮件等形式提出的质疑函）向采购人或者采购代理机构一次性提出针对同一采购程序环节的质疑。</w:t>
      </w:r>
    </w:p>
    <w:p>
      <w:pPr>
        <w:spacing w:line="360" w:lineRule="auto"/>
        <w:rPr>
          <w:rFonts w:hint="eastAsia" w:ascii="宋体" w:hAnsi="宋体" w:cs="宋体"/>
        </w:rPr>
      </w:pPr>
      <w:r>
        <w:rPr>
          <w:rFonts w:hint="eastAsia" w:ascii="宋体" w:hAnsi="宋体" w:cs="宋体"/>
        </w:rPr>
        <w:t>（2) 以联合体形式参加政府采购活动的，其质疑应当由组成联合体的所有投标人共同提出。</w:t>
      </w:r>
      <w:r>
        <w:rPr>
          <w:rFonts w:hint="eastAsia" w:ascii="宋体" w:hAnsi="宋体" w:cs="宋体"/>
          <w:lang w:eastAsia="zh-CN"/>
        </w:rPr>
        <w:t>（本项目不适用）</w:t>
      </w:r>
    </w:p>
    <w:p>
      <w:pPr>
        <w:spacing w:line="360" w:lineRule="auto"/>
        <w:rPr>
          <w:rFonts w:hint="eastAsia" w:ascii="宋体" w:hAnsi="宋体" w:cs="宋体"/>
        </w:rPr>
      </w:pPr>
      <w:r>
        <w:rPr>
          <w:rFonts w:hint="eastAsia" w:ascii="宋体" w:hAnsi="宋体" w:cs="宋体"/>
        </w:rPr>
        <w:t>（3) 质疑函应当包括下列内容：</w:t>
      </w:r>
    </w:p>
    <w:p>
      <w:pPr>
        <w:spacing w:line="360" w:lineRule="auto"/>
        <w:rPr>
          <w:rFonts w:hint="eastAsia" w:ascii="宋体" w:hAnsi="宋体" w:cs="宋体"/>
        </w:rPr>
      </w:pPr>
      <w:r>
        <w:rPr>
          <w:rFonts w:hint="eastAsia" w:ascii="宋体" w:hAnsi="宋体" w:cs="宋体"/>
        </w:rPr>
        <w:t>1) 投标人的姓名或者名称、地址、邮编、联系人及联系电话；</w:t>
      </w:r>
    </w:p>
    <w:p>
      <w:pPr>
        <w:spacing w:line="360" w:lineRule="auto"/>
        <w:rPr>
          <w:rFonts w:hint="eastAsia" w:ascii="宋体" w:hAnsi="宋体" w:cs="宋体"/>
        </w:rPr>
      </w:pPr>
      <w:r>
        <w:rPr>
          <w:rFonts w:hint="eastAsia" w:ascii="宋体" w:hAnsi="宋体" w:cs="宋体"/>
        </w:rPr>
        <w:t>2) 质疑项目的名称及编号；</w:t>
      </w:r>
    </w:p>
    <w:p>
      <w:pPr>
        <w:spacing w:line="360" w:lineRule="auto"/>
        <w:rPr>
          <w:rFonts w:hint="eastAsia" w:ascii="宋体" w:hAnsi="宋体" w:cs="宋体"/>
        </w:rPr>
      </w:pPr>
      <w:r>
        <w:rPr>
          <w:rFonts w:hint="eastAsia" w:ascii="宋体" w:hAnsi="宋体" w:cs="宋体"/>
        </w:rPr>
        <w:t>3) 具体、明确的质疑事项和与质疑事项相关的请求</w:t>
      </w:r>
    </w:p>
    <w:p>
      <w:pPr>
        <w:spacing w:line="360" w:lineRule="auto"/>
        <w:rPr>
          <w:rFonts w:hint="eastAsia" w:ascii="宋体" w:hAnsi="宋体" w:cs="宋体"/>
        </w:rPr>
      </w:pPr>
      <w:r>
        <w:rPr>
          <w:rFonts w:hint="eastAsia" w:ascii="宋体" w:hAnsi="宋体" w:cs="宋体"/>
        </w:rPr>
        <w:t>4) 事实依据；</w:t>
      </w:r>
    </w:p>
    <w:p>
      <w:pPr>
        <w:spacing w:line="360" w:lineRule="auto"/>
        <w:rPr>
          <w:rFonts w:hint="eastAsia" w:ascii="宋体" w:hAnsi="宋体" w:cs="宋体"/>
        </w:rPr>
      </w:pPr>
      <w:r>
        <w:rPr>
          <w:rFonts w:hint="eastAsia" w:ascii="宋体" w:hAnsi="宋体" w:cs="宋体"/>
        </w:rPr>
        <w:t>5) 必要的法律依据；</w:t>
      </w:r>
    </w:p>
    <w:p>
      <w:pPr>
        <w:spacing w:line="360" w:lineRule="auto"/>
        <w:rPr>
          <w:rFonts w:hint="eastAsia" w:ascii="宋体" w:hAnsi="宋体" w:cs="宋体"/>
        </w:rPr>
      </w:pPr>
      <w:r>
        <w:rPr>
          <w:rFonts w:hint="eastAsia" w:ascii="宋体" w:hAnsi="宋体" w:cs="宋体"/>
        </w:rPr>
        <w:t>6) 提出质疑的日期。</w:t>
      </w:r>
    </w:p>
    <w:p>
      <w:pPr>
        <w:spacing w:line="360" w:lineRule="auto"/>
        <w:rPr>
          <w:rFonts w:hint="eastAsia" w:ascii="宋体" w:hAnsi="宋体" w:cs="宋体"/>
        </w:rPr>
      </w:pPr>
      <w:r>
        <w:rPr>
          <w:rFonts w:hint="eastAsia" w:ascii="宋体" w:hAnsi="宋体" w:cs="宋体"/>
        </w:rPr>
        <w:t>（4) 投标人为自然人的，质疑函应当由本人签字；投标人为法人或者其他组织的，应当由法定代表人、主要负责人或授权代表签字或者盖个人名章，并加盖公章。投标人递交质疑函时非法定代表人亲自办理的，应提供法定代表人授权委托书和授权代表身份证复印件，其授权委托书应载明授权代表的姓名或者名称、代理事项、具体权限、期限和相关事项。</w:t>
      </w:r>
    </w:p>
    <w:p>
      <w:pPr>
        <w:spacing w:line="360" w:lineRule="auto"/>
        <w:rPr>
          <w:rFonts w:hint="eastAsia" w:ascii="宋体" w:hAnsi="宋体" w:cs="宋体"/>
        </w:rPr>
      </w:pPr>
      <w:r>
        <w:rPr>
          <w:rFonts w:hint="eastAsia" w:ascii="宋体" w:hAnsi="宋体" w:cs="宋体"/>
        </w:rPr>
        <w:t>8.2.3. 投标人捏造事实、提供虚假材料或者以非法手段取得证明材料不能作为质疑的证明材料。</w:t>
      </w:r>
    </w:p>
    <w:p>
      <w:pPr>
        <w:spacing w:line="360" w:lineRule="auto"/>
        <w:rPr>
          <w:rFonts w:hint="eastAsia" w:ascii="宋体" w:hAnsi="宋体" w:cs="宋体"/>
        </w:rPr>
      </w:pPr>
      <w:r>
        <w:rPr>
          <w:rFonts w:hint="eastAsia" w:ascii="宋体" w:hAnsi="宋体" w:cs="宋体"/>
        </w:rPr>
        <w:t>8.2.4. 采购人或者采购代理机构在收到投标人的书面质疑后7个工作日内作出答复，并以书面形式通知质疑投标人和其他有关投标人，但答复内容不得涉及商业秘密。质疑投标人须提供相关证明材料，包括但不限于权益受损害的情况说明及受损害的原因、证据内容等，并对质疑内容的真实性承担责任。</w:t>
      </w:r>
    </w:p>
    <w:p>
      <w:pPr>
        <w:spacing w:line="360" w:lineRule="auto"/>
        <w:rPr>
          <w:rFonts w:hint="eastAsia" w:ascii="宋体" w:hAnsi="宋体" w:cs="宋体"/>
        </w:rPr>
      </w:pPr>
      <w:r>
        <w:rPr>
          <w:rFonts w:hint="eastAsia" w:ascii="宋体" w:hAnsi="宋体" w:cs="宋体"/>
        </w:rPr>
        <w:t>8.2.5. 采购人或采购代理机构接收以书面形式当面递交的质疑函，不接受邮寄、传真等非以书面形式递交的质疑函。</w:t>
      </w:r>
    </w:p>
    <w:p>
      <w:pPr>
        <w:spacing w:line="360" w:lineRule="auto"/>
        <w:rPr>
          <w:rFonts w:hint="eastAsia" w:ascii="宋体" w:hAnsi="宋体" w:cs="宋体"/>
        </w:rPr>
      </w:pPr>
      <w:r>
        <w:rPr>
          <w:rFonts w:hint="eastAsia" w:ascii="宋体" w:hAnsi="宋体" w:cs="宋体"/>
        </w:rPr>
        <w:t>8.2.6. 具体询问、质疑函的格式详见本须知附件。</w:t>
      </w:r>
    </w:p>
    <w:p>
      <w:pPr>
        <w:spacing w:line="360" w:lineRule="auto"/>
        <w:rPr>
          <w:rFonts w:hint="eastAsia" w:ascii="宋体" w:hAnsi="宋体" w:cs="宋体"/>
        </w:rPr>
      </w:pPr>
      <w:r>
        <w:rPr>
          <w:rFonts w:hint="eastAsia" w:ascii="宋体" w:hAnsi="宋体" w:cs="宋体"/>
        </w:rPr>
        <w:t>8.2.7 质疑联系人：陈工</w:t>
      </w:r>
    </w:p>
    <w:p>
      <w:pPr>
        <w:spacing w:line="360" w:lineRule="auto"/>
        <w:rPr>
          <w:rFonts w:hint="eastAsia" w:ascii="宋体" w:hAnsi="宋体" w:cs="宋体"/>
        </w:rPr>
      </w:pPr>
      <w:r>
        <w:rPr>
          <w:rFonts w:hint="eastAsia" w:ascii="宋体" w:hAnsi="宋体" w:cs="宋体"/>
        </w:rPr>
        <w:t>电话：0754-87123068；</w:t>
      </w:r>
    </w:p>
    <w:p>
      <w:pPr>
        <w:spacing w:line="360" w:lineRule="auto"/>
        <w:rPr>
          <w:rFonts w:hint="eastAsia" w:ascii="宋体" w:hAnsi="宋体" w:cs="宋体"/>
        </w:rPr>
      </w:pPr>
      <w:r>
        <w:rPr>
          <w:rFonts w:hint="eastAsia" w:ascii="宋体" w:hAnsi="宋体" w:cs="宋体"/>
        </w:rPr>
        <w:t>地址：广东省汕头市金平区东厦路1号世纪海岸雅园6栋1810房，1811房；</w:t>
      </w:r>
    </w:p>
    <w:p>
      <w:pPr>
        <w:spacing w:line="360" w:lineRule="auto"/>
        <w:rPr>
          <w:rFonts w:hint="eastAsia" w:ascii="宋体" w:hAnsi="宋体" w:cs="宋体"/>
        </w:rPr>
      </w:pPr>
      <w:r>
        <w:rPr>
          <w:rFonts w:hint="eastAsia" w:ascii="宋体" w:hAnsi="宋体" w:cs="宋体"/>
        </w:rPr>
        <w:t>邮编：515041</w:t>
      </w:r>
    </w:p>
    <w:p>
      <w:pPr>
        <w:rPr>
          <w:rFonts w:hint="eastAsia" w:ascii="宋体" w:hAnsi="宋体" w:cs="宋体"/>
        </w:rPr>
      </w:pPr>
    </w:p>
    <w:p>
      <w:pPr>
        <w:spacing w:line="360" w:lineRule="auto"/>
        <w:rPr>
          <w:rFonts w:hint="eastAsia" w:ascii="宋体" w:hAnsi="宋体" w:cs="宋体"/>
        </w:rPr>
      </w:pPr>
      <w:r>
        <w:rPr>
          <w:rFonts w:hint="eastAsia" w:ascii="宋体" w:hAnsi="宋体" w:cs="宋体"/>
        </w:rPr>
        <w:t>8.3投诉</w:t>
      </w:r>
    </w:p>
    <w:p>
      <w:pPr>
        <w:spacing w:line="360" w:lineRule="auto"/>
        <w:rPr>
          <w:rFonts w:hint="eastAsia" w:ascii="宋体" w:hAnsi="宋体" w:cs="宋体"/>
        </w:rPr>
      </w:pPr>
      <w:r>
        <w:rPr>
          <w:rFonts w:hint="eastAsia" w:ascii="宋体" w:hAnsi="宋体" w:cs="宋体"/>
        </w:rPr>
        <w:t>8.3.1. 质疑投标人对采购人或者采购代理机构的质疑答复不满意，或采购人或者采购代理机构未在规定期限内作出答复的，可以在答复期届满十五个工作日内向采购监督管理部门提出投诉。</w:t>
      </w:r>
    </w:p>
    <w:p>
      <w:pPr>
        <w:spacing w:line="360" w:lineRule="auto"/>
        <w:rPr>
          <w:rFonts w:hint="eastAsia" w:ascii="宋体" w:hAnsi="宋体" w:cs="宋体"/>
        </w:rPr>
      </w:pPr>
      <w:r>
        <w:rPr>
          <w:rFonts w:hint="eastAsia" w:ascii="宋体" w:hAnsi="宋体" w:cs="宋体"/>
        </w:rPr>
        <w:t>8.3.2 政府采购监督管理机构名称：财政部国库司政府采购监督裁决处</w:t>
      </w:r>
    </w:p>
    <w:p>
      <w:pPr>
        <w:spacing w:line="360" w:lineRule="auto"/>
        <w:rPr>
          <w:rFonts w:hint="eastAsia" w:ascii="宋体" w:hAnsi="宋体" w:cs="宋体"/>
        </w:rPr>
      </w:pPr>
      <w:r>
        <w:rPr>
          <w:rFonts w:hint="eastAsia" w:ascii="宋体" w:hAnsi="宋体" w:cs="宋体"/>
        </w:rPr>
        <w:t>地 址：北京市西城区月坛北小街13号中船宾馆北楼四层8401室、8403室</w:t>
      </w:r>
    </w:p>
    <w:p>
      <w:pPr>
        <w:spacing w:line="360" w:lineRule="auto"/>
        <w:rPr>
          <w:rFonts w:hint="eastAsia" w:ascii="宋体" w:hAnsi="宋体" w:cs="宋体"/>
        </w:rPr>
      </w:pPr>
      <w:r>
        <w:rPr>
          <w:rFonts w:hint="eastAsia" w:ascii="宋体" w:hAnsi="宋体" w:cs="宋体"/>
        </w:rPr>
        <w:t>电 话：010-68513070，68519967</w:t>
      </w:r>
    </w:p>
    <w:p>
      <w:pPr>
        <w:pStyle w:val="8"/>
        <w:rPr>
          <w:rFonts w:hint="eastAsia" w:ascii="宋体" w:hAnsi="宋体" w:cs="宋体"/>
        </w:rPr>
      </w:pPr>
      <w:bookmarkStart w:id="100" w:name="_Toc19708"/>
      <w:r>
        <w:rPr>
          <w:rFonts w:hint="eastAsia" w:ascii="宋体" w:hAnsi="宋体" w:cs="宋体"/>
        </w:rPr>
        <w:t>9  采购文件的修改</w:t>
      </w:r>
      <w:bookmarkEnd w:id="97"/>
      <w:bookmarkEnd w:id="98"/>
      <w:bookmarkEnd w:id="99"/>
      <w:bookmarkEnd w:id="100"/>
    </w:p>
    <w:p>
      <w:pPr>
        <w:spacing w:line="360" w:lineRule="auto"/>
        <w:rPr>
          <w:rFonts w:hint="eastAsia" w:ascii="宋体" w:hAnsi="宋体" w:cs="宋体"/>
        </w:rPr>
      </w:pPr>
      <w:r>
        <w:rPr>
          <w:rFonts w:hint="eastAsia" w:ascii="宋体" w:hAnsi="宋体" w:cs="宋体"/>
        </w:rPr>
        <w:t>9.1  投标截止时间前，采购代理机构可主动地或在解答投标人提出的澄清问题时对采购文件进行修改。</w:t>
      </w:r>
    </w:p>
    <w:p>
      <w:pPr>
        <w:spacing w:line="360" w:lineRule="auto"/>
        <w:rPr>
          <w:rFonts w:hint="eastAsia" w:ascii="宋体" w:hAnsi="宋体" w:cs="宋体"/>
        </w:rPr>
      </w:pPr>
      <w:r>
        <w:rPr>
          <w:rFonts w:hint="eastAsia" w:ascii="宋体" w:hAnsi="宋体" w:cs="宋体"/>
        </w:rPr>
        <w:t>9.2  采购文件的修改将以书面形式通知所有报名登记获得采购文件的投标人，并对其具有约束力。投标人在收到上述通知后，应立即向采购代理机构回函确认。</w:t>
      </w:r>
    </w:p>
    <w:p>
      <w:pPr>
        <w:spacing w:line="360" w:lineRule="auto"/>
        <w:rPr>
          <w:rFonts w:hint="eastAsia" w:ascii="宋体" w:hAnsi="宋体" w:cs="宋体"/>
        </w:rPr>
      </w:pPr>
      <w:r>
        <w:rPr>
          <w:rFonts w:hint="eastAsia" w:ascii="宋体" w:hAnsi="宋体" w:cs="宋体"/>
        </w:rPr>
        <w:t>9.3  采购文件的修改书将构成采购文件的一部分，对所有投标人均有约束力。</w:t>
      </w:r>
    </w:p>
    <w:p>
      <w:pPr>
        <w:pStyle w:val="6"/>
        <w:spacing w:before="240" w:beforeLines="100" w:after="0" w:line="360" w:lineRule="auto"/>
        <w:jc w:val="center"/>
        <w:rPr>
          <w:rFonts w:hint="eastAsia" w:ascii="宋体" w:hAnsi="宋体" w:cs="宋体"/>
          <w:sz w:val="32"/>
        </w:rPr>
      </w:pPr>
      <w:bookmarkStart w:id="101" w:name="_Toc500229368"/>
      <w:bookmarkStart w:id="102" w:name="_Toc32729"/>
      <w:bookmarkStart w:id="103" w:name="_Toc102300281"/>
      <w:bookmarkStart w:id="104" w:name="_Toc98175191"/>
      <w:r>
        <w:rPr>
          <w:rFonts w:hint="eastAsia" w:ascii="宋体" w:hAnsi="宋体" w:cs="宋体"/>
          <w:sz w:val="32"/>
        </w:rPr>
        <w:t>三  投标文件的编制</w:t>
      </w:r>
      <w:bookmarkEnd w:id="101"/>
      <w:bookmarkEnd w:id="102"/>
      <w:bookmarkEnd w:id="103"/>
      <w:bookmarkEnd w:id="104"/>
    </w:p>
    <w:p>
      <w:pPr>
        <w:pStyle w:val="8"/>
        <w:rPr>
          <w:rFonts w:hint="eastAsia" w:ascii="宋体" w:hAnsi="宋体" w:cs="宋体"/>
        </w:rPr>
      </w:pPr>
      <w:bookmarkStart w:id="105" w:name="_Toc262242501"/>
      <w:bookmarkStart w:id="106" w:name="_Toc29589"/>
      <w:bookmarkStart w:id="107" w:name="_Toc500229369"/>
      <w:bookmarkStart w:id="108" w:name="_Toc102300282"/>
      <w:r>
        <w:rPr>
          <w:rFonts w:hint="eastAsia" w:ascii="宋体" w:hAnsi="宋体" w:cs="宋体"/>
        </w:rPr>
        <w:t>10  投标的语言</w:t>
      </w:r>
      <w:bookmarkEnd w:id="105"/>
      <w:bookmarkEnd w:id="106"/>
      <w:bookmarkEnd w:id="107"/>
      <w:bookmarkEnd w:id="108"/>
    </w:p>
    <w:p>
      <w:pPr>
        <w:spacing w:line="360" w:lineRule="auto"/>
        <w:rPr>
          <w:rFonts w:hint="eastAsia" w:ascii="宋体" w:hAnsi="宋体" w:cs="宋体"/>
        </w:rPr>
      </w:pPr>
      <w:r>
        <w:rPr>
          <w:rFonts w:hint="eastAsia" w:ascii="宋体" w:hAnsi="宋体" w:cs="宋体"/>
        </w:rPr>
        <w:t>10.1  投标人提交的投标文件以及投标人与采购代理机构和采购人就有关投标的所有来往函电均应使用中文书写。对于任何非中文的资料，都应提供中文翻译本，在解释时以翻译本为准。</w:t>
      </w:r>
    </w:p>
    <w:p>
      <w:pPr>
        <w:pStyle w:val="8"/>
        <w:rPr>
          <w:rFonts w:hint="eastAsia" w:ascii="宋体" w:hAnsi="宋体" w:cs="宋体"/>
        </w:rPr>
      </w:pPr>
      <w:bookmarkStart w:id="109" w:name="_Toc500229370"/>
      <w:bookmarkStart w:id="110" w:name="_Toc102300283"/>
      <w:bookmarkStart w:id="111" w:name="_Toc262242502"/>
      <w:bookmarkStart w:id="112" w:name="_Toc15253"/>
      <w:r>
        <w:rPr>
          <w:rFonts w:hint="eastAsia" w:ascii="宋体" w:hAnsi="宋体" w:cs="宋体"/>
        </w:rPr>
        <w:t>11  投标文件构成</w:t>
      </w:r>
      <w:bookmarkEnd w:id="109"/>
      <w:bookmarkEnd w:id="110"/>
      <w:bookmarkEnd w:id="111"/>
      <w:bookmarkEnd w:id="112"/>
    </w:p>
    <w:p>
      <w:pPr>
        <w:spacing w:line="360" w:lineRule="auto"/>
        <w:rPr>
          <w:rFonts w:hint="eastAsia" w:ascii="宋体" w:hAnsi="宋体" w:cs="宋体"/>
        </w:rPr>
      </w:pPr>
      <w:r>
        <w:rPr>
          <w:rFonts w:hint="eastAsia" w:ascii="宋体" w:hAnsi="宋体" w:cs="宋体"/>
        </w:rPr>
        <w:t xml:space="preserve">11.1  </w:t>
      </w:r>
      <w:r>
        <w:rPr>
          <w:rFonts w:hint="eastAsia" w:ascii="宋体" w:hAnsi="宋体" w:cs="宋体"/>
          <w:szCs w:val="21"/>
          <w:lang w:val="zh-CN"/>
        </w:rPr>
        <w:t>投标文件的组成</w:t>
      </w:r>
      <w:r>
        <w:rPr>
          <w:rFonts w:hint="eastAsia" w:ascii="宋体" w:hAnsi="宋体" w:cs="宋体"/>
        </w:rPr>
        <w:t>：</w:t>
      </w:r>
    </w:p>
    <w:p>
      <w:pPr>
        <w:spacing w:line="360" w:lineRule="auto"/>
        <w:ind w:firstLine="422"/>
        <w:rPr>
          <w:rFonts w:hint="eastAsia" w:ascii="宋体" w:hAnsi="宋体" w:cs="宋体"/>
          <w:b/>
          <w:bCs/>
          <w:szCs w:val="21"/>
        </w:rPr>
      </w:pPr>
      <w:r>
        <w:rPr>
          <w:rFonts w:hint="eastAsia" w:ascii="宋体" w:hAnsi="宋体" w:cs="宋体"/>
          <w:b/>
          <w:bCs/>
          <w:szCs w:val="21"/>
          <w:lang w:val="zh-CN"/>
        </w:rPr>
        <w:t>11.1.1经济部分</w:t>
      </w:r>
    </w:p>
    <w:p>
      <w:pPr>
        <w:numPr>
          <w:ilvl w:val="0"/>
          <w:numId w:val="17"/>
        </w:numPr>
        <w:spacing w:line="360" w:lineRule="auto"/>
        <w:ind w:firstLine="422"/>
        <w:rPr>
          <w:rFonts w:hint="eastAsia" w:ascii="宋体" w:hAnsi="宋体" w:cs="宋体"/>
          <w:szCs w:val="21"/>
          <w:lang w:val="zh-CN"/>
        </w:rPr>
      </w:pPr>
      <w:r>
        <w:rPr>
          <w:rFonts w:hint="eastAsia" w:ascii="宋体" w:hAnsi="宋体" w:cs="宋体"/>
          <w:szCs w:val="21"/>
          <w:lang w:val="zh-CN"/>
        </w:rPr>
        <w:t>投标报价表</w:t>
      </w:r>
    </w:p>
    <w:p>
      <w:pPr>
        <w:spacing w:line="360" w:lineRule="auto"/>
        <w:ind w:firstLine="422"/>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）中小企业声明函</w:t>
      </w:r>
    </w:p>
    <w:p>
      <w:pPr>
        <w:spacing w:line="360" w:lineRule="auto"/>
        <w:ind w:firstLine="422"/>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）监狱企业声明函（</w:t>
      </w:r>
      <w:r>
        <w:rPr>
          <w:rFonts w:hint="eastAsia" w:ascii="宋体" w:hAnsi="宋体" w:cs="宋体"/>
          <w:szCs w:val="21"/>
        </w:rPr>
        <w:t>如有</w:t>
      </w:r>
      <w:r>
        <w:rPr>
          <w:rFonts w:hint="eastAsia" w:ascii="宋体" w:hAnsi="宋体" w:cs="宋体"/>
          <w:szCs w:val="21"/>
          <w:lang w:val="zh-CN"/>
        </w:rPr>
        <w:t>）</w:t>
      </w:r>
    </w:p>
    <w:p>
      <w:pPr>
        <w:spacing w:line="360" w:lineRule="auto"/>
        <w:ind w:firstLine="422"/>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）残疾人福利性单位声明函（</w:t>
      </w:r>
      <w:r>
        <w:rPr>
          <w:rFonts w:hint="eastAsia" w:ascii="宋体" w:hAnsi="宋体" w:cs="宋体"/>
          <w:szCs w:val="21"/>
        </w:rPr>
        <w:t>如有</w:t>
      </w:r>
      <w:r>
        <w:rPr>
          <w:rFonts w:hint="eastAsia" w:ascii="宋体" w:hAnsi="宋体" w:cs="宋体"/>
          <w:szCs w:val="21"/>
          <w:lang w:val="zh-CN"/>
        </w:rPr>
        <w:t>）</w:t>
      </w:r>
    </w:p>
    <w:p>
      <w:pPr>
        <w:spacing w:line="360" w:lineRule="auto"/>
        <w:ind w:firstLine="422"/>
        <w:rPr>
          <w:rFonts w:hint="eastAsia" w:ascii="宋体" w:hAnsi="宋体" w:cs="宋体"/>
          <w:szCs w:val="21"/>
          <w:lang w:val="zh-CN"/>
        </w:rPr>
      </w:pPr>
      <w:r>
        <w:rPr>
          <w:rFonts w:hint="eastAsia" w:ascii="宋体" w:hAnsi="宋体" w:cs="宋体"/>
          <w:szCs w:val="21"/>
        </w:rPr>
        <w:t>5</w:t>
      </w:r>
      <w:r>
        <w:rPr>
          <w:rFonts w:hint="eastAsia" w:ascii="宋体" w:hAnsi="宋体" w:cs="宋体"/>
          <w:szCs w:val="21"/>
          <w:lang w:val="zh-CN"/>
        </w:rPr>
        <w:t>）政策适用性说明（</w:t>
      </w:r>
      <w:r>
        <w:rPr>
          <w:rFonts w:hint="eastAsia" w:ascii="宋体" w:hAnsi="宋体" w:cs="宋体"/>
          <w:szCs w:val="21"/>
        </w:rPr>
        <w:t>如有</w:t>
      </w:r>
      <w:r>
        <w:rPr>
          <w:rFonts w:hint="eastAsia" w:ascii="宋体" w:hAnsi="宋体" w:cs="宋体"/>
          <w:szCs w:val="21"/>
          <w:lang w:val="zh-CN"/>
        </w:rPr>
        <w:t>）</w:t>
      </w:r>
    </w:p>
    <w:p>
      <w:pPr>
        <w:spacing w:line="360" w:lineRule="auto"/>
        <w:ind w:firstLine="422"/>
        <w:rPr>
          <w:rFonts w:hint="eastAsia" w:ascii="宋体" w:hAnsi="宋体" w:cs="宋体"/>
          <w:b/>
          <w:bCs/>
          <w:szCs w:val="21"/>
        </w:rPr>
      </w:pPr>
      <w:r>
        <w:rPr>
          <w:rFonts w:hint="eastAsia" w:ascii="宋体" w:hAnsi="宋体" w:cs="宋体"/>
          <w:b/>
          <w:bCs/>
          <w:szCs w:val="21"/>
          <w:lang w:val="zh-CN"/>
        </w:rPr>
        <w:t>11.1.2商务部分</w:t>
      </w:r>
    </w:p>
    <w:p>
      <w:pPr>
        <w:spacing w:line="360" w:lineRule="auto"/>
        <w:ind w:firstLine="420"/>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）投标函</w:t>
      </w:r>
    </w:p>
    <w:p>
      <w:pPr>
        <w:spacing w:line="360" w:lineRule="auto"/>
        <w:ind w:firstLine="420"/>
        <w:rPr>
          <w:rFonts w:hint="eastAsia" w:ascii="宋体" w:hAnsi="宋体" w:cs="宋体"/>
          <w:szCs w:val="24"/>
          <w:lang w:val="zh-CN"/>
        </w:rPr>
      </w:pPr>
      <w:r>
        <w:rPr>
          <w:rFonts w:hint="eastAsia" w:ascii="宋体" w:hAnsi="宋体" w:cs="宋体"/>
          <w:szCs w:val="24"/>
        </w:rPr>
        <w:t>2</w:t>
      </w:r>
      <w:r>
        <w:rPr>
          <w:rFonts w:hint="eastAsia" w:ascii="宋体" w:hAnsi="宋体" w:cs="宋体"/>
          <w:szCs w:val="24"/>
          <w:lang w:val="zh-CN"/>
        </w:rPr>
        <w:t>）中华人民共和国境内注册的法人或其他组织的营业执照，如投标人为自然人的需提供自然人身份证明（加盖投标人公章）</w:t>
      </w:r>
    </w:p>
    <w:p>
      <w:pPr>
        <w:spacing w:line="360" w:lineRule="auto"/>
        <w:ind w:firstLine="420"/>
        <w:rPr>
          <w:rFonts w:hint="eastAsia" w:ascii="宋体" w:hAnsi="宋体" w:cs="宋体"/>
          <w:szCs w:val="24"/>
          <w:lang w:val="zh-CN"/>
        </w:rPr>
      </w:pPr>
      <w:r>
        <w:rPr>
          <w:rFonts w:hint="eastAsia" w:ascii="宋体" w:hAnsi="宋体" w:cs="宋体"/>
          <w:szCs w:val="24"/>
        </w:rPr>
        <w:t>3</w:t>
      </w:r>
      <w:r>
        <w:rPr>
          <w:rFonts w:hint="eastAsia" w:ascii="宋体" w:hAnsi="宋体" w:cs="宋体"/>
          <w:szCs w:val="24"/>
          <w:lang w:val="zh-CN"/>
        </w:rPr>
        <w:t>）法定代表人身份证明书及法定代表人身份证复印件（加盖投标人公章）</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lang w:val="zh-CN"/>
        </w:rPr>
        <w:t>4）法定代表人授权委托书及被授权人身份证复印件（加盖投标人公章）</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rPr>
        <w:t>5</w:t>
      </w:r>
      <w:r>
        <w:rPr>
          <w:rFonts w:hint="eastAsia" w:hAnsi="宋体" w:cs="宋体"/>
          <w:kern w:val="2"/>
          <w:sz w:val="24"/>
          <w:szCs w:val="24"/>
          <w:lang w:val="zh-CN"/>
        </w:rPr>
        <w:t>）投标人必须满足以下条件之一：</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lang w:val="zh-CN"/>
        </w:rPr>
        <w:t>①具有《保安服务许可证》，投标时提交许可证复印件并加盖投标人公章；</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lang w:val="zh-CN"/>
        </w:rPr>
        <w:t>②投标时承诺签订合同之后按《保安服务管理条例》的要求到公安机关备案（承诺函格式自拟）。</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rPr>
        <w:t>6</w:t>
      </w:r>
      <w:r>
        <w:rPr>
          <w:rFonts w:hint="eastAsia" w:hAnsi="宋体" w:cs="宋体"/>
          <w:kern w:val="2"/>
          <w:sz w:val="24"/>
          <w:szCs w:val="24"/>
          <w:lang w:val="zh-CN"/>
        </w:rPr>
        <w:t>）有依法缴纳税收和社会保障资金的良好记录：提供2024年度任意1个月缴纳税收和社会保险的凭据证明材料复印件；如依法免税或不需要缴纳社会保障资金的，应提供相应文件证明。</w:t>
      </w:r>
    </w:p>
    <w:p>
      <w:pPr>
        <w:pStyle w:val="59"/>
        <w:numPr>
          <w:ilvl w:val="0"/>
          <w:numId w:val="18"/>
        </w:numPr>
        <w:spacing w:line="360" w:lineRule="auto"/>
        <w:ind w:firstLine="480" w:firstLineChars="200"/>
        <w:rPr>
          <w:rFonts w:hint="eastAsia" w:hAnsi="宋体" w:cs="宋体"/>
          <w:kern w:val="2"/>
          <w:sz w:val="24"/>
          <w:szCs w:val="24"/>
          <w:lang w:val="zh-CN"/>
        </w:rPr>
      </w:pPr>
      <w:r>
        <w:rPr>
          <w:rFonts w:hint="eastAsia" w:hAnsi="宋体" w:cs="宋体"/>
          <w:kern w:val="2"/>
          <w:sz w:val="24"/>
          <w:szCs w:val="24"/>
          <w:lang w:val="zh-CN"/>
        </w:rPr>
        <w:t>具有良好的商业信誉和健全的财务会计制度：提供2023年度财务状况报告或2024年度任意1个月的财务状况报告复印件，或银行出具的资信证明材料复印件 。</w:t>
      </w:r>
    </w:p>
    <w:p>
      <w:pPr>
        <w:pStyle w:val="59"/>
        <w:numPr>
          <w:ilvl w:val="0"/>
          <w:numId w:val="19"/>
        </w:numPr>
        <w:spacing w:line="360" w:lineRule="auto"/>
        <w:ind w:firstLine="480" w:firstLineChars="200"/>
        <w:rPr>
          <w:rFonts w:hint="eastAsia" w:hAnsi="宋体" w:cs="宋体"/>
          <w:kern w:val="2"/>
          <w:sz w:val="24"/>
          <w:szCs w:val="24"/>
          <w:lang w:val="zh-CN"/>
        </w:rPr>
      </w:pPr>
      <w:r>
        <w:rPr>
          <w:rFonts w:hint="eastAsia" w:hAnsi="宋体" w:cs="宋体"/>
          <w:kern w:val="2"/>
          <w:sz w:val="24"/>
          <w:szCs w:val="24"/>
          <w:lang w:val="zh-CN"/>
        </w:rPr>
        <w:t>参加政府采购活动前三年内在经营活动中没有重大违法记录的声明函。</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rPr>
        <w:t>9</w:t>
      </w:r>
      <w:r>
        <w:rPr>
          <w:rFonts w:hint="eastAsia" w:hAnsi="宋体" w:cs="宋体"/>
          <w:kern w:val="2"/>
          <w:sz w:val="24"/>
          <w:szCs w:val="24"/>
          <w:lang w:val="zh-CN"/>
        </w:rPr>
        <w:t>）投标人未被列入“信用中国”网站(www.creditchina.gov.cn)“记录失信被执行人或重大税收违法</w:t>
      </w:r>
      <w:r>
        <w:rPr>
          <w:rFonts w:hint="eastAsia" w:hAnsi="宋体" w:cs="宋体"/>
          <w:kern w:val="2"/>
          <w:sz w:val="24"/>
          <w:szCs w:val="24"/>
        </w:rPr>
        <w:t>失信主体或政府采购严重违法失信行为</w:t>
      </w:r>
      <w:r>
        <w:rPr>
          <w:rFonts w:hint="eastAsia" w:hAnsi="宋体" w:cs="宋体"/>
          <w:kern w:val="2"/>
          <w:sz w:val="24"/>
          <w:szCs w:val="24"/>
          <w:lang w:val="zh-CN"/>
        </w:rPr>
        <w:t>”记录名单；不处于中国政府采购网(www.ccgp.gov.cn)“政府采购严重违法失信行为信息记录”中的禁止参加政府采购活动期间。（加盖投标人公章）</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rPr>
        <w:t>10</w:t>
      </w:r>
      <w:r>
        <w:rPr>
          <w:rFonts w:hint="eastAsia" w:hAnsi="宋体" w:cs="宋体"/>
          <w:kern w:val="2"/>
          <w:sz w:val="24"/>
          <w:szCs w:val="24"/>
          <w:lang w:val="zh-CN"/>
        </w:rPr>
        <w:t>）投标人资格声明函</w:t>
      </w:r>
    </w:p>
    <w:p>
      <w:pPr>
        <w:pStyle w:val="59"/>
        <w:spacing w:line="360" w:lineRule="auto"/>
        <w:ind w:firstLine="480" w:firstLineChars="200"/>
        <w:rPr>
          <w:rFonts w:hint="eastAsia" w:hAnsi="宋体" w:cs="宋体"/>
          <w:kern w:val="2"/>
          <w:sz w:val="24"/>
          <w:szCs w:val="24"/>
        </w:rPr>
      </w:pPr>
      <w:r>
        <w:rPr>
          <w:rFonts w:hint="eastAsia" w:hAnsi="宋体" w:cs="宋体"/>
          <w:kern w:val="2"/>
          <w:sz w:val="24"/>
          <w:szCs w:val="24"/>
        </w:rPr>
        <w:t>11）承诺函</w:t>
      </w:r>
    </w:p>
    <w:p>
      <w:pPr>
        <w:pStyle w:val="59"/>
        <w:spacing w:line="360" w:lineRule="auto"/>
        <w:ind w:firstLine="480" w:firstLineChars="200"/>
        <w:rPr>
          <w:rFonts w:hint="eastAsia" w:hAnsi="宋体" w:cs="宋体"/>
          <w:kern w:val="2"/>
          <w:sz w:val="24"/>
          <w:szCs w:val="24"/>
          <w:lang w:val="zh-CN"/>
        </w:rPr>
      </w:pPr>
      <w:r>
        <w:rPr>
          <w:rFonts w:hint="eastAsia" w:hAnsi="宋体" w:cs="宋体"/>
          <w:kern w:val="2"/>
          <w:sz w:val="24"/>
          <w:szCs w:val="24"/>
        </w:rPr>
        <w:t>12</w:t>
      </w:r>
      <w:r>
        <w:rPr>
          <w:rFonts w:hint="eastAsia" w:hAnsi="宋体" w:cs="宋体"/>
          <w:kern w:val="2"/>
          <w:sz w:val="24"/>
          <w:szCs w:val="24"/>
          <w:lang w:val="zh-CN"/>
        </w:rPr>
        <w:t>）投标人认为有必要提供的其它材料</w:t>
      </w:r>
    </w:p>
    <w:p>
      <w:pPr>
        <w:pStyle w:val="59"/>
        <w:spacing w:line="360" w:lineRule="auto"/>
        <w:ind w:firstLine="562" w:firstLineChars="200"/>
        <w:rPr>
          <w:rFonts w:hint="eastAsia" w:hAnsi="宋体" w:cs="宋体"/>
          <w:b/>
          <w:bCs/>
          <w:szCs w:val="21"/>
        </w:rPr>
      </w:pPr>
      <w:r>
        <w:rPr>
          <w:rFonts w:hint="eastAsia" w:hAnsi="宋体" w:cs="宋体"/>
          <w:b/>
          <w:bCs/>
          <w:szCs w:val="21"/>
          <w:lang w:val="zh-CN"/>
        </w:rPr>
        <w:t>11.1.3技术部分</w:t>
      </w:r>
    </w:p>
    <w:p>
      <w:pPr>
        <w:pStyle w:val="37"/>
        <w:adjustRightInd w:val="0"/>
        <w:snapToGrid w:val="0"/>
        <w:spacing w:line="360" w:lineRule="auto"/>
        <w:ind w:firstLine="480" w:firstLineChars="200"/>
        <w:rPr>
          <w:rFonts w:hint="eastAsia" w:hAnsi="宋体" w:cs="宋体"/>
        </w:rPr>
      </w:pPr>
      <w:r>
        <w:rPr>
          <w:rFonts w:hint="eastAsia" w:hAnsi="宋体" w:cs="宋体"/>
        </w:rPr>
        <w:t>1）服务方案（据实自主编制）</w:t>
      </w:r>
    </w:p>
    <w:p>
      <w:pPr>
        <w:pStyle w:val="37"/>
        <w:adjustRightInd w:val="0"/>
        <w:snapToGrid w:val="0"/>
        <w:spacing w:line="360" w:lineRule="auto"/>
        <w:ind w:firstLine="480" w:firstLineChars="200"/>
        <w:rPr>
          <w:rFonts w:hint="eastAsia" w:hAnsi="宋体" w:cs="宋体"/>
        </w:rPr>
      </w:pPr>
      <w:r>
        <w:rPr>
          <w:rFonts w:hint="eastAsia" w:hAnsi="宋体" w:cs="宋体"/>
        </w:rPr>
        <w:t>2）投标人认为有必要提供的其它材料</w:t>
      </w:r>
    </w:p>
    <w:p>
      <w:pPr>
        <w:spacing w:line="360" w:lineRule="auto"/>
        <w:ind w:firstLine="422"/>
        <w:rPr>
          <w:rFonts w:hint="eastAsia" w:ascii="宋体" w:hAnsi="宋体" w:cs="宋体"/>
          <w:b/>
          <w:bCs/>
          <w:szCs w:val="21"/>
          <w:lang w:val="zh-CN"/>
        </w:rPr>
      </w:pPr>
      <w:r>
        <w:rPr>
          <w:rFonts w:hint="eastAsia" w:ascii="宋体" w:hAnsi="宋体" w:cs="宋体"/>
          <w:b/>
          <w:bCs/>
          <w:szCs w:val="21"/>
          <w:lang w:val="zh-CN"/>
        </w:rPr>
        <w:t>11.1.4 唱标信封</w:t>
      </w:r>
    </w:p>
    <w:p>
      <w:pPr>
        <w:spacing w:line="360" w:lineRule="auto"/>
        <w:ind w:firstLine="420"/>
        <w:rPr>
          <w:rFonts w:hint="eastAsia" w:ascii="宋体" w:hAnsi="宋体" w:cs="宋体"/>
          <w:szCs w:val="21"/>
          <w:lang w:val="zh-CN"/>
        </w:rPr>
      </w:pPr>
      <w:r>
        <w:rPr>
          <w:rFonts w:hint="eastAsia" w:ascii="宋体" w:hAnsi="宋体" w:cs="宋体"/>
          <w:szCs w:val="21"/>
          <w:lang w:val="zh-CN"/>
        </w:rPr>
        <w:t>1）投标报价表</w:t>
      </w:r>
    </w:p>
    <w:p>
      <w:pPr>
        <w:spacing w:line="360" w:lineRule="auto"/>
        <w:ind w:left="840" w:leftChars="200" w:hanging="360" w:hangingChars="150"/>
        <w:rPr>
          <w:rFonts w:hint="eastAsia" w:ascii="宋体" w:hAnsi="宋体" w:cs="宋体"/>
          <w:szCs w:val="21"/>
          <w:lang w:val="zh-CN"/>
        </w:rPr>
      </w:pPr>
      <w:r>
        <w:rPr>
          <w:rFonts w:hint="eastAsia" w:ascii="宋体" w:hAnsi="宋体" w:cs="宋体"/>
          <w:szCs w:val="21"/>
          <w:lang w:val="zh-CN"/>
        </w:rPr>
        <w:t>2）法定代表人身份证明书、法定代表人授权委托书（如有）</w:t>
      </w:r>
    </w:p>
    <w:p>
      <w:pPr>
        <w:spacing w:line="360" w:lineRule="auto"/>
        <w:ind w:left="840" w:leftChars="200" w:hanging="360" w:hangingChars="15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）电子文件【经济、商务、技术部分文件, 电子文件（盖章后扫描的PDF版本）采用DVD－R光盘（不加密）或U盘储存】</w:t>
      </w:r>
    </w:p>
    <w:p>
      <w:pPr>
        <w:spacing w:line="360" w:lineRule="auto"/>
        <w:ind w:left="720" w:hanging="720" w:hangingChars="300"/>
        <w:rPr>
          <w:rFonts w:hint="eastAsia" w:ascii="宋体" w:hAnsi="宋体" w:cs="宋体"/>
          <w:szCs w:val="21"/>
          <w:lang w:val="zh-CN"/>
        </w:rPr>
      </w:pPr>
      <w:bookmarkStart w:id="113" w:name="_Toc102300284"/>
      <w:bookmarkStart w:id="114" w:name="_Toc262242503"/>
      <w:r>
        <w:rPr>
          <w:rFonts w:hint="eastAsia" w:ascii="宋体" w:hAnsi="宋体" w:cs="宋体"/>
          <w:szCs w:val="21"/>
          <w:lang w:val="zh-CN"/>
        </w:rPr>
        <w:t xml:space="preserve">11.2  </w:t>
      </w:r>
      <w:r>
        <w:rPr>
          <w:rFonts w:hint="eastAsia" w:ascii="宋体" w:hAnsi="宋体" w:cs="宋体"/>
          <w:b/>
        </w:rPr>
        <w:t>投标人编制投标文件必须包括上述内容，但不限于上述内容。投标文件（含商务部分、技术部分及经济部分）一同装订成一册，并编制目录和页码；唱标信封单独封装。</w:t>
      </w:r>
    </w:p>
    <w:p>
      <w:pPr>
        <w:pStyle w:val="8"/>
        <w:spacing w:line="360" w:lineRule="auto"/>
        <w:rPr>
          <w:rFonts w:hint="eastAsia" w:ascii="宋体" w:hAnsi="宋体" w:cs="宋体"/>
        </w:rPr>
      </w:pPr>
      <w:bookmarkStart w:id="115" w:name="_Toc24939"/>
      <w:bookmarkStart w:id="116" w:name="_Toc500229371"/>
      <w:r>
        <w:rPr>
          <w:rFonts w:hint="eastAsia" w:ascii="宋体" w:hAnsi="宋体" w:cs="宋体"/>
        </w:rPr>
        <w:t>12  投标文件格式</w:t>
      </w:r>
      <w:bookmarkEnd w:id="113"/>
      <w:bookmarkEnd w:id="114"/>
      <w:bookmarkEnd w:id="115"/>
      <w:bookmarkEnd w:id="116"/>
    </w:p>
    <w:p>
      <w:pPr>
        <w:spacing w:line="360" w:lineRule="auto"/>
        <w:rPr>
          <w:rFonts w:hint="eastAsia" w:ascii="宋体" w:hAnsi="宋体" w:cs="宋体"/>
          <w:b/>
        </w:rPr>
      </w:pPr>
      <w:r>
        <w:rPr>
          <w:rFonts w:hint="eastAsia" w:ascii="宋体" w:hAnsi="宋体" w:cs="宋体"/>
          <w:b/>
        </w:rPr>
        <w:t>12.1  投标人应按投标文件附件中提供的“投标文件格式”填写“投标函”、“投标报价表”等（详见第五章投标文件格式）。</w:t>
      </w:r>
    </w:p>
    <w:p>
      <w:pPr>
        <w:spacing w:line="360" w:lineRule="auto"/>
        <w:rPr>
          <w:rFonts w:hint="eastAsia" w:ascii="宋体" w:hAnsi="宋体" w:cs="宋体"/>
        </w:rPr>
      </w:pPr>
      <w:r>
        <w:rPr>
          <w:rFonts w:hint="eastAsia" w:ascii="宋体" w:hAnsi="宋体" w:cs="宋体"/>
        </w:rPr>
        <w:t>12.2  投标人不得将同一服务包中的内容拆开报价，否则将导致其报价被拒绝。</w:t>
      </w:r>
    </w:p>
    <w:p>
      <w:pPr>
        <w:spacing w:line="360" w:lineRule="auto"/>
        <w:rPr>
          <w:rFonts w:hint="eastAsia" w:ascii="宋体" w:hAnsi="宋体" w:cs="宋体"/>
          <w:b/>
        </w:rPr>
      </w:pPr>
      <w:r>
        <w:rPr>
          <w:rFonts w:hint="eastAsia" w:ascii="宋体" w:hAnsi="宋体" w:cs="宋体"/>
          <w:b/>
        </w:rPr>
        <w:t>12.3  “投标报价表”另做一份放入“唱标信封”中以供开标时使用。</w:t>
      </w:r>
    </w:p>
    <w:p>
      <w:pPr>
        <w:pStyle w:val="8"/>
        <w:spacing w:line="360" w:lineRule="auto"/>
        <w:rPr>
          <w:rFonts w:hint="eastAsia" w:ascii="宋体" w:hAnsi="宋体" w:cs="宋体"/>
        </w:rPr>
      </w:pPr>
      <w:bookmarkStart w:id="117" w:name="_Toc102300285"/>
      <w:bookmarkStart w:id="118" w:name="_Toc22"/>
      <w:bookmarkStart w:id="119" w:name="_Toc500229372"/>
      <w:bookmarkStart w:id="120" w:name="_Toc262242504"/>
      <w:r>
        <w:rPr>
          <w:rFonts w:hint="eastAsia" w:ascii="宋体" w:hAnsi="宋体" w:cs="宋体"/>
        </w:rPr>
        <w:t>13  投标报价和货币</w:t>
      </w:r>
      <w:bookmarkEnd w:id="117"/>
      <w:bookmarkEnd w:id="118"/>
      <w:bookmarkEnd w:id="119"/>
      <w:bookmarkEnd w:id="120"/>
    </w:p>
    <w:p>
      <w:pPr>
        <w:spacing w:line="360" w:lineRule="auto"/>
        <w:rPr>
          <w:rFonts w:hint="eastAsia" w:ascii="宋体" w:hAnsi="宋体" w:cs="宋体"/>
        </w:rPr>
      </w:pPr>
      <w:r>
        <w:rPr>
          <w:rFonts w:hint="eastAsia" w:ascii="宋体" w:hAnsi="宋体" w:cs="宋体"/>
        </w:rPr>
        <w:t>13.1  投标人应按采购文件“第二章 用户需求书”中的内容进行报价。</w:t>
      </w:r>
    </w:p>
    <w:p>
      <w:pPr>
        <w:spacing w:line="360" w:lineRule="auto"/>
        <w:rPr>
          <w:rFonts w:hint="eastAsia" w:ascii="宋体" w:hAnsi="宋体" w:cs="宋体"/>
        </w:rPr>
      </w:pPr>
      <w:r>
        <w:rPr>
          <w:rFonts w:hint="eastAsia" w:ascii="宋体" w:hAnsi="宋体" w:cs="宋体"/>
        </w:rPr>
        <w:t>13.2  有关服务的报价应包括要向中华人民共和国政府缴纳的增值税和其他税费。</w:t>
      </w:r>
    </w:p>
    <w:p>
      <w:pPr>
        <w:spacing w:line="360" w:lineRule="auto"/>
        <w:rPr>
          <w:rFonts w:hint="eastAsia" w:ascii="宋体" w:hAnsi="宋体" w:cs="宋体"/>
        </w:rPr>
      </w:pPr>
      <w:r>
        <w:rPr>
          <w:rFonts w:hint="eastAsia" w:ascii="宋体" w:hAnsi="宋体" w:cs="宋体"/>
        </w:rPr>
        <w:t>13.3  如果投标人对于采购文件或答疑文件中为满足技术要求所提供设备有未报价或漏报、错报、缺报等情况，采购代理机构将视其为投标人予以采购人的报价优惠报价，中标后不予调整。</w:t>
      </w:r>
    </w:p>
    <w:p>
      <w:pPr>
        <w:pStyle w:val="2"/>
        <w:ind w:left="0" w:leftChars="0" w:firstLine="0" w:firstLineChars="0"/>
        <w:rPr>
          <w:rFonts w:hint="eastAsia" w:cs="宋体"/>
        </w:rPr>
      </w:pPr>
      <w:r>
        <w:rPr>
          <w:rFonts w:hint="eastAsia" w:cs="宋体"/>
        </w:rPr>
        <w:t>13.4  投标人应以人民币报价。若由分项计算得出的总价与投标总价不一致，以分项算得出的总价作为投标总价。</w:t>
      </w:r>
    </w:p>
    <w:p>
      <w:pPr>
        <w:pStyle w:val="8"/>
        <w:spacing w:line="360" w:lineRule="auto"/>
        <w:rPr>
          <w:rFonts w:hint="eastAsia" w:ascii="宋体" w:hAnsi="宋体" w:cs="宋体"/>
        </w:rPr>
      </w:pPr>
      <w:bookmarkStart w:id="121" w:name="_Toc262242505"/>
      <w:bookmarkStart w:id="122" w:name="_Toc5762"/>
      <w:bookmarkStart w:id="123" w:name="_Toc102300286"/>
      <w:bookmarkStart w:id="124" w:name="_Toc500229373"/>
      <w:r>
        <w:rPr>
          <w:rFonts w:hint="eastAsia" w:ascii="宋体" w:hAnsi="宋体" w:cs="宋体"/>
        </w:rPr>
        <w:t>14  投标人资格的证明文件</w:t>
      </w:r>
      <w:bookmarkEnd w:id="121"/>
      <w:bookmarkEnd w:id="122"/>
      <w:bookmarkEnd w:id="123"/>
      <w:bookmarkEnd w:id="124"/>
    </w:p>
    <w:p>
      <w:pPr>
        <w:spacing w:line="360" w:lineRule="auto"/>
        <w:rPr>
          <w:rFonts w:hint="eastAsia" w:ascii="宋体" w:hAnsi="宋体" w:cs="宋体"/>
        </w:rPr>
      </w:pPr>
      <w:r>
        <w:rPr>
          <w:rFonts w:hint="eastAsia" w:ascii="宋体" w:hAnsi="宋体" w:cs="宋体"/>
        </w:rPr>
        <w:t>14.1  投标人应提交证明其有资格参加投标和中标后有能力履行合同的文件，并作为其投标文件的一部分。</w:t>
      </w:r>
    </w:p>
    <w:p>
      <w:pPr>
        <w:spacing w:line="360" w:lineRule="auto"/>
        <w:rPr>
          <w:rFonts w:hint="eastAsia" w:ascii="宋体" w:hAnsi="宋体" w:cs="宋体"/>
        </w:rPr>
      </w:pPr>
      <w:r>
        <w:rPr>
          <w:rFonts w:hint="eastAsia" w:ascii="宋体" w:hAnsi="宋体" w:cs="宋体"/>
        </w:rPr>
        <w:t>14.2  投标人应符合采购文件“第三章 投标人须知”中规定的资格条件，否则将导致投标无效。</w:t>
      </w:r>
    </w:p>
    <w:p>
      <w:pPr>
        <w:pStyle w:val="8"/>
        <w:spacing w:line="360" w:lineRule="auto"/>
        <w:rPr>
          <w:rFonts w:hint="eastAsia" w:ascii="宋体" w:hAnsi="宋体" w:cs="宋体"/>
        </w:rPr>
      </w:pPr>
      <w:bookmarkStart w:id="125" w:name="_Toc262242506"/>
      <w:bookmarkStart w:id="126" w:name="_Toc500229374"/>
      <w:bookmarkStart w:id="127" w:name="_Toc21290"/>
      <w:bookmarkStart w:id="128" w:name="_Toc102300287"/>
      <w:r>
        <w:rPr>
          <w:rFonts w:hint="eastAsia" w:ascii="宋体" w:hAnsi="宋体" w:cs="宋体"/>
        </w:rPr>
        <w:t>15  证明服务的合格性和符合采购文件规定的文件</w:t>
      </w:r>
      <w:bookmarkEnd w:id="125"/>
      <w:bookmarkEnd w:id="126"/>
      <w:bookmarkEnd w:id="127"/>
      <w:bookmarkEnd w:id="128"/>
    </w:p>
    <w:p>
      <w:pPr>
        <w:spacing w:line="360" w:lineRule="auto"/>
        <w:rPr>
          <w:rFonts w:hint="eastAsia" w:ascii="宋体" w:hAnsi="宋体" w:cs="宋体"/>
        </w:rPr>
      </w:pPr>
      <w:r>
        <w:rPr>
          <w:rFonts w:hint="eastAsia" w:ascii="宋体" w:hAnsi="宋体" w:cs="宋体"/>
        </w:rPr>
        <w:t>15.1  投标人应提交证明文件证明其拟供的合同项下的服务内容的合格性符合采购文件规定。该证明文件作为投标文件的一部分。</w:t>
      </w:r>
    </w:p>
    <w:p>
      <w:pPr>
        <w:spacing w:line="360" w:lineRule="auto"/>
        <w:rPr>
          <w:rFonts w:hint="eastAsia" w:ascii="宋体" w:hAnsi="宋体" w:cs="宋体"/>
        </w:rPr>
      </w:pPr>
      <w:r>
        <w:rPr>
          <w:rFonts w:hint="eastAsia" w:ascii="宋体" w:hAnsi="宋体" w:cs="宋体"/>
        </w:rPr>
        <w:t>15.2  证明服务内容与采购文件的要求相一致的文件，可以是文字资料、图纸和数据，它包括：</w:t>
      </w:r>
    </w:p>
    <w:p>
      <w:pPr>
        <w:spacing w:line="360" w:lineRule="auto"/>
        <w:ind w:firstLine="360" w:firstLineChars="150"/>
        <w:rPr>
          <w:rFonts w:hint="eastAsia" w:ascii="宋体" w:hAnsi="宋体" w:cs="宋体"/>
        </w:rPr>
      </w:pPr>
      <w:r>
        <w:rPr>
          <w:rFonts w:hint="eastAsia" w:ascii="宋体" w:hAnsi="宋体" w:cs="宋体"/>
        </w:rPr>
        <w:t>1) 服务的详细内容。</w:t>
      </w:r>
    </w:p>
    <w:p>
      <w:pPr>
        <w:spacing w:line="360" w:lineRule="auto"/>
        <w:ind w:firstLine="360" w:firstLineChars="150"/>
        <w:rPr>
          <w:rFonts w:hint="eastAsia" w:ascii="宋体" w:hAnsi="宋体" w:cs="宋体"/>
        </w:rPr>
      </w:pPr>
      <w:r>
        <w:rPr>
          <w:rFonts w:hint="eastAsia" w:ascii="宋体" w:hAnsi="宋体" w:cs="宋体"/>
        </w:rPr>
        <w:t>2) 对照采购文件技术规格，逐条说明所提供服务已对采购人的技术规格做出了实质性的响应，或申明与技术规格条文的偏差和例外。</w:t>
      </w:r>
    </w:p>
    <w:p>
      <w:pPr>
        <w:pStyle w:val="8"/>
        <w:spacing w:line="360" w:lineRule="auto"/>
        <w:rPr>
          <w:rFonts w:hint="eastAsia" w:ascii="宋体" w:hAnsi="宋体" w:cs="宋体"/>
        </w:rPr>
      </w:pPr>
      <w:bookmarkStart w:id="129" w:name="_Toc262242507"/>
      <w:bookmarkStart w:id="130" w:name="_Toc102300288"/>
      <w:bookmarkStart w:id="131" w:name="_Toc500229375"/>
      <w:bookmarkStart w:id="132" w:name="_Toc22494"/>
      <w:r>
        <w:rPr>
          <w:rFonts w:hint="eastAsia" w:ascii="宋体" w:hAnsi="宋体" w:cs="宋体"/>
        </w:rPr>
        <w:t>16  投标保证金</w:t>
      </w:r>
      <w:bookmarkEnd w:id="129"/>
      <w:bookmarkEnd w:id="130"/>
      <w:bookmarkEnd w:id="131"/>
      <w:r>
        <w:rPr>
          <w:rFonts w:hint="eastAsia" w:ascii="宋体" w:hAnsi="宋体" w:cs="宋体"/>
        </w:rPr>
        <w:t>（本项目不收取）</w:t>
      </w:r>
      <w:bookmarkEnd w:id="132"/>
    </w:p>
    <w:p>
      <w:pPr>
        <w:pStyle w:val="8"/>
        <w:spacing w:line="360" w:lineRule="auto"/>
        <w:rPr>
          <w:rFonts w:hint="eastAsia" w:ascii="宋体" w:hAnsi="宋体" w:cs="宋体"/>
        </w:rPr>
      </w:pPr>
      <w:bookmarkStart w:id="133" w:name="_Toc500229376"/>
      <w:bookmarkStart w:id="134" w:name="_Toc102300289"/>
      <w:bookmarkStart w:id="135" w:name="_Toc10860"/>
      <w:bookmarkStart w:id="136" w:name="_Toc262242508"/>
      <w:r>
        <w:rPr>
          <w:rFonts w:hint="eastAsia" w:ascii="宋体" w:hAnsi="宋体" w:cs="宋体"/>
        </w:rPr>
        <w:t>17  投标有效期</w:t>
      </w:r>
      <w:bookmarkEnd w:id="133"/>
      <w:bookmarkEnd w:id="134"/>
      <w:bookmarkEnd w:id="135"/>
      <w:bookmarkEnd w:id="136"/>
    </w:p>
    <w:p>
      <w:pPr>
        <w:spacing w:line="360" w:lineRule="auto"/>
        <w:rPr>
          <w:rFonts w:hint="eastAsia" w:ascii="宋体" w:hAnsi="宋体" w:cs="宋体"/>
        </w:rPr>
      </w:pPr>
      <w:r>
        <w:rPr>
          <w:rFonts w:hint="eastAsia" w:ascii="宋体" w:hAnsi="宋体" w:cs="宋体"/>
        </w:rPr>
        <w:t>17.1  投标报价应在规定的开标日后的（90）个自然日内保持有效。</w:t>
      </w:r>
    </w:p>
    <w:p>
      <w:pPr>
        <w:spacing w:line="360" w:lineRule="auto"/>
        <w:rPr>
          <w:rFonts w:hint="eastAsia" w:ascii="宋体" w:hAnsi="宋体" w:cs="宋体"/>
        </w:rPr>
      </w:pPr>
      <w:r>
        <w:rPr>
          <w:rFonts w:hint="eastAsia" w:ascii="宋体" w:hAnsi="宋体" w:cs="宋体"/>
        </w:rPr>
        <w:t>17.2  特殊情况下，在原报价有效期截止之前，采购代理机构可要求投标人同意延长报价有效期。这种要求与答复均应以书面形式提交。投标人可拒绝采购代理机构的这种要求。接受延长报价有效期的投标人将不会被要求和允许修正其报价。</w:t>
      </w:r>
    </w:p>
    <w:p>
      <w:pPr>
        <w:pStyle w:val="8"/>
        <w:spacing w:line="360" w:lineRule="auto"/>
        <w:rPr>
          <w:rFonts w:hint="eastAsia" w:ascii="宋体" w:hAnsi="宋体" w:cs="宋体"/>
        </w:rPr>
      </w:pPr>
      <w:bookmarkStart w:id="137" w:name="_Toc500229377"/>
      <w:bookmarkStart w:id="138" w:name="_Toc7858"/>
      <w:bookmarkStart w:id="139" w:name="_Toc262242509"/>
      <w:bookmarkStart w:id="140" w:name="_Toc102300290"/>
      <w:r>
        <w:rPr>
          <w:rFonts w:hint="eastAsia" w:ascii="宋体" w:hAnsi="宋体" w:cs="宋体"/>
        </w:rPr>
        <w:t>18  投标文件的式样和签署</w:t>
      </w:r>
      <w:bookmarkEnd w:id="137"/>
      <w:bookmarkEnd w:id="138"/>
      <w:bookmarkEnd w:id="139"/>
      <w:bookmarkEnd w:id="140"/>
    </w:p>
    <w:p>
      <w:pPr>
        <w:spacing w:line="360" w:lineRule="auto"/>
        <w:rPr>
          <w:rFonts w:hint="eastAsia" w:ascii="宋体" w:hAnsi="宋体" w:cs="宋体"/>
          <w:b/>
        </w:rPr>
      </w:pPr>
      <w:r>
        <w:rPr>
          <w:rFonts w:hint="eastAsia" w:ascii="宋体" w:hAnsi="宋体" w:cs="宋体"/>
          <w:b/>
        </w:rPr>
        <w:t>18.1  投标人应准备投标文件正本一份、</w:t>
      </w:r>
      <w:bookmarkStart w:id="141" w:name="OLE_LINK3"/>
      <w:r>
        <w:rPr>
          <w:rFonts w:hint="eastAsia" w:ascii="宋体" w:hAnsi="宋体" w:cs="宋体"/>
          <w:b/>
        </w:rPr>
        <w:t>副本</w:t>
      </w:r>
      <w:bookmarkEnd w:id="141"/>
      <w:r>
        <w:rPr>
          <w:rFonts w:hint="eastAsia" w:ascii="宋体" w:hAnsi="宋体" w:cs="宋体"/>
          <w:b/>
        </w:rPr>
        <w:t>五份和电子扫描件一份，每份投标文件须清楚地标明“正本”或“副本”。若正本和副本不符，以正本为准。</w:t>
      </w:r>
    </w:p>
    <w:p>
      <w:pPr>
        <w:spacing w:line="360" w:lineRule="auto"/>
        <w:rPr>
          <w:rFonts w:hint="eastAsia" w:ascii="宋体" w:hAnsi="宋体" w:cs="宋体"/>
        </w:rPr>
      </w:pPr>
      <w:r>
        <w:rPr>
          <w:rFonts w:hint="eastAsia" w:ascii="宋体" w:hAnsi="宋体" w:cs="宋体"/>
        </w:rPr>
        <w:t>18.2  投标文件的正本需打印 ，并由投标人法定代表人或经法定代表人正式授权并对投标人有约束力的代表在投标文件上签字。授权代表须将以书面形式出具的“授权证书”附在投标文件中。除没有修改过的印刷文献外，投标文件的每一页都应由投标人或其授权代表用姓或首字母签字或盖骑缝章。投标文件的副本可采用正本的复印件。</w:t>
      </w:r>
    </w:p>
    <w:p>
      <w:pPr>
        <w:spacing w:line="360" w:lineRule="auto"/>
        <w:rPr>
          <w:rFonts w:hint="eastAsia" w:ascii="宋体" w:hAnsi="宋体" w:cs="宋体"/>
        </w:rPr>
      </w:pPr>
      <w:r>
        <w:rPr>
          <w:rFonts w:hint="eastAsia" w:ascii="宋体" w:hAnsi="宋体" w:cs="宋体"/>
        </w:rPr>
        <w:t>18.3  任何行间插字、涂改和增删，必须由投标文件签字人用姓或首字母在旁边签字才有效。</w:t>
      </w:r>
    </w:p>
    <w:p>
      <w:pPr>
        <w:pStyle w:val="6"/>
        <w:spacing w:before="240" w:beforeLines="100" w:after="0" w:line="360" w:lineRule="auto"/>
        <w:jc w:val="center"/>
        <w:rPr>
          <w:rFonts w:hint="eastAsia" w:ascii="宋体" w:hAnsi="宋体" w:cs="宋体"/>
          <w:sz w:val="32"/>
        </w:rPr>
      </w:pPr>
      <w:bookmarkStart w:id="142" w:name="_Toc5183"/>
      <w:bookmarkStart w:id="143" w:name="_Toc102300291"/>
      <w:bookmarkStart w:id="144" w:name="_Toc98175192"/>
      <w:bookmarkStart w:id="145" w:name="_Toc500229378"/>
      <w:r>
        <w:rPr>
          <w:rFonts w:hint="eastAsia" w:ascii="宋体" w:hAnsi="宋体" w:cs="宋体"/>
          <w:sz w:val="32"/>
        </w:rPr>
        <w:t>四  投标文件的递交</w:t>
      </w:r>
      <w:bookmarkEnd w:id="142"/>
      <w:bookmarkEnd w:id="143"/>
      <w:bookmarkEnd w:id="144"/>
      <w:bookmarkEnd w:id="145"/>
    </w:p>
    <w:p>
      <w:pPr>
        <w:pStyle w:val="8"/>
        <w:spacing w:line="360" w:lineRule="auto"/>
        <w:rPr>
          <w:rFonts w:hint="eastAsia" w:ascii="宋体" w:hAnsi="宋体" w:cs="宋体"/>
        </w:rPr>
      </w:pPr>
      <w:bookmarkStart w:id="146" w:name="_Toc102300292"/>
      <w:bookmarkStart w:id="147" w:name="_Toc500229379"/>
      <w:bookmarkStart w:id="148" w:name="_Toc262242511"/>
      <w:bookmarkStart w:id="149" w:name="_Toc14822"/>
      <w:r>
        <w:rPr>
          <w:rFonts w:hint="eastAsia" w:ascii="宋体" w:hAnsi="宋体" w:cs="宋体"/>
        </w:rPr>
        <w:t>19  投标文件的密封和标记</w:t>
      </w:r>
      <w:bookmarkEnd w:id="146"/>
      <w:bookmarkEnd w:id="147"/>
      <w:bookmarkEnd w:id="148"/>
      <w:bookmarkEnd w:id="149"/>
    </w:p>
    <w:p>
      <w:pPr>
        <w:spacing w:line="360" w:lineRule="auto"/>
        <w:rPr>
          <w:rFonts w:hint="eastAsia" w:ascii="宋体" w:hAnsi="宋体" w:cs="宋体"/>
        </w:rPr>
      </w:pPr>
      <w:r>
        <w:rPr>
          <w:rFonts w:hint="eastAsia" w:ascii="宋体" w:hAnsi="宋体" w:cs="宋体"/>
        </w:rPr>
        <w:t>19.1  为方便开标唱标，投标人应将投标报价一览表等单独密封提交，并在信封上标明“唱标信封”字样。</w:t>
      </w:r>
    </w:p>
    <w:p>
      <w:pPr>
        <w:spacing w:line="360" w:lineRule="auto"/>
        <w:rPr>
          <w:rFonts w:hint="eastAsia" w:ascii="宋体" w:hAnsi="宋体" w:cs="宋体"/>
        </w:rPr>
      </w:pPr>
      <w:r>
        <w:rPr>
          <w:rFonts w:hint="eastAsia" w:ascii="宋体" w:hAnsi="宋体" w:cs="宋体"/>
        </w:rPr>
        <w:t>19.2  投标文件正本上注明“正本”，副本上注明“副本”</w:t>
      </w:r>
    </w:p>
    <w:p>
      <w:pPr>
        <w:spacing w:line="360" w:lineRule="auto"/>
        <w:rPr>
          <w:rFonts w:hint="eastAsia" w:ascii="宋体" w:hAnsi="宋体" w:cs="宋体"/>
        </w:rPr>
      </w:pPr>
      <w:r>
        <w:rPr>
          <w:rFonts w:hint="eastAsia" w:ascii="宋体" w:hAnsi="宋体" w:cs="宋体"/>
        </w:rPr>
        <w:t>19.3  投标人应将投标文件正本（正本必须单独密封）和所有的副本（副本不需每本单独密封，可将全部副本密封在一起）分开密封装在单独的信封中，且在信封上标明“正本”“副本”字样。</w:t>
      </w:r>
    </w:p>
    <w:p>
      <w:pPr>
        <w:spacing w:line="360" w:lineRule="auto"/>
        <w:rPr>
          <w:rFonts w:hint="eastAsia" w:ascii="宋体" w:hAnsi="宋体" w:cs="宋体"/>
        </w:rPr>
      </w:pPr>
      <w:r>
        <w:rPr>
          <w:rFonts w:hint="eastAsia" w:ascii="宋体" w:hAnsi="宋体" w:cs="宋体"/>
        </w:rPr>
        <w:t>19.4  再将以上所有文件（唱标信封、投标文件）统一密封。</w:t>
      </w:r>
    </w:p>
    <w:p>
      <w:pPr>
        <w:spacing w:line="360" w:lineRule="auto"/>
        <w:rPr>
          <w:rFonts w:hint="eastAsia" w:ascii="宋体" w:hAnsi="宋体" w:cs="宋体"/>
        </w:rPr>
      </w:pPr>
      <w:r>
        <w:rPr>
          <w:rFonts w:hint="eastAsia" w:ascii="宋体" w:hAnsi="宋体" w:cs="宋体"/>
        </w:rPr>
        <w:t>19.5  投标文件密封封口处须加盖投标人公章，否则其投标将被拒绝。</w:t>
      </w:r>
    </w:p>
    <w:p>
      <w:pPr>
        <w:spacing w:line="360" w:lineRule="auto"/>
        <w:rPr>
          <w:rFonts w:hint="eastAsia" w:ascii="宋体" w:hAnsi="宋体" w:cs="宋体"/>
        </w:rPr>
      </w:pPr>
      <w:r>
        <w:rPr>
          <w:rFonts w:hint="eastAsia" w:ascii="宋体" w:hAnsi="宋体" w:cs="宋体"/>
        </w:rPr>
        <w:t>19.6  内外层信封均应：</w:t>
      </w:r>
    </w:p>
    <w:p>
      <w:pPr>
        <w:spacing w:line="360" w:lineRule="auto"/>
        <w:ind w:firstLine="708" w:firstLineChars="294"/>
        <w:rPr>
          <w:rFonts w:hint="eastAsia" w:ascii="宋体" w:hAnsi="宋体" w:cs="宋体"/>
          <w:b/>
        </w:rPr>
      </w:pPr>
      <w:r>
        <w:rPr>
          <w:rFonts w:hint="eastAsia" w:ascii="宋体" w:hAnsi="宋体" w:cs="宋体"/>
          <w:b/>
        </w:rPr>
        <w:t>1)清楚标明递交至：广州穗科建设管理有限公司汕头分公司。</w:t>
      </w:r>
    </w:p>
    <w:p>
      <w:pPr>
        <w:spacing w:line="360" w:lineRule="auto"/>
        <w:ind w:left="-84" w:leftChars="-35" w:firstLine="817" w:firstLineChars="339"/>
        <w:rPr>
          <w:rFonts w:hint="eastAsia" w:ascii="宋体" w:hAnsi="宋体" w:cs="宋体"/>
          <w:b/>
        </w:rPr>
      </w:pPr>
      <w:r>
        <w:rPr>
          <w:rFonts w:hint="eastAsia" w:ascii="宋体" w:hAnsi="宋体" w:cs="宋体"/>
          <w:b/>
        </w:rPr>
        <w:t>2)注明“项目编号：GZSKST25-B029”、“项目名称：</w:t>
      </w:r>
      <w:r>
        <w:rPr>
          <w:rFonts w:hint="eastAsia" w:ascii="宋体" w:hAnsi="宋体" w:cs="宋体"/>
          <w:b/>
          <w:szCs w:val="18"/>
        </w:rPr>
        <w:t xml:space="preserve">国家税务总局汕头市金平区税务局2025-2027年物业管理服务采购项目 </w:t>
      </w:r>
      <w:r>
        <w:rPr>
          <w:rFonts w:hint="eastAsia" w:ascii="宋体" w:hAnsi="宋体" w:cs="宋体"/>
          <w:b/>
        </w:rPr>
        <w:t>”和“在2025年</w:t>
      </w:r>
      <w:r>
        <w:rPr>
          <w:rFonts w:hint="eastAsia" w:ascii="宋体" w:hAnsi="宋体" w:cs="宋体"/>
          <w:b/>
          <w:lang w:val="en-US" w:eastAsia="zh-CN"/>
        </w:rPr>
        <w:t>04</w:t>
      </w:r>
      <w:r>
        <w:rPr>
          <w:rFonts w:hint="eastAsia" w:ascii="宋体" w:hAnsi="宋体" w:cs="宋体"/>
          <w:b/>
        </w:rPr>
        <w:t>月</w:t>
      </w:r>
      <w:r>
        <w:rPr>
          <w:rFonts w:hint="eastAsia" w:ascii="宋体" w:hAnsi="宋体" w:cs="宋体"/>
          <w:b/>
          <w:lang w:val="en-US" w:eastAsia="zh-CN"/>
        </w:rPr>
        <w:t>15</w:t>
      </w:r>
      <w:r>
        <w:rPr>
          <w:rFonts w:hint="eastAsia" w:ascii="宋体" w:hAnsi="宋体" w:cs="宋体"/>
          <w:b/>
        </w:rPr>
        <w:t>日上午</w:t>
      </w:r>
      <w:r>
        <w:rPr>
          <w:rFonts w:hint="eastAsia" w:ascii="宋体" w:hAnsi="宋体" w:cs="宋体"/>
          <w:b/>
          <w:lang w:val="en-US" w:eastAsia="zh-CN"/>
        </w:rPr>
        <w:t>09</w:t>
      </w:r>
      <w:r>
        <w:rPr>
          <w:rFonts w:hint="eastAsia" w:ascii="宋体" w:hAnsi="宋体" w:cs="宋体"/>
          <w:b/>
        </w:rPr>
        <w:t>时</w:t>
      </w:r>
      <w:r>
        <w:rPr>
          <w:rFonts w:hint="eastAsia" w:ascii="宋体" w:hAnsi="宋体" w:cs="宋体"/>
          <w:b/>
          <w:lang w:val="en-US" w:eastAsia="zh-CN"/>
        </w:rPr>
        <w:t>30</w:t>
      </w:r>
      <w:r>
        <w:rPr>
          <w:rFonts w:hint="eastAsia" w:ascii="宋体" w:hAnsi="宋体" w:cs="宋体"/>
          <w:b/>
        </w:rPr>
        <w:t>分之前不得启封”的字样。</w:t>
      </w:r>
    </w:p>
    <w:p>
      <w:pPr>
        <w:spacing w:line="360" w:lineRule="auto"/>
        <w:rPr>
          <w:rFonts w:hint="eastAsia" w:ascii="宋体" w:hAnsi="宋体" w:cs="宋体"/>
        </w:rPr>
      </w:pPr>
      <w:r>
        <w:rPr>
          <w:rFonts w:hint="eastAsia" w:ascii="宋体" w:hAnsi="宋体" w:cs="宋体"/>
        </w:rPr>
        <w:t>19.7  内层信封应写明投标人名称和地址，以便若其投标被宣布为“迟到”投标时，能原封退回。</w:t>
      </w:r>
    </w:p>
    <w:p>
      <w:pPr>
        <w:spacing w:line="360" w:lineRule="auto"/>
        <w:rPr>
          <w:rFonts w:hint="eastAsia" w:ascii="宋体" w:hAnsi="宋体" w:cs="宋体"/>
        </w:rPr>
      </w:pPr>
      <w:r>
        <w:rPr>
          <w:rFonts w:hint="eastAsia" w:ascii="宋体" w:hAnsi="宋体" w:cs="宋体"/>
        </w:rPr>
        <w:t>19.8  如果外层信封未按本须知第19.1－19.7条要求加写标记和密封，采购代理机构对误投或过早启封概不负责。</w:t>
      </w:r>
    </w:p>
    <w:p>
      <w:pPr>
        <w:pStyle w:val="8"/>
        <w:spacing w:line="360" w:lineRule="auto"/>
        <w:rPr>
          <w:rFonts w:hint="eastAsia" w:ascii="宋体" w:hAnsi="宋体" w:cs="宋体"/>
        </w:rPr>
      </w:pPr>
      <w:bookmarkStart w:id="150" w:name="_Toc500229380"/>
      <w:bookmarkStart w:id="151" w:name="_Toc32183"/>
      <w:bookmarkStart w:id="152" w:name="_Toc102300293"/>
      <w:bookmarkStart w:id="153" w:name="_Toc262242512"/>
      <w:r>
        <w:rPr>
          <w:rFonts w:hint="eastAsia" w:ascii="宋体" w:hAnsi="宋体" w:cs="宋体"/>
        </w:rPr>
        <w:t>20  投标截止时间</w:t>
      </w:r>
      <w:bookmarkEnd w:id="150"/>
      <w:bookmarkEnd w:id="151"/>
      <w:bookmarkEnd w:id="152"/>
      <w:bookmarkEnd w:id="153"/>
    </w:p>
    <w:p>
      <w:pPr>
        <w:spacing w:line="360" w:lineRule="auto"/>
        <w:rPr>
          <w:rFonts w:hint="eastAsia" w:ascii="宋体" w:hAnsi="宋体" w:cs="宋体"/>
        </w:rPr>
      </w:pPr>
      <w:r>
        <w:rPr>
          <w:rFonts w:hint="eastAsia" w:ascii="宋体" w:hAnsi="宋体" w:cs="宋体"/>
        </w:rPr>
        <w:t>20.1  采购代理机构在本须知第19.6条规定的地址收到投标的时间不迟于投标截止时间</w:t>
      </w:r>
      <w:r>
        <w:rPr>
          <w:rFonts w:hint="eastAsia" w:ascii="宋体" w:hAnsi="宋体" w:cs="宋体"/>
          <w:b/>
        </w:rPr>
        <w:t>（2025年</w:t>
      </w:r>
      <w:r>
        <w:rPr>
          <w:rFonts w:hint="eastAsia" w:ascii="宋体" w:hAnsi="宋体" w:cs="宋体"/>
          <w:b/>
          <w:lang w:val="en-US" w:eastAsia="zh-CN"/>
        </w:rPr>
        <w:t>04</w:t>
      </w:r>
      <w:r>
        <w:rPr>
          <w:rFonts w:hint="eastAsia" w:ascii="宋体" w:hAnsi="宋体" w:cs="宋体"/>
          <w:b/>
        </w:rPr>
        <w:t>月</w:t>
      </w:r>
      <w:r>
        <w:rPr>
          <w:rFonts w:hint="eastAsia" w:ascii="宋体" w:hAnsi="宋体" w:cs="宋体"/>
          <w:b/>
          <w:lang w:val="en-US" w:eastAsia="zh-CN"/>
        </w:rPr>
        <w:t>15</w:t>
      </w:r>
      <w:r>
        <w:rPr>
          <w:rFonts w:hint="eastAsia" w:ascii="宋体" w:hAnsi="宋体" w:cs="宋体"/>
          <w:b/>
        </w:rPr>
        <w:t>日上午</w:t>
      </w:r>
      <w:r>
        <w:rPr>
          <w:rFonts w:hint="eastAsia" w:ascii="宋体" w:hAnsi="宋体" w:cs="宋体"/>
          <w:b/>
          <w:lang w:val="en-US" w:eastAsia="zh-CN"/>
        </w:rPr>
        <w:t>09</w:t>
      </w:r>
      <w:r>
        <w:rPr>
          <w:rFonts w:hint="eastAsia" w:ascii="宋体" w:hAnsi="宋体" w:cs="宋体"/>
          <w:b/>
        </w:rPr>
        <w:t>时</w:t>
      </w:r>
      <w:r>
        <w:rPr>
          <w:rFonts w:hint="eastAsia" w:ascii="宋体" w:hAnsi="宋体" w:cs="宋体"/>
          <w:b/>
          <w:lang w:val="en-US" w:eastAsia="zh-CN"/>
        </w:rPr>
        <w:t>30</w:t>
      </w:r>
      <w:r>
        <w:rPr>
          <w:rFonts w:hint="eastAsia" w:ascii="宋体" w:hAnsi="宋体" w:cs="宋体"/>
          <w:b/>
        </w:rPr>
        <w:t>分）</w:t>
      </w:r>
      <w:r>
        <w:rPr>
          <w:rFonts w:hint="eastAsia" w:ascii="宋体" w:hAnsi="宋体" w:cs="宋体"/>
        </w:rPr>
        <w:t>。</w:t>
      </w:r>
    </w:p>
    <w:p>
      <w:pPr>
        <w:spacing w:line="360" w:lineRule="auto"/>
        <w:rPr>
          <w:rFonts w:hint="eastAsia" w:ascii="宋体" w:hAnsi="宋体" w:cs="宋体"/>
        </w:rPr>
      </w:pPr>
      <w:r>
        <w:rPr>
          <w:rFonts w:hint="eastAsia" w:ascii="宋体" w:hAnsi="宋体" w:cs="宋体"/>
        </w:rPr>
        <w:t>20.2  采购代理机构可以按本须知第9条规定，通过修改投标文件自行决定酌情延长投标截止时间。在此情况下，采购代理机构、采购人和投标人受投标截止时间制约的所有权利和义务均应延长至新的截止期。</w:t>
      </w:r>
    </w:p>
    <w:p>
      <w:pPr>
        <w:spacing w:line="360" w:lineRule="auto"/>
        <w:rPr>
          <w:rFonts w:hint="eastAsia" w:ascii="宋体" w:hAnsi="宋体" w:cs="宋体"/>
        </w:rPr>
      </w:pPr>
      <w:r>
        <w:rPr>
          <w:rFonts w:hint="eastAsia" w:ascii="宋体" w:hAnsi="宋体" w:cs="宋体"/>
        </w:rPr>
        <w:t>20.3 采购代理机构于</w:t>
      </w:r>
      <w:r>
        <w:rPr>
          <w:rFonts w:hint="eastAsia" w:ascii="宋体" w:hAnsi="宋体" w:cs="宋体"/>
          <w:b/>
        </w:rPr>
        <w:t>开标前</w:t>
      </w:r>
      <w:r>
        <w:rPr>
          <w:rFonts w:hint="eastAsia" w:ascii="宋体" w:hAnsi="宋体" w:cs="宋体"/>
        </w:rPr>
        <w:t>截止接收投标文件。</w:t>
      </w:r>
    </w:p>
    <w:p>
      <w:pPr>
        <w:pStyle w:val="8"/>
        <w:spacing w:line="360" w:lineRule="auto"/>
        <w:rPr>
          <w:rFonts w:hint="eastAsia" w:ascii="宋体" w:hAnsi="宋体" w:cs="宋体"/>
        </w:rPr>
      </w:pPr>
      <w:bookmarkStart w:id="154" w:name="_Toc31974"/>
      <w:bookmarkStart w:id="155" w:name="_Toc102300294"/>
      <w:bookmarkStart w:id="156" w:name="_Toc500229381"/>
      <w:bookmarkStart w:id="157" w:name="_Toc262242513"/>
      <w:r>
        <w:rPr>
          <w:rFonts w:hint="eastAsia" w:ascii="宋体" w:hAnsi="宋体" w:cs="宋体"/>
        </w:rPr>
        <w:t>21  迟交的投标文件</w:t>
      </w:r>
      <w:bookmarkEnd w:id="154"/>
      <w:bookmarkEnd w:id="155"/>
      <w:bookmarkEnd w:id="156"/>
      <w:bookmarkEnd w:id="157"/>
    </w:p>
    <w:p>
      <w:pPr>
        <w:spacing w:line="360" w:lineRule="auto"/>
        <w:rPr>
          <w:rFonts w:hint="eastAsia" w:ascii="宋体" w:hAnsi="宋体" w:cs="宋体"/>
        </w:rPr>
      </w:pPr>
      <w:r>
        <w:rPr>
          <w:rFonts w:hint="eastAsia" w:ascii="宋体" w:hAnsi="宋体" w:cs="宋体"/>
        </w:rPr>
        <w:t>21.1  采购代理机构将拒绝并原封退回在本须知第20条规定的截止期后收到的任何投标文件。</w:t>
      </w:r>
    </w:p>
    <w:p>
      <w:pPr>
        <w:pStyle w:val="8"/>
        <w:spacing w:line="360" w:lineRule="auto"/>
        <w:rPr>
          <w:rFonts w:hint="eastAsia" w:ascii="宋体" w:hAnsi="宋体" w:cs="宋体"/>
        </w:rPr>
      </w:pPr>
      <w:bookmarkStart w:id="158" w:name="_Toc262242514"/>
      <w:bookmarkStart w:id="159" w:name="_Toc9386"/>
      <w:bookmarkStart w:id="160" w:name="_Toc102300295"/>
      <w:bookmarkStart w:id="161" w:name="_Toc500229382"/>
      <w:r>
        <w:rPr>
          <w:rFonts w:hint="eastAsia" w:ascii="宋体" w:hAnsi="宋体" w:cs="宋体"/>
        </w:rPr>
        <w:t>22  投标文件的修改与撤回</w:t>
      </w:r>
      <w:bookmarkEnd w:id="158"/>
      <w:bookmarkEnd w:id="159"/>
      <w:bookmarkEnd w:id="160"/>
      <w:bookmarkEnd w:id="161"/>
    </w:p>
    <w:p>
      <w:pPr>
        <w:spacing w:line="360" w:lineRule="auto"/>
        <w:rPr>
          <w:rFonts w:hint="eastAsia" w:ascii="宋体" w:hAnsi="宋体" w:cs="宋体"/>
        </w:rPr>
      </w:pPr>
      <w:r>
        <w:rPr>
          <w:rFonts w:hint="eastAsia" w:ascii="宋体" w:hAnsi="宋体" w:cs="宋体"/>
        </w:rPr>
        <w:t>22.1  投标人在递交投标文件后，可以修改或撤回其投标，但采购代理机构必须在第20条规定的投标截止时间之前，收到修改或撤回的书面通知。</w:t>
      </w:r>
    </w:p>
    <w:p>
      <w:pPr>
        <w:spacing w:line="360" w:lineRule="auto"/>
        <w:rPr>
          <w:rFonts w:hint="eastAsia" w:ascii="宋体" w:hAnsi="宋体" w:cs="宋体"/>
        </w:rPr>
      </w:pPr>
      <w:r>
        <w:rPr>
          <w:rFonts w:hint="eastAsia" w:ascii="宋体" w:hAnsi="宋体" w:cs="宋体"/>
        </w:rPr>
        <w:t>22.2  投标人的修改或撤回通知应按本须知第19条规定编制、密封、标记和发送。</w:t>
      </w:r>
    </w:p>
    <w:p>
      <w:pPr>
        <w:spacing w:line="360" w:lineRule="auto"/>
        <w:rPr>
          <w:rFonts w:hint="eastAsia" w:ascii="宋体" w:hAnsi="宋体" w:cs="宋体"/>
        </w:rPr>
      </w:pPr>
      <w:r>
        <w:rPr>
          <w:rFonts w:hint="eastAsia" w:ascii="宋体" w:hAnsi="宋体" w:cs="宋体"/>
        </w:rPr>
        <w:t>22.3  在投标截止时间之后，投标人不得对其投标做任何修改。</w:t>
      </w:r>
    </w:p>
    <w:p>
      <w:pPr>
        <w:spacing w:line="360" w:lineRule="auto"/>
        <w:rPr>
          <w:rFonts w:hint="eastAsia" w:ascii="宋体" w:hAnsi="宋体" w:cs="宋体"/>
        </w:rPr>
      </w:pPr>
      <w:r>
        <w:rPr>
          <w:rFonts w:hint="eastAsia" w:ascii="宋体" w:hAnsi="宋体" w:cs="宋体"/>
        </w:rPr>
        <w:t>22.4  从投标截止时间至投标人在投标函格式中确定的投标有效期之间的这段时间内，投标人不得撤回其投标。</w:t>
      </w:r>
    </w:p>
    <w:p>
      <w:pPr>
        <w:pStyle w:val="9"/>
        <w:spacing w:line="360" w:lineRule="auto"/>
        <w:rPr>
          <w:rFonts w:hint="eastAsia" w:ascii="宋体" w:hAnsi="宋体" w:eastAsia="宋体" w:cs="宋体"/>
        </w:rPr>
      </w:pPr>
      <w:bookmarkStart w:id="162" w:name="_Toc262242515"/>
      <w:bookmarkStart w:id="163" w:name="_Toc500229383"/>
      <w:bookmarkStart w:id="164" w:name="_Toc28121"/>
      <w:bookmarkStart w:id="165" w:name="_Toc205099103"/>
      <w:bookmarkStart w:id="166" w:name="_Toc102300297"/>
      <w:bookmarkStart w:id="167" w:name="_Toc98175193"/>
      <w:r>
        <w:rPr>
          <w:rFonts w:hint="eastAsia" w:ascii="宋体" w:hAnsi="宋体" w:eastAsia="宋体" w:cs="宋体"/>
        </w:rPr>
        <w:t>23  评标委员会</w:t>
      </w:r>
      <w:bookmarkEnd w:id="162"/>
      <w:bookmarkEnd w:id="163"/>
      <w:bookmarkEnd w:id="164"/>
      <w:bookmarkEnd w:id="165"/>
    </w:p>
    <w:p>
      <w:pPr>
        <w:pStyle w:val="5"/>
        <w:spacing w:line="360" w:lineRule="auto"/>
        <w:jc w:val="both"/>
        <w:rPr>
          <w:rFonts w:hint="eastAsia" w:hAnsi="宋体" w:cs="宋体"/>
          <w:sz w:val="24"/>
        </w:rPr>
      </w:pPr>
      <w:r>
        <w:rPr>
          <w:rFonts w:hint="eastAsia" w:hAnsi="宋体" w:cs="宋体"/>
          <w:sz w:val="24"/>
        </w:rPr>
        <w:t>23.1  依法组成评标委员会，评标委员会由采购人和有关技术、经济等方面的专家组成，成员人数为五人单数，其中技术、经济等方面的专家不少于成员总数的三分之二。</w:t>
      </w:r>
    </w:p>
    <w:bookmarkEnd w:id="166"/>
    <w:bookmarkEnd w:id="167"/>
    <w:p>
      <w:pPr>
        <w:pStyle w:val="6"/>
        <w:keepNext w:val="0"/>
        <w:spacing w:before="240" w:beforeLines="100" w:after="0" w:line="360" w:lineRule="auto"/>
        <w:jc w:val="center"/>
        <w:rPr>
          <w:rFonts w:hint="eastAsia" w:ascii="宋体" w:hAnsi="宋体" w:cs="宋体"/>
          <w:sz w:val="32"/>
        </w:rPr>
      </w:pPr>
      <w:bookmarkStart w:id="168" w:name="_Toc32648"/>
      <w:bookmarkStart w:id="169" w:name="_Toc205099104"/>
      <w:bookmarkStart w:id="170" w:name="_Toc235254872"/>
      <w:bookmarkStart w:id="171" w:name="_Toc500229384"/>
      <w:r>
        <w:rPr>
          <w:rFonts w:hint="eastAsia" w:ascii="宋体" w:hAnsi="宋体" w:cs="宋体"/>
          <w:sz w:val="32"/>
        </w:rPr>
        <w:t>五  开标与评标</w:t>
      </w:r>
      <w:bookmarkEnd w:id="168"/>
      <w:bookmarkEnd w:id="169"/>
      <w:bookmarkEnd w:id="170"/>
      <w:bookmarkEnd w:id="171"/>
    </w:p>
    <w:p>
      <w:pPr>
        <w:pStyle w:val="9"/>
        <w:spacing w:line="360" w:lineRule="auto"/>
        <w:rPr>
          <w:rFonts w:hint="eastAsia" w:ascii="宋体" w:hAnsi="宋体" w:eastAsia="宋体" w:cs="宋体"/>
        </w:rPr>
      </w:pPr>
      <w:bookmarkStart w:id="172" w:name="_Toc500229385"/>
      <w:bookmarkStart w:id="173" w:name="_Toc262242517"/>
      <w:bookmarkStart w:id="174" w:name="_Toc102300298"/>
      <w:bookmarkStart w:id="175" w:name="_Toc205099105"/>
      <w:bookmarkStart w:id="176" w:name="_Toc14008"/>
      <w:r>
        <w:rPr>
          <w:rFonts w:hint="eastAsia" w:ascii="宋体" w:hAnsi="宋体" w:eastAsia="宋体" w:cs="宋体"/>
        </w:rPr>
        <w:t>24  开标</w:t>
      </w:r>
      <w:bookmarkEnd w:id="172"/>
      <w:bookmarkEnd w:id="173"/>
      <w:bookmarkEnd w:id="174"/>
      <w:bookmarkEnd w:id="175"/>
      <w:bookmarkEnd w:id="176"/>
    </w:p>
    <w:p>
      <w:pPr>
        <w:spacing w:line="360" w:lineRule="auto"/>
        <w:rPr>
          <w:rFonts w:hint="eastAsia" w:ascii="宋体" w:hAnsi="宋体" w:cs="宋体"/>
        </w:rPr>
      </w:pPr>
      <w:r>
        <w:rPr>
          <w:rFonts w:hint="eastAsia" w:ascii="宋体" w:hAnsi="宋体" w:cs="宋体"/>
        </w:rPr>
        <w:t>24.1  采购人和采购代理机构在开标时间于开标地点组织公开开标。开标时需有投标人代表参加。参加开标的代表应签名报到以证明其出席。</w:t>
      </w:r>
    </w:p>
    <w:p>
      <w:pPr>
        <w:spacing w:line="360" w:lineRule="auto"/>
        <w:rPr>
          <w:rFonts w:hint="eastAsia" w:ascii="宋体" w:hAnsi="宋体" w:cs="宋体"/>
        </w:rPr>
      </w:pPr>
      <w:r>
        <w:rPr>
          <w:rFonts w:hint="eastAsia" w:ascii="宋体" w:hAnsi="宋体" w:cs="宋体"/>
        </w:rPr>
        <w:t xml:space="preserve">24.2  </w:t>
      </w:r>
      <w:r>
        <w:rPr>
          <w:rFonts w:hint="eastAsia" w:ascii="宋体" w:hAnsi="宋体" w:cs="宋体"/>
          <w:b/>
        </w:rPr>
        <w:t>开标时，采购代理机构当众宣读投标人名称、修改和撤回投标的通知、投标价格、折扣声明（如有），以及采购代理机构认为合适的其他内容。</w:t>
      </w:r>
    </w:p>
    <w:p>
      <w:pPr>
        <w:spacing w:line="360" w:lineRule="auto"/>
        <w:rPr>
          <w:rFonts w:hint="eastAsia" w:ascii="宋体" w:hAnsi="宋体" w:cs="宋体"/>
        </w:rPr>
      </w:pPr>
      <w:r>
        <w:rPr>
          <w:rFonts w:hint="eastAsia" w:ascii="宋体" w:hAnsi="宋体" w:cs="宋体"/>
        </w:rPr>
        <w:t>24.3  在开标时没有启封和读出的投标文件内容（包括按照本须知第 22.2条递交的修改书），在评标时将不予考虑。没有启封和读出的投标文件将原封退回给投标人。</w:t>
      </w:r>
    </w:p>
    <w:p>
      <w:pPr>
        <w:spacing w:line="360" w:lineRule="auto"/>
        <w:rPr>
          <w:rFonts w:hint="eastAsia" w:ascii="宋体" w:hAnsi="宋体" w:cs="宋体"/>
        </w:rPr>
      </w:pPr>
      <w:r>
        <w:rPr>
          <w:rFonts w:hint="eastAsia" w:ascii="宋体" w:hAnsi="宋体" w:cs="宋体"/>
        </w:rPr>
        <w:t>24.4  采购代理机构将做开标记录，</w:t>
      </w:r>
      <w:r>
        <w:rPr>
          <w:rFonts w:hint="eastAsia" w:ascii="宋体" w:hAnsi="宋体" w:cs="宋体"/>
          <w:szCs w:val="21"/>
          <w:lang w:val="zh-CN"/>
        </w:rPr>
        <w:t>记录包括在开标时宣读的投标人名称、投标报价等内容。</w:t>
      </w:r>
    </w:p>
    <w:p>
      <w:pPr>
        <w:spacing w:line="360" w:lineRule="auto"/>
        <w:rPr>
          <w:rFonts w:hint="eastAsia" w:ascii="宋体" w:hAnsi="宋体" w:cs="宋体"/>
          <w:szCs w:val="21"/>
          <w:lang w:val="zh-CN"/>
        </w:rPr>
      </w:pPr>
      <w:r>
        <w:rPr>
          <w:rFonts w:hint="eastAsia" w:ascii="宋体" w:hAnsi="宋体" w:cs="宋体"/>
          <w:szCs w:val="21"/>
          <w:lang w:val="zh-CN"/>
        </w:rPr>
        <w:t>24.5  开标时投标人不足三家的，采购代理机构按照《中华人民共和国政府采购法》重新组织招投标。</w:t>
      </w:r>
    </w:p>
    <w:p>
      <w:pPr>
        <w:pStyle w:val="9"/>
        <w:spacing w:line="360" w:lineRule="auto"/>
        <w:rPr>
          <w:rFonts w:hint="eastAsia" w:ascii="宋体" w:hAnsi="宋体" w:eastAsia="宋体" w:cs="宋体"/>
          <w:szCs w:val="21"/>
          <w:lang w:val="zh-CN"/>
        </w:rPr>
      </w:pPr>
      <w:bookmarkStart w:id="177" w:name="_Toc500229386"/>
      <w:bookmarkStart w:id="178" w:name="_Toc28837"/>
      <w:r>
        <w:rPr>
          <w:rFonts w:hint="eastAsia" w:ascii="宋体" w:hAnsi="宋体" w:eastAsia="宋体" w:cs="宋体"/>
        </w:rPr>
        <w:t>25  投标人资格审查</w:t>
      </w:r>
      <w:bookmarkEnd w:id="177"/>
      <w:bookmarkEnd w:id="178"/>
    </w:p>
    <w:p>
      <w:pPr>
        <w:spacing w:line="360" w:lineRule="auto"/>
        <w:rPr>
          <w:rFonts w:hint="eastAsia" w:ascii="宋体" w:hAnsi="宋体" w:cs="宋体"/>
          <w:szCs w:val="21"/>
          <w:lang w:val="zh-CN"/>
        </w:rPr>
      </w:pPr>
      <w:r>
        <w:rPr>
          <w:rFonts w:hint="eastAsia" w:ascii="宋体" w:hAnsi="宋体" w:cs="宋体"/>
          <w:szCs w:val="21"/>
          <w:lang w:val="zh-CN"/>
        </w:rPr>
        <w:t>25.1  开标结束后，采购人或采购代理机构将依法对各投标人的资格进行审查。</w:t>
      </w:r>
    </w:p>
    <w:p>
      <w:pPr>
        <w:spacing w:line="360" w:lineRule="auto"/>
        <w:rPr>
          <w:rFonts w:hint="eastAsia" w:ascii="宋体" w:hAnsi="宋体" w:cs="宋体"/>
          <w:b/>
          <w:szCs w:val="21"/>
          <w:lang w:val="zh-CN"/>
        </w:rPr>
      </w:pPr>
      <w:r>
        <w:rPr>
          <w:rFonts w:hint="eastAsia" w:ascii="宋体" w:hAnsi="宋体" w:cs="宋体"/>
          <w:szCs w:val="21"/>
          <w:lang w:val="zh-CN"/>
        </w:rPr>
        <w:t>25.2</w:t>
      </w:r>
      <w:r>
        <w:rPr>
          <w:rFonts w:hint="eastAsia" w:ascii="宋体" w:hAnsi="宋体" w:cs="宋体"/>
        </w:rPr>
        <w:t xml:space="preserve">  </w:t>
      </w:r>
      <w:r>
        <w:rPr>
          <w:rFonts w:hint="eastAsia" w:ascii="宋体" w:hAnsi="宋体" w:cs="宋体"/>
          <w:szCs w:val="21"/>
          <w:lang w:val="zh-CN"/>
        </w:rPr>
        <w:t>资格检查是指依据法律法规和采购文件的规定，对投标文件中要求达到的</w:t>
      </w:r>
      <w:r>
        <w:rPr>
          <w:rFonts w:hint="eastAsia" w:ascii="宋体" w:hAnsi="宋体" w:cs="宋体"/>
          <w:szCs w:val="21"/>
        </w:rPr>
        <w:t>投标人资格条件</w:t>
      </w:r>
      <w:r>
        <w:rPr>
          <w:rFonts w:hint="eastAsia" w:ascii="宋体" w:hAnsi="宋体" w:cs="宋体"/>
          <w:szCs w:val="21"/>
          <w:lang w:val="zh-CN"/>
        </w:rPr>
        <w:t>等进行审查，以确定投标单位是否具备投标资格。</w:t>
      </w:r>
      <w:r>
        <w:rPr>
          <w:rFonts w:hint="eastAsia" w:ascii="宋体" w:hAnsi="宋体" w:cs="宋体"/>
          <w:b/>
          <w:szCs w:val="21"/>
          <w:lang w:val="zh-CN"/>
        </w:rPr>
        <w:t>只有通过资格审查的投标人提交的投标文件才得以进入评标环节，未通过资格审查的投标人其投标文件将被拒绝。</w:t>
      </w:r>
    </w:p>
    <w:p>
      <w:pPr>
        <w:spacing w:line="360" w:lineRule="auto"/>
        <w:rPr>
          <w:rFonts w:hint="eastAsia" w:ascii="宋体" w:hAnsi="宋体" w:cs="宋体"/>
          <w:b/>
        </w:rPr>
      </w:pPr>
      <w:r>
        <w:rPr>
          <w:rFonts w:hint="eastAsia" w:ascii="宋体" w:hAnsi="宋体" w:cs="宋体"/>
          <w:szCs w:val="21"/>
          <w:lang w:val="zh-CN"/>
        </w:rPr>
        <w:t xml:space="preserve">25.3  </w:t>
      </w:r>
      <w:r>
        <w:rPr>
          <w:rFonts w:hint="eastAsia" w:ascii="宋体" w:hAnsi="宋体" w:cs="宋体"/>
          <w:b/>
        </w:rPr>
        <w:t>通过资格性审查须满足以下条件：</w:t>
      </w:r>
    </w:p>
    <w:tbl>
      <w:tblPr>
        <w:tblStyle w:val="79"/>
        <w:tblW w:w="961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542"/>
        <w:gridCol w:w="4667"/>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tblHeader/>
        </w:trPr>
        <w:tc>
          <w:tcPr>
            <w:tcW w:w="428" w:type="dxa"/>
            <w:vAlign w:val="center"/>
          </w:tcPr>
          <w:p>
            <w:pPr>
              <w:jc w:val="center"/>
              <w:rPr>
                <w:rFonts w:hint="eastAsia" w:ascii="宋体" w:hAnsi="宋体" w:cs="宋体"/>
                <w:b/>
                <w:szCs w:val="21"/>
              </w:rPr>
            </w:pPr>
            <w:r>
              <w:rPr>
                <w:rFonts w:hint="eastAsia" w:ascii="宋体" w:hAnsi="宋体" w:cs="宋体"/>
                <w:b/>
                <w:szCs w:val="21"/>
              </w:rPr>
              <w:t>序号</w:t>
            </w:r>
          </w:p>
        </w:tc>
        <w:tc>
          <w:tcPr>
            <w:tcW w:w="5209" w:type="dxa"/>
            <w:gridSpan w:val="2"/>
            <w:tcBorders>
              <w:tl2br w:val="single" w:color="auto" w:sz="4" w:space="0"/>
            </w:tcBorders>
            <w:vAlign w:val="center"/>
          </w:tcPr>
          <w:p>
            <w:pPr>
              <w:jc w:val="right"/>
              <w:rPr>
                <w:rFonts w:hint="eastAsia" w:ascii="宋体" w:hAnsi="宋体" w:cs="宋体"/>
                <w:b/>
                <w:szCs w:val="21"/>
              </w:rPr>
            </w:pPr>
            <w:r>
              <w:rPr>
                <w:rFonts w:hint="eastAsia" w:ascii="宋体" w:hAnsi="宋体" w:cs="宋体"/>
                <w:b/>
                <w:szCs w:val="21"/>
              </w:rPr>
              <w:t>投标人</w:t>
            </w:r>
          </w:p>
          <w:p>
            <w:pPr>
              <w:rPr>
                <w:rFonts w:hint="eastAsia" w:ascii="宋体" w:hAnsi="宋体" w:cs="宋体"/>
              </w:rPr>
            </w:pPr>
            <w:r>
              <w:rPr>
                <w:rFonts w:hint="eastAsia" w:ascii="宋体" w:hAnsi="宋体" w:cs="宋体"/>
                <w:b/>
                <w:szCs w:val="21"/>
              </w:rPr>
              <w:t>资格性审查项</w:t>
            </w:r>
          </w:p>
        </w:tc>
        <w:tc>
          <w:tcPr>
            <w:tcW w:w="995" w:type="dxa"/>
            <w:vAlign w:val="center"/>
          </w:tcPr>
          <w:p>
            <w:pPr>
              <w:jc w:val="center"/>
              <w:rPr>
                <w:rFonts w:hint="eastAsia" w:ascii="宋体" w:hAnsi="宋体" w:cs="宋体"/>
              </w:rPr>
            </w:pPr>
            <w:r>
              <w:rPr>
                <w:rFonts w:hint="eastAsia" w:ascii="宋体" w:hAnsi="宋体" w:cs="宋体"/>
              </w:rPr>
              <w:t>A投标人</w:t>
            </w:r>
          </w:p>
        </w:tc>
        <w:tc>
          <w:tcPr>
            <w:tcW w:w="995" w:type="dxa"/>
            <w:vAlign w:val="center"/>
          </w:tcPr>
          <w:p>
            <w:pPr>
              <w:jc w:val="center"/>
              <w:rPr>
                <w:rFonts w:hint="eastAsia" w:ascii="宋体" w:hAnsi="宋体" w:cs="宋体"/>
              </w:rPr>
            </w:pPr>
            <w:r>
              <w:rPr>
                <w:rFonts w:hint="eastAsia" w:ascii="宋体" w:hAnsi="宋体" w:cs="宋体"/>
              </w:rPr>
              <w:t>B投标人</w:t>
            </w:r>
          </w:p>
        </w:tc>
        <w:tc>
          <w:tcPr>
            <w:tcW w:w="995" w:type="dxa"/>
            <w:vAlign w:val="center"/>
          </w:tcPr>
          <w:p>
            <w:pPr>
              <w:tabs>
                <w:tab w:val="left" w:pos="8640"/>
              </w:tabs>
              <w:jc w:val="center"/>
              <w:rPr>
                <w:rFonts w:hint="eastAsia" w:ascii="宋体" w:hAnsi="宋体" w:cs="宋体"/>
              </w:rPr>
            </w:pPr>
            <w:r>
              <w:rPr>
                <w:rFonts w:hint="eastAsia" w:ascii="宋体" w:hAnsi="宋体" w:cs="宋体"/>
              </w:rPr>
              <w:t>C投标人</w:t>
            </w:r>
          </w:p>
        </w:tc>
        <w:tc>
          <w:tcPr>
            <w:tcW w:w="992" w:type="dxa"/>
            <w:vAlign w:val="center"/>
          </w:tcPr>
          <w:p>
            <w:pPr>
              <w:jc w:val="center"/>
              <w:rPr>
                <w:rFonts w:hint="eastAsia" w:ascii="宋体" w:hAnsi="宋体" w:cs="宋体"/>
              </w:rPr>
            </w:pPr>
            <w:r>
              <w:rPr>
                <w:rFonts w:hint="eastAsia" w:ascii="宋体" w:hAnsi="宋体" w:cs="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20"/>
              </w:numPr>
              <w:tabs>
                <w:tab w:val="left" w:pos="420"/>
                <w:tab w:val="clear" w:pos="300"/>
              </w:tabs>
              <w:spacing w:before="40" w:after="40"/>
              <w:ind w:left="420" w:hanging="420"/>
              <w:jc w:val="center"/>
              <w:rPr>
                <w:rFonts w:hint="eastAsia" w:ascii="宋体" w:hAnsi="宋体" w:cs="宋体"/>
                <w:szCs w:val="21"/>
              </w:rPr>
            </w:pPr>
          </w:p>
        </w:tc>
        <w:tc>
          <w:tcPr>
            <w:tcW w:w="5209" w:type="dxa"/>
            <w:gridSpan w:val="2"/>
            <w:vAlign w:val="center"/>
          </w:tcPr>
          <w:p>
            <w:pPr>
              <w:ind w:left="46" w:leftChars="19"/>
              <w:rPr>
                <w:rFonts w:hint="eastAsia" w:ascii="宋体" w:hAnsi="宋体" w:cs="宋体"/>
                <w:sz w:val="18"/>
                <w:szCs w:val="18"/>
              </w:rPr>
            </w:pPr>
            <w:r>
              <w:rPr>
                <w:rFonts w:hint="eastAsia" w:ascii="宋体" w:hAnsi="宋体" w:cs="宋体"/>
                <w:sz w:val="18"/>
                <w:szCs w:val="18"/>
              </w:rPr>
              <w:t>符合采购文件中规定资格要求的及资格证明文件齐全</w:t>
            </w:r>
          </w:p>
        </w:tc>
        <w:tc>
          <w:tcPr>
            <w:tcW w:w="995" w:type="dxa"/>
          </w:tcPr>
          <w:p>
            <w:pPr>
              <w:pStyle w:val="41"/>
              <w:tabs>
                <w:tab w:val="left" w:pos="686"/>
                <w:tab w:val="left" w:pos="1030"/>
              </w:tabs>
              <w:spacing w:before="40" w:after="40"/>
              <w:rPr>
                <w:rFonts w:hint="eastAsia" w:hAnsi="宋体" w:cs="宋体"/>
                <w:szCs w:val="21"/>
              </w:rPr>
            </w:pPr>
          </w:p>
        </w:tc>
        <w:tc>
          <w:tcPr>
            <w:tcW w:w="995" w:type="dxa"/>
            <w:vAlign w:val="center"/>
          </w:tcPr>
          <w:p>
            <w:pPr>
              <w:spacing w:before="40" w:after="40"/>
              <w:rPr>
                <w:rFonts w:hint="eastAsia" w:ascii="宋体" w:hAnsi="宋体" w:cs="宋体"/>
                <w:szCs w:val="21"/>
              </w:rPr>
            </w:pPr>
          </w:p>
        </w:tc>
        <w:tc>
          <w:tcPr>
            <w:tcW w:w="995" w:type="dxa"/>
            <w:vAlign w:val="center"/>
          </w:tcPr>
          <w:p>
            <w:pPr>
              <w:spacing w:before="40" w:after="40"/>
              <w:rPr>
                <w:rFonts w:hint="eastAsia" w:ascii="宋体" w:hAnsi="宋体" w:cs="宋体"/>
                <w:szCs w:val="21"/>
              </w:rPr>
            </w:pPr>
          </w:p>
        </w:tc>
        <w:tc>
          <w:tcPr>
            <w:tcW w:w="992" w:type="dxa"/>
            <w:vAlign w:val="center"/>
          </w:tcPr>
          <w:p>
            <w:pPr>
              <w:spacing w:before="40" w:after="4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20"/>
              </w:numPr>
              <w:tabs>
                <w:tab w:val="left" w:pos="420"/>
                <w:tab w:val="clear" w:pos="300"/>
              </w:tabs>
              <w:spacing w:before="40" w:after="40"/>
              <w:ind w:left="420" w:hanging="420"/>
              <w:jc w:val="center"/>
              <w:rPr>
                <w:rFonts w:hint="eastAsia" w:ascii="宋体" w:hAnsi="宋体" w:cs="宋体"/>
                <w:szCs w:val="21"/>
              </w:rPr>
            </w:pPr>
          </w:p>
        </w:tc>
        <w:tc>
          <w:tcPr>
            <w:tcW w:w="5209" w:type="dxa"/>
            <w:gridSpan w:val="2"/>
            <w:vAlign w:val="center"/>
          </w:tcPr>
          <w:p>
            <w:pPr>
              <w:ind w:left="46" w:leftChars="19"/>
              <w:rPr>
                <w:rFonts w:hint="eastAsia" w:ascii="宋体" w:hAnsi="宋体" w:cs="宋体"/>
              </w:rPr>
            </w:pPr>
            <w:r>
              <w:rPr>
                <w:rFonts w:hint="eastAsia" w:ascii="宋体" w:hAnsi="宋体" w:cs="宋体"/>
                <w:sz w:val="18"/>
                <w:szCs w:val="18"/>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tc>
        <w:tc>
          <w:tcPr>
            <w:tcW w:w="995" w:type="dxa"/>
          </w:tcPr>
          <w:p>
            <w:pPr>
              <w:tabs>
                <w:tab w:val="left" w:pos="686"/>
                <w:tab w:val="left" w:pos="1030"/>
              </w:tabs>
              <w:spacing w:before="40" w:after="40"/>
              <w:rPr>
                <w:rFonts w:hint="eastAsia" w:ascii="宋体" w:hAnsi="宋体" w:cs="宋体"/>
                <w:szCs w:val="21"/>
              </w:rPr>
            </w:pPr>
          </w:p>
        </w:tc>
        <w:tc>
          <w:tcPr>
            <w:tcW w:w="995" w:type="dxa"/>
            <w:vAlign w:val="center"/>
          </w:tcPr>
          <w:p>
            <w:pPr>
              <w:spacing w:before="40" w:after="40"/>
              <w:rPr>
                <w:rFonts w:hint="eastAsia" w:ascii="宋体" w:hAnsi="宋体" w:cs="宋体"/>
                <w:szCs w:val="21"/>
              </w:rPr>
            </w:pPr>
          </w:p>
        </w:tc>
        <w:tc>
          <w:tcPr>
            <w:tcW w:w="995" w:type="dxa"/>
            <w:vAlign w:val="center"/>
          </w:tcPr>
          <w:p>
            <w:pPr>
              <w:spacing w:before="40" w:after="40"/>
              <w:rPr>
                <w:rFonts w:hint="eastAsia" w:ascii="宋体" w:hAnsi="宋体" w:cs="宋体"/>
                <w:szCs w:val="21"/>
              </w:rPr>
            </w:pPr>
          </w:p>
        </w:tc>
        <w:tc>
          <w:tcPr>
            <w:tcW w:w="992" w:type="dxa"/>
            <w:vAlign w:val="center"/>
          </w:tcPr>
          <w:p>
            <w:pPr>
              <w:spacing w:before="40" w:after="4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7" w:type="dxa"/>
            <w:gridSpan w:val="3"/>
            <w:vAlign w:val="center"/>
          </w:tcPr>
          <w:p>
            <w:pPr>
              <w:spacing w:before="40" w:after="40" w:line="360" w:lineRule="auto"/>
              <w:jc w:val="center"/>
              <w:rPr>
                <w:rFonts w:hint="eastAsia" w:ascii="宋体" w:hAnsi="宋体" w:cs="宋体"/>
                <w:b/>
                <w:szCs w:val="21"/>
              </w:rPr>
            </w:pPr>
            <w:r>
              <w:rPr>
                <w:rFonts w:hint="eastAsia" w:ascii="宋体" w:hAnsi="宋体" w:cs="宋体"/>
                <w:b/>
                <w:szCs w:val="21"/>
              </w:rPr>
              <w:t>结  论</w:t>
            </w:r>
          </w:p>
        </w:tc>
        <w:tc>
          <w:tcPr>
            <w:tcW w:w="995" w:type="dxa"/>
            <w:vAlign w:val="center"/>
          </w:tcPr>
          <w:p>
            <w:pPr>
              <w:spacing w:before="40" w:after="40" w:line="360" w:lineRule="auto"/>
              <w:rPr>
                <w:rFonts w:hint="eastAsia" w:ascii="宋体" w:hAnsi="宋体" w:cs="宋体"/>
                <w:b/>
                <w:szCs w:val="21"/>
              </w:rPr>
            </w:pPr>
          </w:p>
        </w:tc>
        <w:tc>
          <w:tcPr>
            <w:tcW w:w="995" w:type="dxa"/>
            <w:vAlign w:val="center"/>
          </w:tcPr>
          <w:p>
            <w:pPr>
              <w:spacing w:before="40" w:after="40" w:line="360" w:lineRule="auto"/>
              <w:rPr>
                <w:rFonts w:hint="eastAsia" w:ascii="宋体" w:hAnsi="宋体" w:cs="宋体"/>
                <w:b/>
                <w:szCs w:val="21"/>
              </w:rPr>
            </w:pPr>
          </w:p>
        </w:tc>
        <w:tc>
          <w:tcPr>
            <w:tcW w:w="995" w:type="dxa"/>
            <w:vAlign w:val="center"/>
          </w:tcPr>
          <w:p>
            <w:pPr>
              <w:spacing w:before="40" w:after="40" w:line="360" w:lineRule="auto"/>
              <w:rPr>
                <w:rFonts w:hint="eastAsia" w:ascii="宋体" w:hAnsi="宋体" w:cs="宋体"/>
                <w:b/>
                <w:szCs w:val="21"/>
              </w:rPr>
            </w:pPr>
          </w:p>
        </w:tc>
        <w:tc>
          <w:tcPr>
            <w:tcW w:w="992" w:type="dxa"/>
            <w:vAlign w:val="center"/>
          </w:tcPr>
          <w:p>
            <w:pPr>
              <w:spacing w:before="40" w:after="40" w:line="360" w:lineRule="auto"/>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70" w:type="dxa"/>
            <w:gridSpan w:val="2"/>
            <w:vAlign w:val="center"/>
          </w:tcPr>
          <w:p>
            <w:pPr>
              <w:jc w:val="center"/>
              <w:rPr>
                <w:rFonts w:hint="eastAsia" w:ascii="宋体" w:hAnsi="宋体" w:cs="宋体"/>
                <w:szCs w:val="21"/>
              </w:rPr>
            </w:pPr>
            <w:r>
              <w:rPr>
                <w:rFonts w:hint="eastAsia" w:ascii="宋体" w:hAnsi="宋体" w:cs="宋体"/>
                <w:szCs w:val="21"/>
              </w:rPr>
              <w:t>不通过原因说明</w:t>
            </w:r>
          </w:p>
        </w:tc>
        <w:tc>
          <w:tcPr>
            <w:tcW w:w="8644" w:type="dxa"/>
            <w:gridSpan w:val="5"/>
            <w:vAlign w:val="center"/>
          </w:tcPr>
          <w:p>
            <w:pPr>
              <w:spacing w:before="40" w:after="40" w:line="360" w:lineRule="auto"/>
              <w:rPr>
                <w:rFonts w:hint="eastAsia" w:ascii="宋体" w:hAnsi="宋体" w:cs="宋体"/>
                <w:b/>
                <w:szCs w:val="21"/>
              </w:rPr>
            </w:pPr>
          </w:p>
        </w:tc>
      </w:tr>
    </w:tbl>
    <w:p>
      <w:pPr>
        <w:spacing w:line="360" w:lineRule="auto"/>
        <w:rPr>
          <w:rFonts w:hint="eastAsia" w:ascii="宋体" w:hAnsi="宋体" w:cs="宋体"/>
          <w:szCs w:val="21"/>
          <w:lang w:val="zh-CN"/>
        </w:rPr>
      </w:pPr>
    </w:p>
    <w:p>
      <w:pPr>
        <w:spacing w:line="360" w:lineRule="auto"/>
        <w:rPr>
          <w:rFonts w:hint="eastAsia" w:ascii="宋体" w:hAnsi="宋体" w:cs="宋体"/>
          <w:szCs w:val="21"/>
          <w:lang w:val="zh-CN"/>
        </w:rPr>
      </w:pPr>
      <w:r>
        <w:rPr>
          <w:rFonts w:hint="eastAsia" w:ascii="宋体" w:hAnsi="宋体" w:cs="宋体"/>
          <w:szCs w:val="21"/>
          <w:lang w:val="zh-CN"/>
        </w:rPr>
        <w:t>25.4</w:t>
      </w:r>
      <w:r>
        <w:rPr>
          <w:rFonts w:hint="eastAsia" w:ascii="宋体" w:hAnsi="宋体" w:cs="宋体"/>
        </w:rPr>
        <w:t xml:space="preserve">  </w:t>
      </w:r>
      <w:r>
        <w:rPr>
          <w:rFonts w:hint="eastAsia" w:ascii="宋体" w:hAnsi="宋体" w:cs="宋体"/>
          <w:szCs w:val="21"/>
          <w:lang w:val="zh-CN"/>
        </w:rPr>
        <w:t>当通过资格审查的合格投标人不足三家时，采购代理机构将按照《中华人民共和国政府采购法》重新组织招投标。</w:t>
      </w:r>
    </w:p>
    <w:p>
      <w:pPr>
        <w:pStyle w:val="9"/>
        <w:spacing w:line="360" w:lineRule="auto"/>
        <w:rPr>
          <w:rFonts w:hint="eastAsia" w:ascii="宋体" w:hAnsi="宋体" w:eastAsia="宋体" w:cs="宋体"/>
        </w:rPr>
      </w:pPr>
      <w:bookmarkStart w:id="179" w:name="_Toc500229387"/>
      <w:bookmarkStart w:id="180" w:name="_Toc30674"/>
      <w:bookmarkStart w:id="181" w:name="_Toc205099106"/>
      <w:bookmarkStart w:id="182" w:name="_Toc262242518"/>
      <w:r>
        <w:rPr>
          <w:rFonts w:hint="eastAsia" w:ascii="宋体" w:hAnsi="宋体" w:eastAsia="宋体" w:cs="宋体"/>
        </w:rPr>
        <w:t>26  投标文件的澄清</w:t>
      </w:r>
      <w:bookmarkEnd w:id="179"/>
      <w:bookmarkEnd w:id="180"/>
      <w:bookmarkEnd w:id="181"/>
      <w:bookmarkEnd w:id="182"/>
    </w:p>
    <w:p>
      <w:pPr>
        <w:spacing w:line="360" w:lineRule="auto"/>
        <w:rPr>
          <w:rFonts w:hint="eastAsia" w:ascii="宋体" w:hAnsi="宋体" w:cs="宋体"/>
        </w:rPr>
      </w:pPr>
      <w:r>
        <w:rPr>
          <w:rFonts w:hint="eastAsia" w:ascii="宋体" w:hAnsi="宋体" w:cs="宋体"/>
        </w:rPr>
        <w:t>26.1  在评标期间，评标委员会可要求投标人对其投标文件进行澄清，但不得寻求、提供或允许对投标价格等实质性内容做任何更改。有关澄清的要求和答复均应以书面形式提交。</w:t>
      </w:r>
    </w:p>
    <w:p>
      <w:pPr>
        <w:pStyle w:val="9"/>
        <w:spacing w:line="360" w:lineRule="auto"/>
        <w:rPr>
          <w:rFonts w:hint="eastAsia" w:ascii="宋体" w:hAnsi="宋体" w:eastAsia="宋体" w:cs="宋体"/>
        </w:rPr>
      </w:pPr>
      <w:bookmarkStart w:id="183" w:name="_Toc262242519"/>
      <w:bookmarkStart w:id="184" w:name="_Toc102300300"/>
      <w:bookmarkStart w:id="185" w:name="_Toc205099107"/>
      <w:bookmarkStart w:id="186" w:name="_Toc500229388"/>
      <w:bookmarkStart w:id="187" w:name="_Toc2330"/>
      <w:r>
        <w:rPr>
          <w:rFonts w:hint="eastAsia" w:ascii="宋体" w:hAnsi="宋体" w:eastAsia="宋体" w:cs="宋体"/>
        </w:rPr>
        <w:t>27  投标文件的</w:t>
      </w:r>
      <w:bookmarkEnd w:id="183"/>
      <w:bookmarkEnd w:id="184"/>
      <w:bookmarkEnd w:id="185"/>
      <w:r>
        <w:rPr>
          <w:rFonts w:hint="eastAsia" w:ascii="宋体" w:hAnsi="宋体" w:eastAsia="宋体" w:cs="宋体"/>
        </w:rPr>
        <w:t>符合性审查</w:t>
      </w:r>
      <w:bookmarkEnd w:id="186"/>
      <w:bookmarkEnd w:id="187"/>
    </w:p>
    <w:p>
      <w:pPr>
        <w:spacing w:line="360" w:lineRule="auto"/>
        <w:rPr>
          <w:rFonts w:hint="eastAsia" w:ascii="宋体" w:hAnsi="宋体" w:cs="宋体"/>
        </w:rPr>
      </w:pPr>
      <w:r>
        <w:rPr>
          <w:rFonts w:hint="eastAsia" w:ascii="宋体" w:hAnsi="宋体" w:cs="宋体"/>
        </w:rPr>
        <w:t>27.1  进入评标环节后，评标委员会首先对通过资格审查的投标人所提交的投标文件进行符合性审查。</w:t>
      </w:r>
    </w:p>
    <w:p>
      <w:pPr>
        <w:spacing w:line="360" w:lineRule="auto"/>
        <w:rPr>
          <w:rFonts w:hint="eastAsia" w:ascii="宋体" w:hAnsi="宋体" w:cs="宋体"/>
        </w:rPr>
      </w:pPr>
      <w:r>
        <w:rPr>
          <w:rFonts w:hint="eastAsia" w:ascii="宋体" w:hAnsi="宋体" w:cs="宋体"/>
        </w:rPr>
        <w:t>27.2  符合性检查是指依据采购文件的规定，从投标文件的有效性、完整性和对采购文件的响应程度进行审查，以确定是否对采购文件的实质性要求作出响应。</w:t>
      </w:r>
      <w:r>
        <w:rPr>
          <w:rFonts w:hint="eastAsia" w:ascii="宋体" w:hAnsi="宋体" w:cs="宋体"/>
          <w:b/>
        </w:rPr>
        <w:t>对没有通过符合性审查的投标文件，评标委员会将对其做无效投标处理。</w:t>
      </w:r>
    </w:p>
    <w:p>
      <w:pPr>
        <w:spacing w:line="360" w:lineRule="auto"/>
        <w:rPr>
          <w:rFonts w:hint="eastAsia" w:ascii="宋体" w:hAnsi="宋体" w:cs="宋体"/>
        </w:rPr>
      </w:pPr>
      <w:r>
        <w:rPr>
          <w:rFonts w:hint="eastAsia" w:ascii="宋体" w:hAnsi="宋体" w:cs="宋体"/>
        </w:rPr>
        <w:t>27.3  当投标文件通过符合性审查的</w:t>
      </w:r>
      <w:r>
        <w:rPr>
          <w:rFonts w:hint="eastAsia" w:ascii="宋体" w:hAnsi="宋体" w:cs="宋体"/>
          <w:szCs w:val="21"/>
          <w:lang w:val="zh-CN"/>
        </w:rPr>
        <w:t>投标人不足三家时</w:t>
      </w:r>
      <w:r>
        <w:rPr>
          <w:rFonts w:hint="eastAsia" w:ascii="宋体" w:hAnsi="宋体" w:cs="宋体"/>
        </w:rPr>
        <w:t>，采购代理机构将按照《中华人民共和国政府采购法》重新组织招投标。</w:t>
      </w:r>
    </w:p>
    <w:p>
      <w:pPr>
        <w:spacing w:line="360" w:lineRule="auto"/>
        <w:rPr>
          <w:rFonts w:hint="eastAsia" w:ascii="宋体" w:hAnsi="宋体" w:cs="宋体"/>
          <w:b/>
        </w:rPr>
      </w:pPr>
      <w:r>
        <w:rPr>
          <w:rFonts w:hint="eastAsia" w:ascii="宋体" w:hAnsi="宋体" w:cs="宋体"/>
          <w:b/>
        </w:rPr>
        <w:t>27.4  实质上没有响应采购文件要求的投标将被拒绝。投标人不得通过修正或撤销不合要求的偏离或保留从而使其投标成为实质上响应的投标。</w:t>
      </w:r>
    </w:p>
    <w:p>
      <w:pPr>
        <w:spacing w:line="360" w:lineRule="auto"/>
        <w:rPr>
          <w:rFonts w:hint="eastAsia" w:ascii="宋体" w:hAnsi="宋体" w:cs="宋体"/>
          <w:b/>
        </w:rPr>
      </w:pPr>
      <w:r>
        <w:rPr>
          <w:rFonts w:hint="eastAsia" w:ascii="宋体" w:hAnsi="宋体" w:cs="宋体"/>
          <w:b/>
        </w:rPr>
        <w:t>27.5  通过符合性审查须满足以下条件：</w:t>
      </w:r>
    </w:p>
    <w:tbl>
      <w:tblPr>
        <w:tblStyle w:val="79"/>
        <w:tblW w:w="962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tblHeader/>
        </w:trPr>
        <w:tc>
          <w:tcPr>
            <w:tcW w:w="675" w:type="dxa"/>
            <w:vAlign w:val="center"/>
          </w:tcPr>
          <w:p>
            <w:pPr>
              <w:jc w:val="center"/>
              <w:rPr>
                <w:rFonts w:hint="eastAsia" w:ascii="宋体" w:hAnsi="宋体" w:cs="宋体"/>
                <w:b/>
                <w:szCs w:val="21"/>
              </w:rPr>
            </w:pPr>
            <w:bookmarkStart w:id="188" w:name="_Toc262242520"/>
            <w:bookmarkStart w:id="189" w:name="_Toc500229389"/>
            <w:bookmarkStart w:id="190" w:name="_Toc205099108"/>
            <w:r>
              <w:rPr>
                <w:rFonts w:hint="eastAsia" w:ascii="宋体" w:hAnsi="宋体" w:cs="宋体"/>
                <w:b/>
                <w:szCs w:val="21"/>
              </w:rPr>
              <w:t>序号</w:t>
            </w:r>
          </w:p>
        </w:tc>
        <w:tc>
          <w:tcPr>
            <w:tcW w:w="4968" w:type="dxa"/>
            <w:gridSpan w:val="2"/>
            <w:tcBorders>
              <w:tl2br w:val="single" w:color="auto" w:sz="4" w:space="0"/>
            </w:tcBorders>
            <w:vAlign w:val="center"/>
          </w:tcPr>
          <w:p>
            <w:pPr>
              <w:jc w:val="right"/>
              <w:rPr>
                <w:rFonts w:hint="eastAsia" w:ascii="宋体" w:hAnsi="宋体" w:cs="宋体"/>
                <w:b/>
                <w:szCs w:val="21"/>
              </w:rPr>
            </w:pPr>
            <w:r>
              <w:rPr>
                <w:rFonts w:hint="eastAsia" w:ascii="宋体" w:hAnsi="宋体" w:cs="宋体"/>
                <w:b/>
                <w:szCs w:val="21"/>
              </w:rPr>
              <w:t>投标人</w:t>
            </w:r>
          </w:p>
          <w:p>
            <w:pPr>
              <w:rPr>
                <w:rFonts w:hint="eastAsia" w:ascii="宋体" w:hAnsi="宋体" w:cs="宋体"/>
              </w:rPr>
            </w:pPr>
            <w:r>
              <w:rPr>
                <w:rFonts w:hint="eastAsia" w:ascii="宋体" w:hAnsi="宋体" w:cs="宋体"/>
                <w:b/>
                <w:szCs w:val="21"/>
              </w:rPr>
              <w:t>符合性审查项</w:t>
            </w:r>
          </w:p>
        </w:tc>
        <w:tc>
          <w:tcPr>
            <w:tcW w:w="995" w:type="dxa"/>
            <w:vAlign w:val="center"/>
          </w:tcPr>
          <w:p>
            <w:pPr>
              <w:jc w:val="center"/>
              <w:rPr>
                <w:rFonts w:hint="eastAsia" w:ascii="宋体" w:hAnsi="宋体" w:cs="宋体"/>
              </w:rPr>
            </w:pPr>
            <w:r>
              <w:rPr>
                <w:rFonts w:hint="eastAsia" w:ascii="宋体" w:hAnsi="宋体" w:cs="宋体"/>
              </w:rPr>
              <w:t>A投标人</w:t>
            </w:r>
          </w:p>
        </w:tc>
        <w:tc>
          <w:tcPr>
            <w:tcW w:w="995" w:type="dxa"/>
            <w:vAlign w:val="center"/>
          </w:tcPr>
          <w:p>
            <w:pPr>
              <w:jc w:val="center"/>
              <w:rPr>
                <w:rFonts w:hint="eastAsia" w:ascii="宋体" w:hAnsi="宋体" w:cs="宋体"/>
              </w:rPr>
            </w:pPr>
            <w:r>
              <w:rPr>
                <w:rFonts w:hint="eastAsia" w:ascii="宋体" w:hAnsi="宋体" w:cs="宋体"/>
              </w:rPr>
              <w:t>B投标人</w:t>
            </w:r>
          </w:p>
        </w:tc>
        <w:tc>
          <w:tcPr>
            <w:tcW w:w="995" w:type="dxa"/>
            <w:vAlign w:val="center"/>
          </w:tcPr>
          <w:p>
            <w:pPr>
              <w:tabs>
                <w:tab w:val="left" w:pos="8640"/>
              </w:tabs>
              <w:jc w:val="center"/>
              <w:rPr>
                <w:rFonts w:hint="eastAsia" w:ascii="宋体" w:hAnsi="宋体" w:cs="宋体"/>
              </w:rPr>
            </w:pPr>
            <w:r>
              <w:rPr>
                <w:rFonts w:hint="eastAsia" w:ascii="宋体" w:hAnsi="宋体" w:cs="宋体"/>
              </w:rPr>
              <w:t>C投标人</w:t>
            </w:r>
          </w:p>
        </w:tc>
        <w:tc>
          <w:tcPr>
            <w:tcW w:w="992" w:type="dxa"/>
            <w:vAlign w:val="center"/>
          </w:tcPr>
          <w:p>
            <w:pPr>
              <w:jc w:val="center"/>
              <w:rPr>
                <w:rFonts w:hint="eastAsia" w:ascii="宋体" w:hAnsi="宋体" w:cs="宋体"/>
              </w:rPr>
            </w:pPr>
            <w:r>
              <w:rPr>
                <w:rFonts w:hint="eastAsia" w:ascii="宋体" w:hAnsi="宋体" w:cs="宋体"/>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cs="宋体"/>
                <w:szCs w:val="21"/>
              </w:rPr>
            </w:pPr>
            <w:r>
              <w:rPr>
                <w:rFonts w:hint="eastAsia" w:ascii="宋体" w:hAnsi="宋体" w:cs="宋体"/>
                <w:szCs w:val="21"/>
              </w:rPr>
              <w:t>1</w:t>
            </w:r>
          </w:p>
        </w:tc>
        <w:tc>
          <w:tcPr>
            <w:tcW w:w="4968" w:type="dxa"/>
            <w:gridSpan w:val="2"/>
            <w:vAlign w:val="center"/>
          </w:tcPr>
          <w:p>
            <w:pPr>
              <w:ind w:left="46" w:leftChars="19"/>
              <w:rPr>
                <w:rFonts w:hint="eastAsia" w:ascii="宋体" w:hAnsi="宋体" w:cs="宋体"/>
              </w:rPr>
            </w:pPr>
            <w:r>
              <w:rPr>
                <w:rFonts w:hint="eastAsia" w:ascii="宋体" w:hAnsi="宋体" w:cs="宋体"/>
                <w:sz w:val="18"/>
                <w:szCs w:val="18"/>
              </w:rPr>
              <w:t>投标文件封面及关键页均有按采购文件要求加盖公章或签字</w:t>
            </w:r>
          </w:p>
        </w:tc>
        <w:tc>
          <w:tcPr>
            <w:tcW w:w="995" w:type="dxa"/>
          </w:tcPr>
          <w:p>
            <w:pPr>
              <w:tabs>
                <w:tab w:val="left" w:pos="686"/>
                <w:tab w:val="left" w:pos="1030"/>
              </w:tabs>
              <w:spacing w:before="40" w:after="40"/>
              <w:rPr>
                <w:rFonts w:hint="eastAsia" w:ascii="宋体" w:hAnsi="宋体" w:cs="宋体"/>
              </w:rPr>
            </w:pPr>
          </w:p>
        </w:tc>
        <w:tc>
          <w:tcPr>
            <w:tcW w:w="995" w:type="dxa"/>
            <w:vAlign w:val="center"/>
          </w:tcPr>
          <w:p>
            <w:pPr>
              <w:spacing w:before="40" w:after="40"/>
              <w:rPr>
                <w:rFonts w:hint="eastAsia" w:ascii="宋体" w:hAnsi="宋体" w:cs="宋体"/>
                <w:b/>
                <w:szCs w:val="21"/>
              </w:rPr>
            </w:pPr>
          </w:p>
        </w:tc>
        <w:tc>
          <w:tcPr>
            <w:tcW w:w="995" w:type="dxa"/>
            <w:vAlign w:val="center"/>
          </w:tcPr>
          <w:p>
            <w:pPr>
              <w:spacing w:before="40" w:after="40"/>
              <w:rPr>
                <w:rFonts w:hint="eastAsia" w:ascii="宋体" w:hAnsi="宋体" w:cs="宋体"/>
                <w:b/>
                <w:szCs w:val="21"/>
              </w:rPr>
            </w:pPr>
          </w:p>
        </w:tc>
        <w:tc>
          <w:tcPr>
            <w:tcW w:w="992" w:type="dxa"/>
            <w:vAlign w:val="center"/>
          </w:tcPr>
          <w:p>
            <w:pPr>
              <w:spacing w:before="40" w:after="40"/>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cs="宋体"/>
                <w:szCs w:val="21"/>
              </w:rPr>
            </w:pPr>
            <w:r>
              <w:rPr>
                <w:rFonts w:hint="eastAsia" w:ascii="宋体" w:hAnsi="宋体" w:cs="宋体"/>
                <w:szCs w:val="21"/>
              </w:rPr>
              <w:t>2</w:t>
            </w:r>
          </w:p>
        </w:tc>
        <w:tc>
          <w:tcPr>
            <w:tcW w:w="4968" w:type="dxa"/>
            <w:gridSpan w:val="2"/>
            <w:vAlign w:val="center"/>
          </w:tcPr>
          <w:p>
            <w:pPr>
              <w:ind w:left="46" w:leftChars="19"/>
              <w:rPr>
                <w:rFonts w:hint="eastAsia" w:ascii="宋体" w:hAnsi="宋体" w:cs="宋体"/>
                <w:sz w:val="18"/>
                <w:szCs w:val="18"/>
              </w:rPr>
            </w:pPr>
            <w:r>
              <w:rPr>
                <w:rFonts w:hint="eastAsia" w:ascii="宋体" w:hAnsi="宋体" w:cs="宋体"/>
                <w:sz w:val="18"/>
                <w:szCs w:val="18"/>
              </w:rPr>
              <w:t>投标报价内容满足采购文件要求</w:t>
            </w:r>
          </w:p>
        </w:tc>
        <w:tc>
          <w:tcPr>
            <w:tcW w:w="995" w:type="dxa"/>
          </w:tcPr>
          <w:p>
            <w:pPr>
              <w:pStyle w:val="41"/>
              <w:tabs>
                <w:tab w:val="left" w:pos="686"/>
                <w:tab w:val="left" w:pos="1030"/>
              </w:tabs>
              <w:spacing w:before="40" w:after="40"/>
              <w:rPr>
                <w:rFonts w:hint="eastAsia" w:hAnsi="宋体" w:cs="宋体"/>
                <w:szCs w:val="21"/>
              </w:rPr>
            </w:pPr>
          </w:p>
        </w:tc>
        <w:tc>
          <w:tcPr>
            <w:tcW w:w="995" w:type="dxa"/>
            <w:vAlign w:val="center"/>
          </w:tcPr>
          <w:p>
            <w:pPr>
              <w:spacing w:before="40" w:after="40"/>
              <w:rPr>
                <w:rFonts w:hint="eastAsia" w:ascii="宋体" w:hAnsi="宋体" w:cs="宋体"/>
                <w:szCs w:val="21"/>
              </w:rPr>
            </w:pPr>
          </w:p>
        </w:tc>
        <w:tc>
          <w:tcPr>
            <w:tcW w:w="995" w:type="dxa"/>
            <w:vAlign w:val="center"/>
          </w:tcPr>
          <w:p>
            <w:pPr>
              <w:spacing w:before="40" w:after="40"/>
              <w:rPr>
                <w:rFonts w:hint="eastAsia" w:ascii="宋体" w:hAnsi="宋体" w:cs="宋体"/>
                <w:szCs w:val="21"/>
              </w:rPr>
            </w:pPr>
          </w:p>
        </w:tc>
        <w:tc>
          <w:tcPr>
            <w:tcW w:w="992" w:type="dxa"/>
            <w:vAlign w:val="center"/>
          </w:tcPr>
          <w:p>
            <w:pPr>
              <w:spacing w:before="40" w:after="4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cs="宋体"/>
                <w:szCs w:val="21"/>
              </w:rPr>
            </w:pPr>
            <w:r>
              <w:rPr>
                <w:rFonts w:hint="eastAsia" w:ascii="宋体" w:hAnsi="宋体" w:cs="宋体"/>
                <w:szCs w:val="21"/>
              </w:rPr>
              <w:t>3</w:t>
            </w:r>
          </w:p>
        </w:tc>
        <w:tc>
          <w:tcPr>
            <w:tcW w:w="4968" w:type="dxa"/>
            <w:gridSpan w:val="2"/>
            <w:vAlign w:val="center"/>
          </w:tcPr>
          <w:p>
            <w:pPr>
              <w:ind w:left="46" w:leftChars="19"/>
              <w:rPr>
                <w:rFonts w:hint="eastAsia" w:ascii="宋体" w:hAnsi="宋体" w:cs="宋体"/>
              </w:rPr>
            </w:pPr>
            <w:r>
              <w:rPr>
                <w:rFonts w:hint="eastAsia" w:ascii="宋体" w:hAnsi="宋体" w:cs="宋体"/>
                <w:sz w:val="18"/>
                <w:szCs w:val="18"/>
              </w:rPr>
              <w:t>投标函内容及有效期满足采购文件要求</w:t>
            </w:r>
          </w:p>
        </w:tc>
        <w:tc>
          <w:tcPr>
            <w:tcW w:w="995" w:type="dxa"/>
          </w:tcPr>
          <w:p>
            <w:pPr>
              <w:tabs>
                <w:tab w:val="left" w:pos="686"/>
                <w:tab w:val="left" w:pos="1030"/>
              </w:tabs>
              <w:spacing w:before="40" w:after="40"/>
              <w:rPr>
                <w:rFonts w:hint="eastAsia" w:ascii="宋体" w:hAnsi="宋体" w:cs="宋体"/>
                <w:szCs w:val="21"/>
              </w:rPr>
            </w:pPr>
          </w:p>
        </w:tc>
        <w:tc>
          <w:tcPr>
            <w:tcW w:w="995" w:type="dxa"/>
            <w:vAlign w:val="center"/>
          </w:tcPr>
          <w:p>
            <w:pPr>
              <w:spacing w:before="40" w:after="40"/>
              <w:rPr>
                <w:rFonts w:hint="eastAsia" w:ascii="宋体" w:hAnsi="宋体" w:cs="宋体"/>
                <w:szCs w:val="21"/>
              </w:rPr>
            </w:pPr>
          </w:p>
        </w:tc>
        <w:tc>
          <w:tcPr>
            <w:tcW w:w="995" w:type="dxa"/>
            <w:vAlign w:val="center"/>
          </w:tcPr>
          <w:p>
            <w:pPr>
              <w:spacing w:before="40" w:after="40"/>
              <w:rPr>
                <w:rFonts w:hint="eastAsia" w:ascii="宋体" w:hAnsi="宋体" w:cs="宋体"/>
                <w:szCs w:val="21"/>
              </w:rPr>
            </w:pPr>
          </w:p>
        </w:tc>
        <w:tc>
          <w:tcPr>
            <w:tcW w:w="992" w:type="dxa"/>
            <w:vAlign w:val="center"/>
          </w:tcPr>
          <w:p>
            <w:pPr>
              <w:spacing w:before="40" w:after="4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cs="宋体"/>
                <w:szCs w:val="21"/>
              </w:rPr>
            </w:pPr>
            <w:r>
              <w:rPr>
                <w:rFonts w:hint="eastAsia" w:ascii="宋体" w:hAnsi="宋体" w:cs="宋体"/>
                <w:szCs w:val="21"/>
              </w:rPr>
              <w:t>4</w:t>
            </w:r>
          </w:p>
        </w:tc>
        <w:tc>
          <w:tcPr>
            <w:tcW w:w="4968" w:type="dxa"/>
            <w:gridSpan w:val="2"/>
            <w:vAlign w:val="center"/>
          </w:tcPr>
          <w:p>
            <w:pPr>
              <w:ind w:left="46" w:leftChars="19"/>
              <w:rPr>
                <w:rFonts w:hint="eastAsia" w:ascii="宋体" w:hAnsi="宋体" w:cs="宋体"/>
                <w:szCs w:val="21"/>
              </w:rPr>
            </w:pPr>
            <w:r>
              <w:rPr>
                <w:rFonts w:hint="eastAsia" w:ascii="宋体" w:hAnsi="宋体" w:cs="宋体"/>
                <w:sz w:val="18"/>
                <w:szCs w:val="18"/>
              </w:rPr>
              <w:t>投标文件有提供投标人法定代表人身份证明书</w:t>
            </w:r>
          </w:p>
        </w:tc>
        <w:tc>
          <w:tcPr>
            <w:tcW w:w="995" w:type="dxa"/>
          </w:tcPr>
          <w:p>
            <w:pPr>
              <w:tabs>
                <w:tab w:val="left" w:pos="686"/>
                <w:tab w:val="left" w:pos="1030"/>
              </w:tabs>
              <w:spacing w:before="40" w:after="40"/>
              <w:rPr>
                <w:rFonts w:hint="eastAsia" w:ascii="宋体" w:hAnsi="宋体" w:cs="宋体"/>
              </w:rPr>
            </w:pPr>
          </w:p>
        </w:tc>
        <w:tc>
          <w:tcPr>
            <w:tcW w:w="995" w:type="dxa"/>
            <w:vAlign w:val="center"/>
          </w:tcPr>
          <w:p>
            <w:pPr>
              <w:spacing w:before="40" w:after="40"/>
              <w:rPr>
                <w:rFonts w:hint="eastAsia" w:ascii="宋体" w:hAnsi="宋体" w:cs="宋体"/>
                <w:b/>
                <w:szCs w:val="21"/>
              </w:rPr>
            </w:pPr>
          </w:p>
        </w:tc>
        <w:tc>
          <w:tcPr>
            <w:tcW w:w="995" w:type="dxa"/>
            <w:vAlign w:val="center"/>
          </w:tcPr>
          <w:p>
            <w:pPr>
              <w:spacing w:before="40" w:after="40"/>
              <w:rPr>
                <w:rFonts w:hint="eastAsia" w:ascii="宋体" w:hAnsi="宋体" w:cs="宋体"/>
                <w:b/>
                <w:szCs w:val="21"/>
              </w:rPr>
            </w:pPr>
          </w:p>
        </w:tc>
        <w:tc>
          <w:tcPr>
            <w:tcW w:w="992" w:type="dxa"/>
            <w:vAlign w:val="center"/>
          </w:tcPr>
          <w:p>
            <w:pPr>
              <w:spacing w:before="40" w:after="40"/>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cs="宋体"/>
                <w:szCs w:val="21"/>
              </w:rPr>
            </w:pPr>
            <w:r>
              <w:rPr>
                <w:rFonts w:hint="eastAsia" w:ascii="宋体" w:hAnsi="宋体" w:cs="宋体"/>
                <w:szCs w:val="21"/>
              </w:rPr>
              <w:t>5</w:t>
            </w:r>
          </w:p>
        </w:tc>
        <w:tc>
          <w:tcPr>
            <w:tcW w:w="4968" w:type="dxa"/>
            <w:gridSpan w:val="2"/>
            <w:vAlign w:val="center"/>
          </w:tcPr>
          <w:p>
            <w:pPr>
              <w:ind w:left="46" w:leftChars="19"/>
              <w:rPr>
                <w:rFonts w:hint="eastAsia" w:ascii="宋体" w:hAnsi="宋体" w:cs="宋体"/>
                <w:sz w:val="18"/>
                <w:szCs w:val="18"/>
              </w:rPr>
            </w:pPr>
            <w:r>
              <w:rPr>
                <w:rFonts w:hint="eastAsia" w:ascii="宋体" w:hAnsi="宋体" w:cs="宋体"/>
                <w:sz w:val="18"/>
                <w:szCs w:val="18"/>
              </w:rPr>
              <w:t>投标文件有提供投标人法定代表人授权委托书（非法定代表人投标时）</w:t>
            </w:r>
          </w:p>
        </w:tc>
        <w:tc>
          <w:tcPr>
            <w:tcW w:w="995" w:type="dxa"/>
          </w:tcPr>
          <w:p>
            <w:pPr>
              <w:tabs>
                <w:tab w:val="left" w:pos="686"/>
                <w:tab w:val="left" w:pos="1030"/>
              </w:tabs>
              <w:spacing w:before="40" w:after="40"/>
              <w:rPr>
                <w:rFonts w:hint="eastAsia" w:ascii="宋体" w:hAnsi="宋体" w:cs="宋体"/>
              </w:rPr>
            </w:pPr>
          </w:p>
        </w:tc>
        <w:tc>
          <w:tcPr>
            <w:tcW w:w="995" w:type="dxa"/>
            <w:vAlign w:val="center"/>
          </w:tcPr>
          <w:p>
            <w:pPr>
              <w:spacing w:before="40" w:after="40"/>
              <w:rPr>
                <w:rFonts w:hint="eastAsia" w:ascii="宋体" w:hAnsi="宋体" w:cs="宋体"/>
                <w:b/>
                <w:szCs w:val="21"/>
              </w:rPr>
            </w:pPr>
          </w:p>
        </w:tc>
        <w:tc>
          <w:tcPr>
            <w:tcW w:w="995" w:type="dxa"/>
            <w:vAlign w:val="center"/>
          </w:tcPr>
          <w:p>
            <w:pPr>
              <w:spacing w:before="40" w:after="40"/>
              <w:rPr>
                <w:rFonts w:hint="eastAsia" w:ascii="宋体" w:hAnsi="宋体" w:cs="宋体"/>
                <w:b/>
                <w:szCs w:val="21"/>
              </w:rPr>
            </w:pPr>
          </w:p>
        </w:tc>
        <w:tc>
          <w:tcPr>
            <w:tcW w:w="992" w:type="dxa"/>
            <w:vAlign w:val="center"/>
          </w:tcPr>
          <w:p>
            <w:pPr>
              <w:spacing w:before="40" w:after="40"/>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cs="宋体"/>
                <w:szCs w:val="21"/>
              </w:rPr>
            </w:pPr>
            <w:r>
              <w:rPr>
                <w:rFonts w:hint="eastAsia" w:ascii="宋体" w:hAnsi="宋体" w:cs="宋体"/>
                <w:szCs w:val="21"/>
              </w:rPr>
              <w:t>6</w:t>
            </w:r>
          </w:p>
        </w:tc>
        <w:tc>
          <w:tcPr>
            <w:tcW w:w="4968" w:type="dxa"/>
            <w:gridSpan w:val="2"/>
            <w:vAlign w:val="center"/>
          </w:tcPr>
          <w:p>
            <w:pPr>
              <w:ind w:left="46" w:leftChars="19"/>
              <w:rPr>
                <w:rFonts w:hint="eastAsia" w:ascii="宋体" w:hAnsi="宋体" w:cs="宋体"/>
                <w:sz w:val="18"/>
                <w:szCs w:val="18"/>
              </w:rPr>
            </w:pPr>
            <w:r>
              <w:rPr>
                <w:rFonts w:hint="eastAsia" w:ascii="宋体" w:hAnsi="宋体" w:cs="宋体"/>
                <w:sz w:val="18"/>
                <w:szCs w:val="18"/>
              </w:rPr>
              <w:t>投标内容无重大（实质性）偏离项目采购需求书的要求</w:t>
            </w:r>
          </w:p>
        </w:tc>
        <w:tc>
          <w:tcPr>
            <w:tcW w:w="995" w:type="dxa"/>
          </w:tcPr>
          <w:p>
            <w:pPr>
              <w:tabs>
                <w:tab w:val="left" w:pos="686"/>
                <w:tab w:val="left" w:pos="1030"/>
              </w:tabs>
              <w:spacing w:before="40" w:after="40"/>
              <w:rPr>
                <w:rFonts w:hint="eastAsia" w:ascii="宋体" w:hAnsi="宋体" w:cs="宋体"/>
              </w:rPr>
            </w:pPr>
          </w:p>
        </w:tc>
        <w:tc>
          <w:tcPr>
            <w:tcW w:w="995" w:type="dxa"/>
            <w:vAlign w:val="center"/>
          </w:tcPr>
          <w:p>
            <w:pPr>
              <w:spacing w:before="40" w:after="40"/>
              <w:rPr>
                <w:rFonts w:hint="eastAsia" w:ascii="宋体" w:hAnsi="宋体" w:cs="宋体"/>
                <w:b/>
                <w:szCs w:val="21"/>
              </w:rPr>
            </w:pPr>
          </w:p>
        </w:tc>
        <w:tc>
          <w:tcPr>
            <w:tcW w:w="995" w:type="dxa"/>
            <w:vAlign w:val="center"/>
          </w:tcPr>
          <w:p>
            <w:pPr>
              <w:spacing w:before="40" w:after="40"/>
              <w:rPr>
                <w:rFonts w:hint="eastAsia" w:ascii="宋体" w:hAnsi="宋体" w:cs="宋体"/>
                <w:b/>
                <w:szCs w:val="21"/>
              </w:rPr>
            </w:pPr>
          </w:p>
        </w:tc>
        <w:tc>
          <w:tcPr>
            <w:tcW w:w="992" w:type="dxa"/>
            <w:vAlign w:val="center"/>
          </w:tcPr>
          <w:p>
            <w:pPr>
              <w:spacing w:before="40" w:after="40"/>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75" w:type="dxa"/>
            <w:vAlign w:val="center"/>
          </w:tcPr>
          <w:p>
            <w:pPr>
              <w:widowControl/>
              <w:spacing w:before="40" w:after="40"/>
              <w:jc w:val="center"/>
              <w:rPr>
                <w:rFonts w:hint="eastAsia" w:ascii="宋体" w:hAnsi="宋体" w:cs="宋体"/>
                <w:szCs w:val="21"/>
              </w:rPr>
            </w:pPr>
            <w:r>
              <w:rPr>
                <w:rFonts w:hint="eastAsia" w:ascii="宋体" w:hAnsi="宋体" w:cs="宋体"/>
                <w:szCs w:val="21"/>
              </w:rPr>
              <w:t>7</w:t>
            </w:r>
          </w:p>
        </w:tc>
        <w:tc>
          <w:tcPr>
            <w:tcW w:w="4968" w:type="dxa"/>
            <w:gridSpan w:val="2"/>
            <w:vAlign w:val="center"/>
          </w:tcPr>
          <w:p>
            <w:pPr>
              <w:ind w:left="46" w:leftChars="19"/>
              <w:rPr>
                <w:rFonts w:hint="eastAsia" w:ascii="宋体" w:hAnsi="宋体" w:cs="宋体"/>
                <w:szCs w:val="21"/>
              </w:rPr>
            </w:pPr>
            <w:r>
              <w:rPr>
                <w:rFonts w:hint="eastAsia" w:ascii="宋体" w:hAnsi="宋体" w:cs="宋体"/>
                <w:sz w:val="18"/>
                <w:szCs w:val="18"/>
              </w:rPr>
              <w:t>投标文件没有其它不符合本项目采购文件规定或违反相关法律的内容</w:t>
            </w:r>
          </w:p>
        </w:tc>
        <w:tc>
          <w:tcPr>
            <w:tcW w:w="995" w:type="dxa"/>
          </w:tcPr>
          <w:p>
            <w:pPr>
              <w:tabs>
                <w:tab w:val="left" w:pos="686"/>
                <w:tab w:val="left" w:pos="1030"/>
              </w:tabs>
              <w:spacing w:before="40" w:after="40"/>
              <w:rPr>
                <w:rFonts w:hint="eastAsia" w:ascii="宋体" w:hAnsi="宋体" w:cs="宋体"/>
              </w:rPr>
            </w:pPr>
          </w:p>
        </w:tc>
        <w:tc>
          <w:tcPr>
            <w:tcW w:w="995" w:type="dxa"/>
            <w:vAlign w:val="center"/>
          </w:tcPr>
          <w:p>
            <w:pPr>
              <w:spacing w:before="40" w:after="40"/>
              <w:rPr>
                <w:rFonts w:hint="eastAsia" w:ascii="宋体" w:hAnsi="宋体" w:cs="宋体"/>
                <w:b/>
                <w:szCs w:val="21"/>
              </w:rPr>
            </w:pPr>
          </w:p>
        </w:tc>
        <w:tc>
          <w:tcPr>
            <w:tcW w:w="995" w:type="dxa"/>
            <w:vAlign w:val="center"/>
          </w:tcPr>
          <w:p>
            <w:pPr>
              <w:spacing w:before="40" w:after="40"/>
              <w:rPr>
                <w:rFonts w:hint="eastAsia" w:ascii="宋体" w:hAnsi="宋体" w:cs="宋体"/>
                <w:b/>
                <w:szCs w:val="21"/>
              </w:rPr>
            </w:pPr>
          </w:p>
        </w:tc>
        <w:tc>
          <w:tcPr>
            <w:tcW w:w="992" w:type="dxa"/>
            <w:vAlign w:val="center"/>
          </w:tcPr>
          <w:p>
            <w:pPr>
              <w:spacing w:before="40" w:after="40"/>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43" w:type="dxa"/>
            <w:gridSpan w:val="3"/>
            <w:vAlign w:val="center"/>
          </w:tcPr>
          <w:p>
            <w:pPr>
              <w:spacing w:before="40" w:after="40" w:line="360" w:lineRule="auto"/>
              <w:jc w:val="center"/>
              <w:rPr>
                <w:rFonts w:hint="eastAsia" w:ascii="宋体" w:hAnsi="宋体" w:cs="宋体"/>
                <w:b/>
                <w:szCs w:val="21"/>
              </w:rPr>
            </w:pPr>
            <w:r>
              <w:rPr>
                <w:rFonts w:hint="eastAsia" w:ascii="宋体" w:hAnsi="宋体" w:cs="宋体"/>
                <w:b/>
                <w:szCs w:val="21"/>
              </w:rPr>
              <w:t>结  论</w:t>
            </w:r>
          </w:p>
        </w:tc>
        <w:tc>
          <w:tcPr>
            <w:tcW w:w="995" w:type="dxa"/>
            <w:vAlign w:val="center"/>
          </w:tcPr>
          <w:p>
            <w:pPr>
              <w:spacing w:before="40" w:after="40" w:line="360" w:lineRule="auto"/>
              <w:rPr>
                <w:rFonts w:hint="eastAsia" w:ascii="宋体" w:hAnsi="宋体" w:cs="宋体"/>
                <w:b/>
                <w:szCs w:val="21"/>
              </w:rPr>
            </w:pPr>
          </w:p>
        </w:tc>
        <w:tc>
          <w:tcPr>
            <w:tcW w:w="995" w:type="dxa"/>
            <w:vAlign w:val="center"/>
          </w:tcPr>
          <w:p>
            <w:pPr>
              <w:spacing w:before="40" w:after="40" w:line="360" w:lineRule="auto"/>
              <w:rPr>
                <w:rFonts w:hint="eastAsia" w:ascii="宋体" w:hAnsi="宋体" w:cs="宋体"/>
                <w:b/>
                <w:szCs w:val="21"/>
              </w:rPr>
            </w:pPr>
          </w:p>
        </w:tc>
        <w:tc>
          <w:tcPr>
            <w:tcW w:w="995" w:type="dxa"/>
            <w:vAlign w:val="center"/>
          </w:tcPr>
          <w:p>
            <w:pPr>
              <w:spacing w:before="40" w:after="40" w:line="360" w:lineRule="auto"/>
              <w:rPr>
                <w:rFonts w:hint="eastAsia" w:ascii="宋体" w:hAnsi="宋体" w:cs="宋体"/>
                <w:b/>
                <w:szCs w:val="21"/>
              </w:rPr>
            </w:pPr>
          </w:p>
        </w:tc>
        <w:tc>
          <w:tcPr>
            <w:tcW w:w="992" w:type="dxa"/>
            <w:vAlign w:val="center"/>
          </w:tcPr>
          <w:p>
            <w:pPr>
              <w:spacing w:before="40" w:after="40" w:line="360" w:lineRule="auto"/>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17" w:type="dxa"/>
            <w:gridSpan w:val="2"/>
            <w:vAlign w:val="center"/>
          </w:tcPr>
          <w:p>
            <w:pPr>
              <w:jc w:val="center"/>
              <w:rPr>
                <w:rFonts w:hint="eastAsia" w:ascii="宋体" w:hAnsi="宋体" w:cs="宋体"/>
                <w:szCs w:val="21"/>
              </w:rPr>
            </w:pPr>
            <w:r>
              <w:rPr>
                <w:rFonts w:hint="eastAsia" w:ascii="宋体" w:hAnsi="宋体" w:cs="宋体"/>
                <w:szCs w:val="21"/>
              </w:rPr>
              <w:t>不通过原因说明</w:t>
            </w:r>
          </w:p>
        </w:tc>
        <w:tc>
          <w:tcPr>
            <w:tcW w:w="8403" w:type="dxa"/>
            <w:gridSpan w:val="5"/>
            <w:vAlign w:val="center"/>
          </w:tcPr>
          <w:p>
            <w:pPr>
              <w:spacing w:before="40" w:after="40" w:line="360" w:lineRule="auto"/>
              <w:rPr>
                <w:rFonts w:hint="eastAsia" w:ascii="宋体" w:hAnsi="宋体" w:cs="宋体"/>
                <w:b/>
                <w:szCs w:val="21"/>
              </w:rPr>
            </w:pPr>
          </w:p>
        </w:tc>
      </w:tr>
    </w:tbl>
    <w:p>
      <w:pPr>
        <w:pStyle w:val="9"/>
        <w:spacing w:line="360" w:lineRule="auto"/>
        <w:rPr>
          <w:rFonts w:hint="eastAsia" w:ascii="宋体" w:hAnsi="宋体" w:eastAsia="宋体" w:cs="宋体"/>
        </w:rPr>
      </w:pPr>
      <w:bookmarkStart w:id="191" w:name="_Toc20422"/>
      <w:r>
        <w:rPr>
          <w:rFonts w:hint="eastAsia" w:ascii="宋体" w:hAnsi="宋体" w:eastAsia="宋体" w:cs="宋体"/>
        </w:rPr>
        <w:t>28  评标</w:t>
      </w:r>
      <w:bookmarkEnd w:id="188"/>
      <w:bookmarkEnd w:id="189"/>
      <w:bookmarkEnd w:id="190"/>
      <w:bookmarkEnd w:id="191"/>
    </w:p>
    <w:p>
      <w:pPr>
        <w:pStyle w:val="55"/>
        <w:ind w:firstLine="0"/>
        <w:outlineLvl w:val="0"/>
        <w:rPr>
          <w:rFonts w:hint="eastAsia" w:hAnsi="宋体" w:cs="宋体"/>
          <w:b/>
          <w:sz w:val="24"/>
          <w:szCs w:val="24"/>
        </w:rPr>
      </w:pPr>
      <w:bookmarkStart w:id="192" w:name="_Toc235254873"/>
      <w:r>
        <w:rPr>
          <w:rFonts w:hint="eastAsia" w:hAnsi="宋体" w:cs="宋体"/>
          <w:sz w:val="24"/>
          <w:szCs w:val="24"/>
        </w:rPr>
        <w:t xml:space="preserve">28.1  </w:t>
      </w:r>
      <w:r>
        <w:rPr>
          <w:rFonts w:hint="eastAsia" w:hAnsi="宋体" w:cs="宋体"/>
          <w:b/>
          <w:sz w:val="24"/>
          <w:szCs w:val="24"/>
        </w:rPr>
        <w:t>综合评审</w:t>
      </w:r>
      <w:bookmarkEnd w:id="192"/>
    </w:p>
    <w:p>
      <w:pPr>
        <w:pStyle w:val="55"/>
        <w:ind w:firstLine="0"/>
        <w:rPr>
          <w:rFonts w:hint="eastAsia" w:hAnsi="宋体" w:cs="宋体"/>
          <w:sz w:val="24"/>
          <w:szCs w:val="24"/>
        </w:rPr>
      </w:pPr>
      <w:r>
        <w:rPr>
          <w:rFonts w:hint="eastAsia" w:hAnsi="宋体" w:cs="宋体"/>
          <w:sz w:val="24"/>
          <w:szCs w:val="24"/>
        </w:rPr>
        <w:t>28.1.1 定标原则</w:t>
      </w:r>
    </w:p>
    <w:p>
      <w:pPr>
        <w:pStyle w:val="55"/>
        <w:ind w:firstLine="480" w:firstLineChars="200"/>
        <w:rPr>
          <w:rFonts w:hint="eastAsia" w:hAnsi="宋体" w:cs="宋体"/>
          <w:sz w:val="24"/>
          <w:szCs w:val="24"/>
        </w:rPr>
      </w:pPr>
      <w:r>
        <w:rPr>
          <w:rFonts w:hint="eastAsia" w:hAnsi="宋体" w:cs="宋体"/>
          <w:sz w:val="24"/>
          <w:szCs w:val="24"/>
        </w:rPr>
        <w:t xml:space="preserve">评标工作将严格按照采购文件的要求和条件，对通过符合性审查的投标文件进行综合评审，评出综合评审最优的投标人。 </w:t>
      </w:r>
    </w:p>
    <w:p>
      <w:pPr>
        <w:spacing w:line="360" w:lineRule="auto"/>
        <w:outlineLvl w:val="0"/>
        <w:rPr>
          <w:rFonts w:hint="eastAsia" w:ascii="宋体" w:hAnsi="宋体" w:cs="宋体"/>
          <w:szCs w:val="24"/>
        </w:rPr>
      </w:pPr>
      <w:bookmarkStart w:id="193" w:name="_Toc235254874"/>
      <w:r>
        <w:rPr>
          <w:rFonts w:hint="eastAsia" w:ascii="宋体" w:hAnsi="宋体" w:cs="宋体"/>
          <w:szCs w:val="24"/>
        </w:rPr>
        <w:t>28.1.2 评标办法</w:t>
      </w:r>
      <w:bookmarkEnd w:id="193"/>
    </w:p>
    <w:p>
      <w:pPr>
        <w:pStyle w:val="2"/>
        <w:ind w:left="480" w:firstLine="482"/>
        <w:rPr>
          <w:rFonts w:hint="eastAsia" w:cs="宋体"/>
        </w:rPr>
      </w:pPr>
    </w:p>
    <w:p>
      <w:pPr>
        <w:pStyle w:val="5"/>
        <w:spacing w:line="360" w:lineRule="auto"/>
        <w:jc w:val="center"/>
        <w:rPr>
          <w:rFonts w:hint="eastAsia" w:hAnsi="宋体" w:cs="宋体"/>
          <w:sz w:val="30"/>
          <w:szCs w:val="30"/>
        </w:rPr>
      </w:pPr>
      <w:r>
        <w:rPr>
          <w:rFonts w:hint="eastAsia" w:hAnsi="宋体" w:cs="宋体"/>
          <w:b/>
          <w:sz w:val="30"/>
          <w:szCs w:val="30"/>
        </w:rPr>
        <w:t>评分标准和细则</w:t>
      </w:r>
    </w:p>
    <w:tbl>
      <w:tblPr>
        <w:tblStyle w:val="79"/>
        <w:tblW w:w="957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cs="宋体"/>
                <w:szCs w:val="24"/>
              </w:rPr>
            </w:pPr>
            <w:r>
              <w:rPr>
                <w:rFonts w:hint="eastAsia" w:ascii="宋体" w:hAnsi="宋体" w:cs="宋体"/>
                <w:szCs w:val="24"/>
              </w:rPr>
              <w:t>评分因素</w:t>
            </w:r>
          </w:p>
        </w:tc>
        <w:tc>
          <w:tcPr>
            <w:tcW w:w="4786" w:type="dxa"/>
            <w:vAlign w:val="center"/>
          </w:tcPr>
          <w:p>
            <w:pPr>
              <w:adjustRightInd w:val="0"/>
              <w:snapToGrid w:val="0"/>
              <w:jc w:val="center"/>
              <w:rPr>
                <w:rFonts w:hint="eastAsia" w:ascii="宋体" w:hAnsi="宋体" w:cs="宋体"/>
                <w:szCs w:val="24"/>
              </w:rPr>
            </w:pPr>
            <w:r>
              <w:rPr>
                <w:rFonts w:hint="eastAsia" w:ascii="宋体" w:hAnsi="宋体" w:cs="宋体"/>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cs="宋体"/>
                <w:szCs w:val="24"/>
              </w:rPr>
            </w:pPr>
            <w:r>
              <w:rPr>
                <w:rFonts w:hint="eastAsia" w:ascii="宋体" w:hAnsi="宋体" w:cs="宋体"/>
                <w:szCs w:val="24"/>
              </w:rPr>
              <w:t>1、商务评审</w:t>
            </w:r>
          </w:p>
        </w:tc>
        <w:tc>
          <w:tcPr>
            <w:tcW w:w="4786" w:type="dxa"/>
            <w:vAlign w:val="center"/>
          </w:tcPr>
          <w:p>
            <w:pPr>
              <w:adjustRightInd w:val="0"/>
              <w:snapToGrid w:val="0"/>
              <w:jc w:val="center"/>
              <w:rPr>
                <w:rFonts w:hint="eastAsia" w:ascii="宋体" w:hAnsi="宋体" w:cs="宋体"/>
                <w:szCs w:val="24"/>
              </w:rPr>
            </w:pPr>
            <w:r>
              <w:rPr>
                <w:rFonts w:hint="eastAsia" w:ascii="宋体" w:hAnsi="宋体" w:cs="宋体"/>
                <w:szCs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cs="宋体"/>
                <w:szCs w:val="24"/>
              </w:rPr>
            </w:pPr>
            <w:r>
              <w:rPr>
                <w:rFonts w:hint="eastAsia" w:ascii="宋体" w:hAnsi="宋体" w:cs="宋体"/>
                <w:szCs w:val="24"/>
              </w:rPr>
              <w:t>2、技术评审</w:t>
            </w:r>
          </w:p>
        </w:tc>
        <w:tc>
          <w:tcPr>
            <w:tcW w:w="4786" w:type="dxa"/>
            <w:vAlign w:val="center"/>
          </w:tcPr>
          <w:p>
            <w:pPr>
              <w:adjustRightInd w:val="0"/>
              <w:snapToGrid w:val="0"/>
              <w:jc w:val="center"/>
              <w:rPr>
                <w:rFonts w:hint="eastAsia" w:ascii="宋体" w:hAnsi="宋体" w:cs="宋体"/>
                <w:szCs w:val="24"/>
              </w:rPr>
            </w:pPr>
            <w:r>
              <w:rPr>
                <w:rFonts w:hint="eastAsia" w:ascii="宋体" w:hAnsi="宋体" w:cs="宋体"/>
                <w:szCs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0" w:type="dxa"/>
            <w:vAlign w:val="center"/>
          </w:tcPr>
          <w:p>
            <w:pPr>
              <w:adjustRightInd w:val="0"/>
              <w:snapToGrid w:val="0"/>
              <w:jc w:val="center"/>
              <w:rPr>
                <w:rFonts w:hint="eastAsia" w:ascii="宋体" w:hAnsi="宋体" w:cs="宋体"/>
                <w:szCs w:val="24"/>
              </w:rPr>
            </w:pPr>
            <w:r>
              <w:rPr>
                <w:rFonts w:hint="eastAsia" w:ascii="宋体" w:hAnsi="宋体" w:cs="宋体"/>
                <w:szCs w:val="24"/>
              </w:rPr>
              <w:t>3、价格评审</w:t>
            </w:r>
          </w:p>
        </w:tc>
        <w:tc>
          <w:tcPr>
            <w:tcW w:w="4786" w:type="dxa"/>
            <w:vAlign w:val="center"/>
          </w:tcPr>
          <w:p>
            <w:pPr>
              <w:adjustRightInd w:val="0"/>
              <w:snapToGrid w:val="0"/>
              <w:jc w:val="center"/>
              <w:rPr>
                <w:rFonts w:hint="eastAsia" w:ascii="宋体" w:hAnsi="宋体" w:cs="宋体"/>
                <w:szCs w:val="24"/>
              </w:rPr>
            </w:pPr>
            <w:r>
              <w:rPr>
                <w:rFonts w:hint="eastAsia" w:ascii="宋体" w:hAnsi="宋体" w:cs="宋体"/>
                <w:szCs w:val="24"/>
              </w:rPr>
              <w:t>20分</w:t>
            </w:r>
          </w:p>
        </w:tc>
      </w:tr>
    </w:tbl>
    <w:p>
      <w:pPr>
        <w:spacing w:line="360" w:lineRule="auto"/>
        <w:rPr>
          <w:rStyle w:val="144"/>
          <w:rFonts w:hint="eastAsia" w:ascii="宋体" w:hAnsi="宋体" w:cs="宋体"/>
          <w:b/>
          <w:sz w:val="10"/>
          <w:szCs w:val="10"/>
        </w:rPr>
      </w:pPr>
    </w:p>
    <w:p>
      <w:pPr>
        <w:pStyle w:val="59"/>
        <w:rPr>
          <w:rFonts w:hint="eastAsia" w:hAnsi="宋体" w:cs="宋体"/>
        </w:rPr>
      </w:pPr>
    </w:p>
    <w:p>
      <w:pPr>
        <w:spacing w:line="360" w:lineRule="auto"/>
        <w:rPr>
          <w:rFonts w:hint="eastAsia" w:ascii="宋体" w:hAnsi="宋体" w:cs="宋体"/>
          <w:b/>
        </w:rPr>
      </w:pPr>
      <w:r>
        <w:rPr>
          <w:rFonts w:hint="eastAsia" w:ascii="宋体" w:hAnsi="宋体" w:cs="宋体"/>
          <w:b/>
        </w:rPr>
        <w:t>28.1.2.1 商务评审表</w:t>
      </w:r>
    </w:p>
    <w:p>
      <w:pPr>
        <w:autoSpaceDE w:val="0"/>
        <w:autoSpaceDN w:val="0"/>
        <w:adjustRightInd w:val="0"/>
        <w:spacing w:line="440" w:lineRule="exact"/>
        <w:jc w:val="center"/>
        <w:rPr>
          <w:rFonts w:hint="eastAsia" w:ascii="宋体" w:hAnsi="宋体" w:cs="宋体"/>
          <w:sz w:val="28"/>
          <w:szCs w:val="28"/>
        </w:rPr>
      </w:pPr>
      <w:r>
        <w:rPr>
          <w:rFonts w:hint="eastAsia" w:ascii="宋体" w:hAnsi="宋体" w:cs="宋体"/>
          <w:b/>
          <w:sz w:val="28"/>
          <w:szCs w:val="28"/>
        </w:rPr>
        <w:t>商务评审表</w:t>
      </w:r>
    </w:p>
    <w:tbl>
      <w:tblPr>
        <w:tblStyle w:val="79"/>
        <w:tblW w:w="902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971"/>
        <w:gridCol w:w="780"/>
        <w:gridCol w:w="1005"/>
        <w:gridCol w:w="4815"/>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序号</w:t>
            </w:r>
          </w:p>
        </w:tc>
        <w:tc>
          <w:tcPr>
            <w:tcW w:w="97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类别</w:t>
            </w:r>
          </w:p>
        </w:tc>
        <w:tc>
          <w:tcPr>
            <w:tcW w:w="78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评审因素</w:t>
            </w:r>
          </w:p>
        </w:tc>
        <w:tc>
          <w:tcPr>
            <w:tcW w:w="100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主要内容</w:t>
            </w:r>
          </w:p>
        </w:tc>
        <w:tc>
          <w:tcPr>
            <w:tcW w:w="481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指标要求</w:t>
            </w:r>
          </w:p>
        </w:tc>
        <w:tc>
          <w:tcPr>
            <w:tcW w:w="786" w:type="dxa"/>
            <w:tcBorders>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细项分值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1</w:t>
            </w:r>
          </w:p>
        </w:tc>
        <w:tc>
          <w:tcPr>
            <w:tcW w:w="971" w:type="dxa"/>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商务部分</w:t>
            </w:r>
            <w:r>
              <w:rPr>
                <w:rFonts w:hint="eastAsia" w:ascii="宋体" w:hAnsi="宋体" w:cs="宋体"/>
                <w:color w:val="000000"/>
                <w:szCs w:val="24"/>
              </w:rPr>
              <w:br w:type="textWrapping"/>
            </w:r>
            <w:r>
              <w:rPr>
                <w:rFonts w:hint="eastAsia" w:ascii="宋体" w:hAnsi="宋体" w:cs="宋体"/>
                <w:color w:val="000000"/>
                <w:szCs w:val="24"/>
              </w:rPr>
              <w:t>(40分)</w:t>
            </w:r>
          </w:p>
        </w:tc>
        <w:tc>
          <w:tcPr>
            <w:tcW w:w="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同类项目业绩</w:t>
            </w: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同类项目业绩</w:t>
            </w:r>
          </w:p>
        </w:tc>
        <w:tc>
          <w:tcPr>
            <w:tcW w:w="4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2022年1月1日至今（以合同签订时间为准），取得的独立承担的同类物业服务业绩，一份合同（或多份合同合并）须同时至少包含下列服务中的4项服务：①公用设施设备维护；②保洁服务；③绿化服务；④保安服务；⑤会议服务（内容含义符合即可，措辞可不相同），每提供一个符合上述服务内容的项目业绩（可以是一份合同或多份合同同时体现上述服务内容）得 1分，本项最高得5分。</w:t>
            </w:r>
            <w:r>
              <w:rPr>
                <w:rFonts w:hint="eastAsia" w:ascii="宋体" w:hAnsi="宋体" w:cs="宋体"/>
                <w:color w:val="000000"/>
                <w:szCs w:val="24"/>
              </w:rPr>
              <w:br w:type="textWrapping"/>
            </w:r>
            <w:r>
              <w:rPr>
                <w:rFonts w:hint="eastAsia" w:ascii="宋体" w:hAnsi="宋体" w:cs="宋体"/>
                <w:color w:val="000000"/>
                <w:szCs w:val="24"/>
              </w:rPr>
              <w:t xml:space="preserve">注： （1）提供能体现上述内容的项目合同关键页复印件（合同关键页包括：合同封面、服务内容页及双方签章页），如合同无法体现服务内容的，则提供加盖业绩合同对应的甲方公章（包括合同甲方或甲方项目主（分）管部门盖章或合同专用章）的证明材料。 </w:t>
            </w:r>
            <w:r>
              <w:rPr>
                <w:rFonts w:hint="eastAsia" w:ascii="宋体" w:hAnsi="宋体" w:cs="宋体"/>
                <w:color w:val="000000"/>
                <w:szCs w:val="24"/>
              </w:rPr>
              <w:br w:type="textWrapping"/>
            </w:r>
            <w:r>
              <w:rPr>
                <w:rFonts w:hint="eastAsia" w:ascii="宋体" w:hAnsi="宋体" w:cs="宋体"/>
                <w:color w:val="000000"/>
                <w:szCs w:val="24"/>
              </w:rPr>
              <w:t xml:space="preserve">（2）同一项目不同年份的合同只计一次分值，不重复计算业绩分数。同一合同只计取一次分值。 </w:t>
            </w:r>
            <w:r>
              <w:rPr>
                <w:rFonts w:hint="eastAsia" w:ascii="宋体" w:hAnsi="宋体" w:cs="宋体"/>
                <w:color w:val="000000"/>
                <w:szCs w:val="24"/>
              </w:rPr>
              <w:br w:type="textWrapping"/>
            </w:r>
            <w:r>
              <w:rPr>
                <w:rFonts w:hint="eastAsia" w:ascii="宋体" w:hAnsi="宋体" w:cs="宋体"/>
                <w:color w:val="000000"/>
                <w:szCs w:val="24"/>
              </w:rPr>
              <w:t>（3）</w:t>
            </w:r>
            <w:r>
              <w:rPr>
                <w:rFonts w:hint="eastAsia" w:ascii="宋体" w:hAnsi="宋体" w:cs="宋体"/>
                <w:color w:val="000000"/>
                <w:szCs w:val="24"/>
                <w:lang w:val="en-US" w:eastAsia="zh-CN"/>
              </w:rPr>
              <w:t>为</w:t>
            </w:r>
            <w:r>
              <w:rPr>
                <w:rFonts w:hint="eastAsia" w:ascii="宋体" w:hAnsi="宋体" w:cs="宋体"/>
                <w:color w:val="000000"/>
                <w:szCs w:val="24"/>
              </w:rPr>
              <w:t>方便评委会评审，如多份合同合并后才能体现上述服务内容的，建议投标人就合并的合同项目名称及分别体现的服务内容进行书面说明。</w:t>
            </w:r>
          </w:p>
        </w:tc>
        <w:tc>
          <w:tcPr>
            <w:tcW w:w="786"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2</w:t>
            </w:r>
          </w:p>
        </w:tc>
        <w:tc>
          <w:tcPr>
            <w:tcW w:w="971"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管理体系认证情况</w:t>
            </w: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管理体系认证情况</w:t>
            </w:r>
          </w:p>
        </w:tc>
        <w:tc>
          <w:tcPr>
            <w:tcW w:w="4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 xml:space="preserve">投标人具备以下认证： </w:t>
            </w:r>
            <w:r>
              <w:rPr>
                <w:rFonts w:hint="eastAsia" w:ascii="宋体" w:hAnsi="宋体" w:cs="宋体"/>
                <w:color w:val="000000"/>
                <w:szCs w:val="24"/>
              </w:rPr>
              <w:br w:type="textWrapping"/>
            </w:r>
            <w:r>
              <w:rPr>
                <w:rFonts w:hint="eastAsia" w:ascii="宋体" w:hAnsi="宋体" w:cs="宋体"/>
                <w:color w:val="000000"/>
                <w:szCs w:val="24"/>
              </w:rPr>
              <w:t>1.ISO 9001质量管理体系认证证书（认证范围须与物业管理相关），得5分。</w:t>
            </w:r>
            <w:r>
              <w:rPr>
                <w:rFonts w:hint="eastAsia" w:ascii="宋体" w:hAnsi="宋体" w:cs="宋体"/>
                <w:color w:val="000000"/>
                <w:szCs w:val="24"/>
              </w:rPr>
              <w:br w:type="textWrapping"/>
            </w:r>
            <w:r>
              <w:rPr>
                <w:rFonts w:hint="eastAsia" w:ascii="宋体" w:hAnsi="宋体" w:cs="宋体"/>
                <w:color w:val="000000"/>
                <w:szCs w:val="24"/>
              </w:rPr>
              <w:t xml:space="preserve">2.GB/T 20647.9物业服务体系认证证书，得5分。 </w:t>
            </w:r>
            <w:r>
              <w:rPr>
                <w:rFonts w:hint="eastAsia" w:ascii="宋体" w:hAnsi="宋体" w:cs="宋体"/>
                <w:color w:val="000000"/>
                <w:szCs w:val="24"/>
              </w:rPr>
              <w:br w:type="textWrapping"/>
            </w:r>
            <w:r>
              <w:rPr>
                <w:rFonts w:hint="eastAsia" w:ascii="宋体" w:hAnsi="宋体" w:cs="宋体"/>
                <w:color w:val="000000"/>
                <w:szCs w:val="24"/>
              </w:rPr>
              <w:t>注：提供证书复印件，并须同时提供在全国认证认可信息公共服务平台对体系证书的信息查询截图作为评审依据，已暂停、失效或撤销的不得分。新设立企业成立时间不足三个月的，对应项得分。</w:t>
            </w:r>
          </w:p>
        </w:tc>
        <w:tc>
          <w:tcPr>
            <w:tcW w:w="786"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3</w:t>
            </w:r>
          </w:p>
        </w:tc>
        <w:tc>
          <w:tcPr>
            <w:tcW w:w="971"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780" w:type="dxa"/>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服务团队素质</w:t>
            </w: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项目经理配备</w:t>
            </w:r>
          </w:p>
        </w:tc>
        <w:tc>
          <w:tcPr>
            <w:tcW w:w="4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项目经理满足以下条件（限1人）（最高5分）： 1、具有物业服务项目经理工作经验达到6年（含）或以上的，得5分；</w:t>
            </w:r>
            <w:r>
              <w:rPr>
                <w:rFonts w:hint="eastAsia" w:ascii="宋体" w:hAnsi="宋体" w:cs="宋体"/>
                <w:color w:val="000000"/>
                <w:szCs w:val="24"/>
              </w:rPr>
              <w:br w:type="textWrapping"/>
            </w:r>
            <w:r>
              <w:rPr>
                <w:rFonts w:hint="eastAsia" w:ascii="宋体" w:hAnsi="宋体" w:cs="宋体"/>
                <w:color w:val="000000"/>
                <w:szCs w:val="24"/>
              </w:rPr>
              <w:t>注：（1）须提供加盖投标人公章的个人工作履历；（2）提供近半年任意一个月由投标人缴纳社保（至少包含养老保险）的证明材料复印件，并加盖投标人公章；</w:t>
            </w:r>
            <w:r>
              <w:rPr>
                <w:rFonts w:hint="eastAsia" w:ascii="宋体" w:hAnsi="宋体" w:cs="宋体"/>
                <w:color w:val="000000"/>
                <w:szCs w:val="24"/>
              </w:rPr>
              <w:br w:type="textWrapping"/>
            </w:r>
            <w:r>
              <w:rPr>
                <w:rFonts w:hint="eastAsia" w:ascii="宋体" w:hAnsi="宋体" w:cs="宋体"/>
                <w:color w:val="000000"/>
                <w:szCs w:val="24"/>
              </w:rPr>
              <w:t>（3）上述人员不同服务单位的工作经验可累加。</w:t>
            </w:r>
          </w:p>
        </w:tc>
        <w:tc>
          <w:tcPr>
            <w:tcW w:w="786"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4</w:t>
            </w:r>
          </w:p>
        </w:tc>
        <w:tc>
          <w:tcPr>
            <w:tcW w:w="971"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780"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服务人员配备情况（保安人员）</w:t>
            </w:r>
          </w:p>
        </w:tc>
        <w:tc>
          <w:tcPr>
            <w:tcW w:w="4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 xml:space="preserve">保安人员具备以下条件（含保安队长）： 拟派保安人员中具有部队颁发的退伍军人证的，每人得4分，最高得16分。 </w:t>
            </w:r>
            <w:r>
              <w:rPr>
                <w:rFonts w:hint="eastAsia" w:ascii="宋体" w:hAnsi="宋体" w:cs="宋体"/>
                <w:color w:val="000000"/>
                <w:szCs w:val="24"/>
              </w:rPr>
              <w:br w:type="textWrapping"/>
            </w:r>
            <w:r>
              <w:rPr>
                <w:rFonts w:hint="eastAsia" w:ascii="宋体" w:hAnsi="宋体" w:cs="宋体"/>
                <w:color w:val="000000"/>
                <w:szCs w:val="24"/>
              </w:rPr>
              <w:t>注：（1）须提供证书复印件，并加盖投标人公章；（2）提供近半年任意一个月由投标人缴纳社保（至少包含养老保险）的证明材料复印件，并加盖投标人公章。</w:t>
            </w:r>
          </w:p>
        </w:tc>
        <w:tc>
          <w:tcPr>
            <w:tcW w:w="786"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5</w:t>
            </w:r>
          </w:p>
        </w:tc>
        <w:tc>
          <w:tcPr>
            <w:tcW w:w="971" w:type="dxa"/>
            <w:vMerge w:val="continue"/>
            <w:tcBorders>
              <w:left w:val="single" w:color="000000" w:sz="4" w:space="0"/>
              <w:bottom w:val="single" w:color="000000" w:sz="4" w:space="0"/>
              <w:right w:val="single" w:color="000000" w:sz="4" w:space="0"/>
            </w:tcBorders>
            <w:vAlign w:val="center"/>
          </w:tcPr>
          <w:p>
            <w:pPr>
              <w:rPr>
                <w:rFonts w:hint="eastAsia" w:ascii="宋体" w:hAnsi="宋体" w:cs="宋体"/>
                <w:color w:val="000000"/>
                <w:szCs w:val="24"/>
              </w:rPr>
            </w:pPr>
          </w:p>
        </w:tc>
        <w:tc>
          <w:tcPr>
            <w:tcW w:w="780" w:type="dxa"/>
            <w:vMerge w:val="continue"/>
            <w:tcBorders>
              <w:left w:val="single" w:color="000000" w:sz="4" w:space="0"/>
              <w:bottom w:val="single" w:color="000000" w:sz="4" w:space="0"/>
              <w:right w:val="single" w:color="000000" w:sz="4" w:space="0"/>
            </w:tcBorders>
            <w:vAlign w:val="center"/>
          </w:tcPr>
          <w:p>
            <w:pPr>
              <w:rPr>
                <w:rFonts w:hint="eastAsia" w:ascii="宋体" w:hAnsi="宋体" w:cs="宋体"/>
                <w:color w:val="000000"/>
                <w:szCs w:val="24"/>
              </w:rPr>
            </w:pPr>
          </w:p>
        </w:tc>
        <w:tc>
          <w:tcPr>
            <w:tcW w:w="10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服务人员配备情况（保安队长）</w:t>
            </w:r>
          </w:p>
        </w:tc>
        <w:tc>
          <w:tcPr>
            <w:tcW w:w="4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拟派保安队长的人员（限1人）物业保安队伍管理工作经验达到6年（含）或以上的，得4分。</w:t>
            </w:r>
            <w:r>
              <w:rPr>
                <w:rFonts w:hint="eastAsia" w:ascii="宋体" w:hAnsi="宋体" w:cs="宋体"/>
                <w:color w:val="000000"/>
                <w:szCs w:val="24"/>
              </w:rPr>
              <w:br w:type="textWrapping"/>
            </w:r>
            <w:r>
              <w:rPr>
                <w:rFonts w:hint="eastAsia" w:ascii="宋体" w:hAnsi="宋体" w:cs="宋体"/>
                <w:color w:val="000000"/>
                <w:szCs w:val="24"/>
              </w:rPr>
              <w:t>注：（1）须提供加盖投标人公章的个人工作履历；（2）提供近半年任意一个月由投标人缴纳社保（至少包含养老保险）的证明材料复印件，并加盖投标人公章；</w:t>
            </w:r>
            <w:r>
              <w:rPr>
                <w:rFonts w:hint="eastAsia" w:ascii="宋体" w:hAnsi="宋体" w:cs="宋体"/>
                <w:color w:val="000000"/>
                <w:szCs w:val="24"/>
              </w:rPr>
              <w:br w:type="textWrapping"/>
            </w:r>
            <w:r>
              <w:rPr>
                <w:rFonts w:hint="eastAsia" w:ascii="宋体" w:hAnsi="宋体" w:cs="宋体"/>
                <w:color w:val="000000"/>
                <w:szCs w:val="24"/>
              </w:rPr>
              <w:t>（3）上述人员不同服务单位的工作经验可累加。</w:t>
            </w:r>
          </w:p>
        </w:tc>
        <w:tc>
          <w:tcPr>
            <w:tcW w:w="786"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425" w:type="dxa"/>
            <w:gridSpan w:val="4"/>
            <w:tcBorders>
              <w:top w:val="single" w:color="000000" w:sz="4" w:space="0"/>
              <w:right w:val="single" w:color="000000" w:sz="4" w:space="0"/>
            </w:tcBorders>
            <w:tcMar>
              <w:top w:w="0" w:type="dxa"/>
              <w:left w:w="108" w:type="dxa"/>
              <w:bottom w:w="0" w:type="dxa"/>
              <w:right w:w="108" w:type="dxa"/>
            </w:tcMar>
          </w:tcPr>
          <w:p>
            <w:pPr>
              <w:spacing w:before="48" w:after="48"/>
              <w:jc w:val="center"/>
              <w:rPr>
                <w:rFonts w:hint="eastAsia" w:ascii="宋体" w:hAnsi="宋体" w:cs="宋体"/>
                <w:color w:val="000000"/>
                <w:szCs w:val="24"/>
              </w:rPr>
            </w:pPr>
            <w:r>
              <w:rPr>
                <w:rFonts w:hint="eastAsia" w:ascii="宋体" w:hAnsi="宋体" w:cs="宋体"/>
                <w:color w:val="000000"/>
                <w:szCs w:val="24"/>
              </w:rPr>
              <w:t>合计</w:t>
            </w:r>
          </w:p>
        </w:tc>
        <w:tc>
          <w:tcPr>
            <w:tcW w:w="5601" w:type="dxa"/>
            <w:gridSpan w:val="2"/>
            <w:tcBorders>
              <w:top w:val="single" w:color="000000" w:sz="4" w:space="0"/>
              <w:left w:val="single" w:color="000000" w:sz="4" w:space="0"/>
            </w:tcBorders>
            <w:tcMar>
              <w:top w:w="0" w:type="dxa"/>
              <w:left w:w="108" w:type="dxa"/>
              <w:bottom w:w="0" w:type="dxa"/>
              <w:right w:w="108" w:type="dxa"/>
            </w:tcMar>
          </w:tcPr>
          <w:p>
            <w:pPr>
              <w:spacing w:before="48" w:after="48"/>
              <w:jc w:val="center"/>
              <w:rPr>
                <w:rFonts w:hint="eastAsia" w:ascii="宋体" w:hAnsi="宋体" w:cs="宋体"/>
                <w:color w:val="000000"/>
                <w:szCs w:val="24"/>
              </w:rPr>
            </w:pPr>
            <w:r>
              <w:rPr>
                <w:rFonts w:hint="eastAsia" w:ascii="宋体" w:hAnsi="宋体" w:cs="宋体"/>
                <w:color w:val="000000"/>
                <w:szCs w:val="24"/>
              </w:rPr>
              <w:t>40</w:t>
            </w:r>
          </w:p>
        </w:tc>
      </w:tr>
    </w:tbl>
    <w:p>
      <w:pPr>
        <w:rPr>
          <w:rFonts w:hint="eastAsia" w:ascii="宋体" w:hAnsi="宋体" w:cs="宋体"/>
        </w:rPr>
      </w:pPr>
    </w:p>
    <w:p>
      <w:pPr>
        <w:spacing w:line="360" w:lineRule="auto"/>
        <w:rPr>
          <w:rFonts w:hint="eastAsia" w:ascii="宋体" w:hAnsi="宋体" w:cs="宋体"/>
          <w:b/>
        </w:rPr>
      </w:pPr>
      <w:r>
        <w:rPr>
          <w:rFonts w:hint="eastAsia" w:ascii="宋体" w:hAnsi="宋体" w:cs="宋体"/>
          <w:b/>
        </w:rPr>
        <w:t>28.1.2.2 技术评审表</w:t>
      </w:r>
    </w:p>
    <w:p>
      <w:pPr>
        <w:autoSpaceDE w:val="0"/>
        <w:autoSpaceDN w:val="0"/>
        <w:adjustRightInd w:val="0"/>
        <w:spacing w:line="440" w:lineRule="exact"/>
        <w:jc w:val="center"/>
        <w:rPr>
          <w:rFonts w:hint="eastAsia" w:ascii="宋体" w:hAnsi="宋体" w:cs="宋体"/>
          <w:sz w:val="28"/>
          <w:szCs w:val="28"/>
        </w:rPr>
      </w:pPr>
      <w:r>
        <w:rPr>
          <w:rFonts w:hint="eastAsia" w:ascii="宋体" w:hAnsi="宋体" w:cs="宋体"/>
          <w:b/>
          <w:sz w:val="28"/>
          <w:szCs w:val="28"/>
        </w:rPr>
        <w:t>技术评审表</w:t>
      </w:r>
    </w:p>
    <w:tbl>
      <w:tblPr>
        <w:tblStyle w:val="79"/>
        <w:tblW w:w="902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1006"/>
        <w:gridCol w:w="765"/>
        <w:gridCol w:w="1020"/>
        <w:gridCol w:w="4755"/>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序号</w:t>
            </w:r>
          </w:p>
        </w:tc>
        <w:tc>
          <w:tcPr>
            <w:tcW w:w="100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类别</w:t>
            </w:r>
          </w:p>
        </w:tc>
        <w:tc>
          <w:tcPr>
            <w:tcW w:w="76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评审因素</w:t>
            </w:r>
          </w:p>
        </w:tc>
        <w:tc>
          <w:tcPr>
            <w:tcW w:w="102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主要内容</w:t>
            </w:r>
          </w:p>
        </w:tc>
        <w:tc>
          <w:tcPr>
            <w:tcW w:w="475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指标要求</w:t>
            </w:r>
          </w:p>
        </w:tc>
        <w:tc>
          <w:tcPr>
            <w:tcW w:w="811" w:type="dxa"/>
            <w:tcBorders>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细项分值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1</w:t>
            </w:r>
          </w:p>
        </w:tc>
        <w:tc>
          <w:tcPr>
            <w:tcW w:w="1006" w:type="dxa"/>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主观分</w:t>
            </w:r>
            <w:r>
              <w:rPr>
                <w:rFonts w:hint="eastAsia" w:ascii="宋体" w:hAnsi="宋体" w:cs="宋体"/>
                <w:color w:val="000000"/>
                <w:szCs w:val="24"/>
              </w:rPr>
              <w:br w:type="textWrapping"/>
            </w:r>
            <w:r>
              <w:rPr>
                <w:rFonts w:hint="eastAsia" w:ascii="宋体" w:hAnsi="宋体" w:cs="宋体"/>
                <w:color w:val="000000"/>
                <w:szCs w:val="24"/>
              </w:rPr>
              <w:t>(40分)</w:t>
            </w:r>
          </w:p>
        </w:tc>
        <w:tc>
          <w:tcPr>
            <w:tcW w:w="765" w:type="dxa"/>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技术和服务水平</w:t>
            </w: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项目实施方案</w:t>
            </w:r>
          </w:p>
        </w:tc>
        <w:tc>
          <w:tcPr>
            <w:tcW w:w="4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根据投标人提供的实施方案（包括但不限于日常管理与服务、服务人员要求、保密和思想政治教育、档案管理、应急保障预案等），结合招标文件采购需求中“3.2.1.1 物业管理服务内容及标准（1）基本服务”条款要求，对投标人提供的方案进行评分：</w:t>
            </w:r>
            <w:r>
              <w:rPr>
                <w:rFonts w:hint="eastAsia" w:ascii="宋体" w:hAnsi="宋体" w:cs="宋体"/>
                <w:color w:val="000000"/>
                <w:szCs w:val="24"/>
              </w:rPr>
              <w:br w:type="textWrapping"/>
            </w:r>
            <w:r>
              <w:rPr>
                <w:rFonts w:hint="eastAsia" w:ascii="宋体" w:hAnsi="宋体" w:cs="宋体"/>
                <w:color w:val="000000"/>
                <w:szCs w:val="24"/>
              </w:rPr>
              <w:t>（1）方案完全满足且优于采购需求，得10分；</w:t>
            </w:r>
            <w:r>
              <w:rPr>
                <w:rFonts w:hint="eastAsia" w:ascii="宋体" w:hAnsi="宋体" w:cs="宋体"/>
                <w:color w:val="000000"/>
                <w:szCs w:val="24"/>
              </w:rPr>
              <w:br w:type="textWrapping"/>
            </w:r>
            <w:r>
              <w:rPr>
                <w:rFonts w:hint="eastAsia" w:ascii="宋体" w:hAnsi="宋体" w:cs="宋体"/>
                <w:color w:val="000000"/>
                <w:szCs w:val="24"/>
              </w:rPr>
              <w:t>（2）方案完全满足采购需求，得7分；</w:t>
            </w:r>
            <w:r>
              <w:rPr>
                <w:rFonts w:hint="eastAsia" w:ascii="宋体" w:hAnsi="宋体" w:cs="宋体"/>
                <w:color w:val="000000"/>
                <w:szCs w:val="24"/>
              </w:rPr>
              <w:br w:type="textWrapping"/>
            </w:r>
            <w:r>
              <w:rPr>
                <w:rFonts w:hint="eastAsia" w:ascii="宋体" w:hAnsi="宋体" w:cs="宋体"/>
                <w:color w:val="000000"/>
                <w:szCs w:val="24"/>
              </w:rPr>
              <w:t>（3）方案不能完全满足采购需求，得3分；</w:t>
            </w:r>
            <w:r>
              <w:rPr>
                <w:rFonts w:hint="eastAsia" w:ascii="宋体" w:hAnsi="宋体" w:cs="宋体"/>
                <w:color w:val="000000"/>
                <w:szCs w:val="24"/>
              </w:rPr>
              <w:br w:type="textWrapping"/>
            </w:r>
            <w:r>
              <w:rPr>
                <w:rFonts w:hint="eastAsia" w:ascii="宋体" w:hAnsi="宋体" w:cs="宋体"/>
                <w:color w:val="000000"/>
                <w:szCs w:val="24"/>
              </w:rPr>
              <w:t>（4）未提供或提供的明显不适用，不得分。</w:t>
            </w:r>
          </w:p>
        </w:tc>
        <w:tc>
          <w:tcPr>
            <w:tcW w:w="81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2</w:t>
            </w:r>
          </w:p>
        </w:tc>
        <w:tc>
          <w:tcPr>
            <w:tcW w:w="1006"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765"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公用设施设备维护服务方案</w:t>
            </w:r>
          </w:p>
        </w:tc>
        <w:tc>
          <w:tcPr>
            <w:tcW w:w="4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根据投标人提供的服务方案（包括但不限于基本要求、设备机房、给排水系统、供配电系统、照明系统等），结合招标文件采购需求中“3.2.1.1 物业管理服务内容及标准（2）公用设施设备维护服务”条款要求，对投标人提供的具体服务方案进行评分：</w:t>
            </w:r>
            <w:r>
              <w:rPr>
                <w:rFonts w:hint="eastAsia" w:ascii="宋体" w:hAnsi="宋体" w:cs="宋体"/>
                <w:color w:val="000000"/>
                <w:szCs w:val="24"/>
              </w:rPr>
              <w:br w:type="textWrapping"/>
            </w:r>
            <w:r>
              <w:rPr>
                <w:rFonts w:hint="eastAsia" w:ascii="宋体" w:hAnsi="宋体" w:cs="宋体"/>
                <w:color w:val="000000"/>
                <w:szCs w:val="24"/>
              </w:rPr>
              <w:t>（1）方案完全满足且优于采购需求，得8分；</w:t>
            </w:r>
            <w:r>
              <w:rPr>
                <w:rFonts w:hint="eastAsia" w:ascii="宋体" w:hAnsi="宋体" w:cs="宋体"/>
                <w:color w:val="000000"/>
                <w:szCs w:val="24"/>
              </w:rPr>
              <w:br w:type="textWrapping"/>
            </w:r>
            <w:r>
              <w:rPr>
                <w:rFonts w:hint="eastAsia" w:ascii="宋体" w:hAnsi="宋体" w:cs="宋体"/>
                <w:color w:val="000000"/>
                <w:szCs w:val="24"/>
              </w:rPr>
              <w:t>（2）方案完全满足采购需求，得5分；</w:t>
            </w:r>
            <w:r>
              <w:rPr>
                <w:rFonts w:hint="eastAsia" w:ascii="宋体" w:hAnsi="宋体" w:cs="宋体"/>
                <w:color w:val="000000"/>
                <w:szCs w:val="24"/>
              </w:rPr>
              <w:br w:type="textWrapping"/>
            </w:r>
            <w:r>
              <w:rPr>
                <w:rFonts w:hint="eastAsia" w:ascii="宋体" w:hAnsi="宋体" w:cs="宋体"/>
                <w:color w:val="000000"/>
                <w:szCs w:val="24"/>
              </w:rPr>
              <w:t>（3）方案不能完全满足采购需求，得2分；</w:t>
            </w:r>
            <w:r>
              <w:rPr>
                <w:rFonts w:hint="eastAsia" w:ascii="宋体" w:hAnsi="宋体" w:cs="宋体"/>
                <w:color w:val="000000"/>
                <w:szCs w:val="24"/>
              </w:rPr>
              <w:br w:type="textWrapping"/>
            </w:r>
            <w:r>
              <w:rPr>
                <w:rFonts w:hint="eastAsia" w:ascii="宋体" w:hAnsi="宋体" w:cs="宋体"/>
                <w:color w:val="000000"/>
                <w:szCs w:val="24"/>
              </w:rPr>
              <w:t>（4）未提供或提供的明显不适用，不得分。</w:t>
            </w:r>
          </w:p>
        </w:tc>
        <w:tc>
          <w:tcPr>
            <w:tcW w:w="81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3</w:t>
            </w:r>
          </w:p>
        </w:tc>
        <w:tc>
          <w:tcPr>
            <w:tcW w:w="1006"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765"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保洁服务方案</w:t>
            </w:r>
          </w:p>
        </w:tc>
        <w:tc>
          <w:tcPr>
            <w:tcW w:w="4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根据投标人提供的服务方案（包括但不限于基本要求、办公用房、公共场地区域保洁、垃圾处理等），结合招标文件采购需求中“3.2.1.1 物业管理服务内容及标准（3）保洁服务”条款要求，对投标人提供的具体服务方案进行评分：</w:t>
            </w:r>
            <w:r>
              <w:rPr>
                <w:rFonts w:hint="eastAsia" w:ascii="宋体" w:hAnsi="宋体" w:cs="宋体"/>
                <w:color w:val="000000"/>
                <w:szCs w:val="24"/>
              </w:rPr>
              <w:br w:type="textWrapping"/>
            </w:r>
            <w:r>
              <w:rPr>
                <w:rFonts w:hint="eastAsia" w:ascii="宋体" w:hAnsi="宋体" w:cs="宋体"/>
                <w:color w:val="000000"/>
                <w:szCs w:val="24"/>
              </w:rPr>
              <w:t>（1）方案完全满足且优于采购需求，得8分；</w:t>
            </w:r>
            <w:r>
              <w:rPr>
                <w:rFonts w:hint="eastAsia" w:ascii="宋体" w:hAnsi="宋体" w:cs="宋体"/>
                <w:color w:val="000000"/>
                <w:szCs w:val="24"/>
              </w:rPr>
              <w:br w:type="textWrapping"/>
            </w:r>
            <w:r>
              <w:rPr>
                <w:rFonts w:hint="eastAsia" w:ascii="宋体" w:hAnsi="宋体" w:cs="宋体"/>
                <w:color w:val="000000"/>
                <w:szCs w:val="24"/>
              </w:rPr>
              <w:t>（2）方案完全满足采购需求，得5分；</w:t>
            </w:r>
            <w:r>
              <w:rPr>
                <w:rFonts w:hint="eastAsia" w:ascii="宋体" w:hAnsi="宋体" w:cs="宋体"/>
                <w:color w:val="000000"/>
                <w:szCs w:val="24"/>
              </w:rPr>
              <w:br w:type="textWrapping"/>
            </w:r>
            <w:r>
              <w:rPr>
                <w:rFonts w:hint="eastAsia" w:ascii="宋体" w:hAnsi="宋体" w:cs="宋体"/>
                <w:color w:val="000000"/>
                <w:szCs w:val="24"/>
              </w:rPr>
              <w:t>（3）方案不能完全满足采购需求，得2分；</w:t>
            </w:r>
            <w:r>
              <w:rPr>
                <w:rFonts w:hint="eastAsia" w:ascii="宋体" w:hAnsi="宋体" w:cs="宋体"/>
                <w:color w:val="000000"/>
                <w:szCs w:val="24"/>
              </w:rPr>
              <w:br w:type="textWrapping"/>
            </w:r>
            <w:r>
              <w:rPr>
                <w:rFonts w:hint="eastAsia" w:ascii="宋体" w:hAnsi="宋体" w:cs="宋体"/>
                <w:color w:val="000000"/>
                <w:szCs w:val="24"/>
              </w:rPr>
              <w:t>（4）未提供或提供的明显不适用，不得分。</w:t>
            </w:r>
          </w:p>
        </w:tc>
        <w:tc>
          <w:tcPr>
            <w:tcW w:w="81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4</w:t>
            </w:r>
          </w:p>
        </w:tc>
        <w:tc>
          <w:tcPr>
            <w:tcW w:w="1006"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765" w:type="dxa"/>
            <w:vMerge w:val="continue"/>
            <w:tcBorders>
              <w:left w:val="single" w:color="000000" w:sz="4" w:space="0"/>
              <w:right w:val="single" w:color="000000" w:sz="4" w:space="0"/>
            </w:tcBorders>
            <w:vAlign w:val="center"/>
          </w:tcPr>
          <w:p>
            <w:pPr>
              <w:rPr>
                <w:rFonts w:hint="eastAsia" w:ascii="宋体" w:hAnsi="宋体" w:cs="宋体"/>
                <w:color w:val="000000"/>
                <w:szCs w:val="24"/>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绿化服务方案</w:t>
            </w:r>
          </w:p>
        </w:tc>
        <w:tc>
          <w:tcPr>
            <w:tcW w:w="4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根据投标人提供的服务方案（包括但不限于基本要求、室外、室内绿化养护等），结合招标文件采购需求中“3.2.1.1 物业管理服务内容及标准（4）绿化服务”条款要求，对投标人提供的具体服务方案进行评分：</w:t>
            </w:r>
            <w:r>
              <w:rPr>
                <w:rFonts w:hint="eastAsia" w:ascii="宋体" w:hAnsi="宋体" w:cs="宋体"/>
                <w:color w:val="000000"/>
                <w:szCs w:val="24"/>
              </w:rPr>
              <w:br w:type="textWrapping"/>
            </w:r>
            <w:r>
              <w:rPr>
                <w:rFonts w:hint="eastAsia" w:ascii="宋体" w:hAnsi="宋体" w:cs="宋体"/>
                <w:color w:val="000000"/>
                <w:szCs w:val="24"/>
              </w:rPr>
              <w:t>（1）方案完全满足且优于采购需求，得6分；</w:t>
            </w:r>
            <w:r>
              <w:rPr>
                <w:rFonts w:hint="eastAsia" w:ascii="宋体" w:hAnsi="宋体" w:cs="宋体"/>
                <w:color w:val="000000"/>
                <w:szCs w:val="24"/>
              </w:rPr>
              <w:br w:type="textWrapping"/>
            </w:r>
            <w:r>
              <w:rPr>
                <w:rFonts w:hint="eastAsia" w:ascii="宋体" w:hAnsi="宋体" w:cs="宋体"/>
                <w:color w:val="000000"/>
                <w:szCs w:val="24"/>
              </w:rPr>
              <w:t>（2）方案完全满足采购需求，得4分；</w:t>
            </w:r>
            <w:r>
              <w:rPr>
                <w:rFonts w:hint="eastAsia" w:ascii="宋体" w:hAnsi="宋体" w:cs="宋体"/>
                <w:color w:val="000000"/>
                <w:szCs w:val="24"/>
              </w:rPr>
              <w:br w:type="textWrapping"/>
            </w:r>
            <w:r>
              <w:rPr>
                <w:rFonts w:hint="eastAsia" w:ascii="宋体" w:hAnsi="宋体" w:cs="宋体"/>
                <w:color w:val="000000"/>
                <w:szCs w:val="24"/>
              </w:rPr>
              <w:t>（3）方案不能完全满足采购需求，得2分；</w:t>
            </w:r>
            <w:r>
              <w:rPr>
                <w:rFonts w:hint="eastAsia" w:ascii="宋体" w:hAnsi="宋体" w:cs="宋体"/>
                <w:color w:val="000000"/>
                <w:szCs w:val="24"/>
              </w:rPr>
              <w:br w:type="textWrapping"/>
            </w:r>
            <w:r>
              <w:rPr>
                <w:rFonts w:hint="eastAsia" w:ascii="宋体" w:hAnsi="宋体" w:cs="宋体"/>
                <w:color w:val="000000"/>
                <w:szCs w:val="24"/>
              </w:rPr>
              <w:t>（4）未提供或提供的明显不适用，不得分。</w:t>
            </w:r>
          </w:p>
        </w:tc>
        <w:tc>
          <w:tcPr>
            <w:tcW w:w="81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5</w:t>
            </w:r>
          </w:p>
        </w:tc>
        <w:tc>
          <w:tcPr>
            <w:tcW w:w="1006" w:type="dxa"/>
            <w:vMerge w:val="continue"/>
            <w:tcBorders>
              <w:left w:val="single" w:color="000000" w:sz="4" w:space="0"/>
              <w:bottom w:val="single" w:color="000000" w:sz="4" w:space="0"/>
              <w:right w:val="single" w:color="000000" w:sz="4" w:space="0"/>
            </w:tcBorders>
            <w:vAlign w:val="center"/>
          </w:tcPr>
          <w:p>
            <w:pPr>
              <w:rPr>
                <w:rFonts w:hint="eastAsia" w:ascii="宋体" w:hAnsi="宋体" w:cs="宋体"/>
                <w:color w:val="000000"/>
                <w:szCs w:val="24"/>
              </w:rPr>
            </w:pPr>
          </w:p>
        </w:tc>
        <w:tc>
          <w:tcPr>
            <w:tcW w:w="765" w:type="dxa"/>
            <w:vMerge w:val="continue"/>
            <w:tcBorders>
              <w:left w:val="single" w:color="000000" w:sz="4" w:space="0"/>
              <w:bottom w:val="single" w:color="000000" w:sz="4" w:space="0"/>
              <w:right w:val="single" w:color="000000" w:sz="4" w:space="0"/>
            </w:tcBorders>
            <w:vAlign w:val="center"/>
          </w:tcPr>
          <w:p>
            <w:pPr>
              <w:rPr>
                <w:rFonts w:hint="eastAsia" w:ascii="宋体" w:hAnsi="宋体" w:cs="宋体"/>
                <w:color w:val="000000"/>
                <w:szCs w:val="24"/>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保安服务方案</w:t>
            </w:r>
          </w:p>
        </w:tc>
        <w:tc>
          <w:tcPr>
            <w:tcW w:w="4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根据投标人提供的服务方案（包括但不限于基本要求、出入管理、值班巡查、车辆停放、消防安全管理等），结合招标文件采购需求中“3.2.1.1 物业管理服务内容及标准（5）保安服务”条款要求，对投标人提供的具体服务方案进行评分：</w:t>
            </w:r>
            <w:r>
              <w:rPr>
                <w:rFonts w:hint="eastAsia" w:ascii="宋体" w:hAnsi="宋体" w:cs="宋体"/>
                <w:color w:val="000000"/>
                <w:szCs w:val="24"/>
              </w:rPr>
              <w:br w:type="textWrapping"/>
            </w:r>
            <w:r>
              <w:rPr>
                <w:rFonts w:hint="eastAsia" w:ascii="宋体" w:hAnsi="宋体" w:cs="宋体"/>
                <w:color w:val="000000"/>
                <w:szCs w:val="24"/>
              </w:rPr>
              <w:t>（1）方案完全满足且优于采购需求，得8分；</w:t>
            </w:r>
            <w:r>
              <w:rPr>
                <w:rFonts w:hint="eastAsia" w:ascii="宋体" w:hAnsi="宋体" w:cs="宋体"/>
                <w:color w:val="000000"/>
                <w:szCs w:val="24"/>
              </w:rPr>
              <w:br w:type="textWrapping"/>
            </w:r>
            <w:r>
              <w:rPr>
                <w:rFonts w:hint="eastAsia" w:ascii="宋体" w:hAnsi="宋体" w:cs="宋体"/>
                <w:color w:val="000000"/>
                <w:szCs w:val="24"/>
              </w:rPr>
              <w:t>（2）方案完全满足采购需求，得5分；</w:t>
            </w:r>
            <w:r>
              <w:rPr>
                <w:rFonts w:hint="eastAsia" w:ascii="宋体" w:hAnsi="宋体" w:cs="宋体"/>
                <w:color w:val="000000"/>
                <w:szCs w:val="24"/>
              </w:rPr>
              <w:br w:type="textWrapping"/>
            </w:r>
            <w:r>
              <w:rPr>
                <w:rFonts w:hint="eastAsia" w:ascii="宋体" w:hAnsi="宋体" w:cs="宋体"/>
                <w:color w:val="000000"/>
                <w:szCs w:val="24"/>
              </w:rPr>
              <w:t>（3）方案不能完全满足采购需求，得2分；</w:t>
            </w:r>
            <w:r>
              <w:rPr>
                <w:rFonts w:hint="eastAsia" w:ascii="宋体" w:hAnsi="宋体" w:cs="宋体"/>
                <w:color w:val="000000"/>
                <w:szCs w:val="24"/>
              </w:rPr>
              <w:br w:type="textWrapping"/>
            </w:r>
            <w:r>
              <w:rPr>
                <w:rFonts w:hint="eastAsia" w:ascii="宋体" w:hAnsi="宋体" w:cs="宋体"/>
                <w:color w:val="000000"/>
                <w:szCs w:val="24"/>
              </w:rPr>
              <w:t>（4）未提供或提供的明显不适用，不得分。</w:t>
            </w:r>
          </w:p>
        </w:tc>
        <w:tc>
          <w:tcPr>
            <w:tcW w:w="811"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3460" w:type="dxa"/>
            <w:gridSpan w:val="4"/>
            <w:tcBorders>
              <w:top w:val="single" w:color="000000" w:sz="4" w:space="0"/>
              <w:right w:val="single" w:color="000000" w:sz="4" w:space="0"/>
            </w:tcBorders>
            <w:tcMar>
              <w:top w:w="0" w:type="dxa"/>
              <w:left w:w="108" w:type="dxa"/>
              <w:bottom w:w="0" w:type="dxa"/>
              <w:right w:w="108" w:type="dxa"/>
            </w:tcMar>
          </w:tcPr>
          <w:p>
            <w:pPr>
              <w:spacing w:before="48" w:after="48"/>
              <w:jc w:val="center"/>
              <w:rPr>
                <w:rFonts w:hint="eastAsia" w:ascii="宋体" w:hAnsi="宋体" w:cs="宋体"/>
                <w:color w:val="000000"/>
                <w:szCs w:val="24"/>
              </w:rPr>
            </w:pPr>
            <w:r>
              <w:rPr>
                <w:rFonts w:hint="eastAsia" w:ascii="宋体" w:hAnsi="宋体" w:cs="宋体"/>
                <w:color w:val="000000"/>
                <w:szCs w:val="24"/>
              </w:rPr>
              <w:t>合计</w:t>
            </w:r>
          </w:p>
        </w:tc>
        <w:tc>
          <w:tcPr>
            <w:tcW w:w="5566" w:type="dxa"/>
            <w:gridSpan w:val="2"/>
            <w:tcBorders>
              <w:top w:val="single" w:color="000000" w:sz="4" w:space="0"/>
              <w:left w:val="single" w:color="000000" w:sz="4" w:space="0"/>
            </w:tcBorders>
            <w:tcMar>
              <w:top w:w="0" w:type="dxa"/>
              <w:left w:w="108" w:type="dxa"/>
              <w:bottom w:w="0" w:type="dxa"/>
              <w:right w:w="108" w:type="dxa"/>
            </w:tcMar>
          </w:tcPr>
          <w:p>
            <w:pPr>
              <w:spacing w:before="48" w:after="48"/>
              <w:jc w:val="center"/>
              <w:rPr>
                <w:rFonts w:hint="eastAsia" w:ascii="宋体" w:hAnsi="宋体" w:cs="宋体"/>
                <w:color w:val="000000"/>
                <w:szCs w:val="24"/>
              </w:rPr>
            </w:pPr>
            <w:r>
              <w:rPr>
                <w:rFonts w:hint="eastAsia" w:ascii="宋体" w:hAnsi="宋体" w:cs="宋体"/>
                <w:color w:val="000000"/>
                <w:szCs w:val="24"/>
              </w:rPr>
              <w:t>40</w:t>
            </w:r>
          </w:p>
        </w:tc>
      </w:tr>
    </w:tbl>
    <w:p>
      <w:pPr>
        <w:pStyle w:val="2"/>
        <w:ind w:left="480" w:firstLine="482"/>
        <w:rPr>
          <w:rFonts w:hint="eastAsia" w:cs="宋体"/>
        </w:rPr>
      </w:pPr>
    </w:p>
    <w:p>
      <w:pPr>
        <w:adjustRightInd w:val="0"/>
        <w:snapToGrid w:val="0"/>
        <w:spacing w:line="360" w:lineRule="auto"/>
        <w:ind w:left="960" w:hanging="960" w:hangingChars="400"/>
        <w:rPr>
          <w:rFonts w:hint="eastAsia" w:ascii="宋体" w:hAnsi="宋体" w:cs="宋体"/>
        </w:rPr>
      </w:pPr>
      <w:r>
        <w:rPr>
          <w:rFonts w:hint="eastAsia" w:ascii="宋体" w:hAnsi="宋体" w:cs="宋体"/>
        </w:rPr>
        <w:t>28.1.2.3每个评委对各投标人的技术商务评分的算术平均值即为该投标人的技术商务得分。</w:t>
      </w:r>
    </w:p>
    <w:p>
      <w:pPr>
        <w:adjustRightInd w:val="0"/>
        <w:snapToGrid w:val="0"/>
        <w:spacing w:line="360" w:lineRule="auto"/>
        <w:rPr>
          <w:rFonts w:hint="eastAsia" w:ascii="宋体" w:hAnsi="宋体" w:cs="宋体"/>
          <w:szCs w:val="22"/>
        </w:rPr>
      </w:pPr>
      <w:r>
        <w:rPr>
          <w:rFonts w:hint="eastAsia" w:ascii="宋体" w:hAnsi="宋体" w:cs="宋体"/>
        </w:rPr>
        <w:t>28.1.2.4价格</w:t>
      </w:r>
      <w:r>
        <w:rPr>
          <w:rFonts w:hint="eastAsia" w:ascii="宋体" w:hAnsi="宋体" w:cs="宋体"/>
          <w:szCs w:val="22"/>
        </w:rPr>
        <w:t>评审：20分</w:t>
      </w:r>
    </w:p>
    <w:tbl>
      <w:tblPr>
        <w:tblStyle w:val="79"/>
        <w:tblW w:w="902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991"/>
        <w:gridCol w:w="780"/>
        <w:gridCol w:w="1050"/>
        <w:gridCol w:w="4340"/>
        <w:gridCol w:w="1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序号</w:t>
            </w:r>
          </w:p>
        </w:tc>
        <w:tc>
          <w:tcPr>
            <w:tcW w:w="99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类别</w:t>
            </w:r>
          </w:p>
        </w:tc>
        <w:tc>
          <w:tcPr>
            <w:tcW w:w="78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评审因素</w:t>
            </w:r>
          </w:p>
        </w:tc>
        <w:tc>
          <w:tcPr>
            <w:tcW w:w="105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主要内容</w:t>
            </w:r>
          </w:p>
        </w:tc>
        <w:tc>
          <w:tcPr>
            <w:tcW w:w="434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指标要求</w:t>
            </w:r>
          </w:p>
        </w:tc>
        <w:tc>
          <w:tcPr>
            <w:tcW w:w="1196" w:type="dxa"/>
            <w:tcBorders>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b/>
                <w:bCs/>
                <w:color w:val="000000"/>
                <w:szCs w:val="24"/>
              </w:rPr>
              <w:t>细项分值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6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1</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价格评审</w:t>
            </w:r>
            <w:r>
              <w:rPr>
                <w:rFonts w:hint="eastAsia" w:ascii="宋体" w:hAnsi="宋体" w:cs="宋体"/>
                <w:color w:val="000000"/>
                <w:szCs w:val="24"/>
              </w:rPr>
              <w:br w:type="textWrapping"/>
            </w:r>
            <w:r>
              <w:rPr>
                <w:rFonts w:hint="eastAsia" w:ascii="宋体" w:hAnsi="宋体" w:cs="宋体"/>
                <w:color w:val="000000"/>
                <w:szCs w:val="24"/>
              </w:rPr>
              <w:t>(20分)</w:t>
            </w:r>
          </w:p>
        </w:tc>
        <w:tc>
          <w:tcPr>
            <w:tcW w:w="7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报价</w:t>
            </w:r>
          </w:p>
        </w:tc>
        <w:tc>
          <w:tcPr>
            <w:tcW w:w="10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投标价格得分</w:t>
            </w:r>
          </w:p>
        </w:tc>
        <w:tc>
          <w:tcPr>
            <w:tcW w:w="4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48" w:after="48"/>
              <w:rPr>
                <w:rFonts w:hint="eastAsia" w:ascii="宋体" w:hAnsi="宋体" w:cs="宋体"/>
                <w:color w:val="000000"/>
                <w:szCs w:val="24"/>
              </w:rPr>
            </w:pPr>
            <w:r>
              <w:rPr>
                <w:rFonts w:hint="eastAsia" w:ascii="宋体" w:hAnsi="宋体" w:cs="宋体"/>
                <w:color w:val="000000"/>
                <w:szCs w:val="24"/>
              </w:rPr>
              <w:t>各有效投标供应商的评标价中，取最低者作为基准价，各有效投标供应商的价格评分统一按照下列公式计算： 价格评分＝（基准价÷评标价）×20</w:t>
            </w:r>
          </w:p>
        </w:tc>
        <w:tc>
          <w:tcPr>
            <w:tcW w:w="1196"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spacing w:before="48" w:after="48"/>
              <w:jc w:val="center"/>
              <w:rPr>
                <w:rFonts w:hint="eastAsia" w:ascii="宋体" w:hAnsi="宋体" w:cs="宋体"/>
                <w:color w:val="000000"/>
                <w:szCs w:val="24"/>
              </w:rPr>
            </w:pPr>
            <w:r>
              <w:rPr>
                <w:rFonts w:hint="eastAsia" w:ascii="宋体" w:hAnsi="宋体" w:cs="宋体"/>
                <w:color w:val="000000"/>
                <w:szCs w:val="24"/>
              </w:rPr>
              <w:t>20</w:t>
            </w:r>
          </w:p>
        </w:tc>
      </w:tr>
    </w:tbl>
    <w:p>
      <w:pPr>
        <w:adjustRightInd w:val="0"/>
        <w:snapToGrid w:val="0"/>
        <w:spacing w:line="360" w:lineRule="auto"/>
        <w:ind w:firstLine="480" w:firstLineChars="200"/>
        <w:rPr>
          <w:rFonts w:hint="eastAsia" w:ascii="宋体" w:hAnsi="宋体" w:cs="宋体"/>
        </w:rPr>
      </w:pPr>
      <w:r>
        <w:rPr>
          <w:rFonts w:hint="eastAsia" w:ascii="宋体" w:hAnsi="宋体" w:cs="宋体"/>
        </w:rPr>
        <w:t>注：价格评分仅限于通过符合性审查的有效投标人。评标价是指按照采购文件的要求通过技术商务评审并调整后的最终价格。</w:t>
      </w:r>
    </w:p>
    <w:p>
      <w:pPr>
        <w:adjustRightInd w:val="0"/>
        <w:snapToGrid w:val="0"/>
        <w:spacing w:line="360" w:lineRule="auto"/>
        <w:ind w:left="809" w:leftChars="2" w:hanging="804" w:hangingChars="335"/>
        <w:rPr>
          <w:rFonts w:hint="eastAsia" w:ascii="宋体" w:hAnsi="宋体" w:cs="宋体"/>
        </w:rPr>
      </w:pPr>
      <w:r>
        <w:rPr>
          <w:rFonts w:hint="eastAsia" w:ascii="宋体" w:hAnsi="宋体" w:cs="宋体"/>
        </w:rPr>
        <w:t>28.1.3</w:t>
      </w:r>
      <w:r>
        <w:rPr>
          <w:rFonts w:hint="eastAsia" w:ascii="宋体" w:hAnsi="宋体" w:cs="宋体"/>
          <w:b/>
        </w:rPr>
        <w:t>投标人的最终评标得分＝商务得分＋技术得分＋价格得分</w:t>
      </w:r>
    </w:p>
    <w:p>
      <w:pPr>
        <w:adjustRightInd w:val="0"/>
        <w:snapToGrid w:val="0"/>
        <w:spacing w:line="360" w:lineRule="auto"/>
        <w:ind w:left="720" w:hanging="720" w:hangingChars="300"/>
        <w:rPr>
          <w:rFonts w:hint="eastAsia" w:ascii="宋体" w:hAnsi="宋体" w:cs="宋体"/>
        </w:rPr>
      </w:pPr>
      <w:r>
        <w:rPr>
          <w:rFonts w:hint="eastAsia" w:ascii="宋体" w:hAnsi="宋体" w:cs="宋体"/>
        </w:rPr>
        <w:t>28.1.4根据各投标人的评标总得分由高到低顺序列出投标人的名次，报评标委员会确认后，推荐综合得分高的前两名为中标候选人。</w:t>
      </w:r>
    </w:p>
    <w:p>
      <w:pPr>
        <w:adjustRightInd w:val="0"/>
        <w:snapToGrid w:val="0"/>
        <w:spacing w:line="360" w:lineRule="auto"/>
        <w:ind w:left="809" w:leftChars="2" w:hanging="804" w:hangingChars="335"/>
        <w:rPr>
          <w:rFonts w:hint="eastAsia" w:ascii="宋体" w:hAnsi="宋体" w:cs="宋体"/>
        </w:rPr>
      </w:pPr>
      <w:r>
        <w:rPr>
          <w:rFonts w:hint="eastAsia" w:ascii="宋体" w:hAnsi="宋体" w:cs="宋体"/>
        </w:rPr>
        <w:t>28.1.5评标总得分相同的，按投标报价由低到高顺序排列；评标总得分且投标报价相同的，按技术商务指标优劣顺序排列。</w:t>
      </w:r>
    </w:p>
    <w:p>
      <w:pPr>
        <w:pStyle w:val="8"/>
        <w:rPr>
          <w:rFonts w:hint="eastAsia" w:ascii="宋体" w:hAnsi="宋体" w:cs="宋体"/>
        </w:rPr>
      </w:pPr>
      <w:bookmarkStart w:id="194" w:name="_Toc102300303"/>
      <w:bookmarkStart w:id="195" w:name="_Toc500229390"/>
      <w:bookmarkStart w:id="196" w:name="_Toc32618"/>
      <w:r>
        <w:rPr>
          <w:rFonts w:hint="eastAsia" w:ascii="宋体" w:hAnsi="宋体" w:cs="宋体"/>
        </w:rPr>
        <w:t>29  评标结果</w:t>
      </w:r>
      <w:bookmarkEnd w:id="194"/>
      <w:bookmarkEnd w:id="195"/>
      <w:r>
        <w:rPr>
          <w:rFonts w:hint="eastAsia" w:ascii="宋体" w:hAnsi="宋体" w:cs="宋体"/>
        </w:rPr>
        <w:t>公布</w:t>
      </w:r>
      <w:bookmarkEnd w:id="196"/>
    </w:p>
    <w:p>
      <w:pPr>
        <w:spacing w:line="360" w:lineRule="auto"/>
        <w:rPr>
          <w:rFonts w:hint="eastAsia" w:ascii="宋体" w:hAnsi="宋体" w:cs="宋体"/>
        </w:rPr>
      </w:pPr>
      <w:r>
        <w:rPr>
          <w:rFonts w:hint="eastAsia" w:ascii="宋体" w:hAnsi="宋体" w:cs="宋体"/>
        </w:rPr>
        <w:t>29.1  评标结束后，采购代理机构和采购人将在相关网站公布采购结果。</w:t>
      </w:r>
    </w:p>
    <w:p>
      <w:pPr>
        <w:pStyle w:val="6"/>
        <w:spacing w:before="240" w:beforeLines="100" w:after="0" w:line="360" w:lineRule="auto"/>
        <w:jc w:val="center"/>
        <w:rPr>
          <w:rFonts w:hint="eastAsia" w:ascii="宋体" w:hAnsi="宋体" w:cs="宋体"/>
          <w:sz w:val="32"/>
        </w:rPr>
      </w:pPr>
      <w:bookmarkStart w:id="197" w:name="_Toc19449"/>
      <w:bookmarkStart w:id="198" w:name="_Toc98175194"/>
      <w:bookmarkStart w:id="199" w:name="_Toc102300304"/>
      <w:bookmarkStart w:id="200" w:name="_Toc500229391"/>
      <w:r>
        <w:rPr>
          <w:rFonts w:hint="eastAsia" w:ascii="宋体" w:hAnsi="宋体" w:cs="宋体"/>
          <w:sz w:val="32"/>
        </w:rPr>
        <w:t>六  授予合同</w:t>
      </w:r>
      <w:bookmarkEnd w:id="197"/>
      <w:bookmarkEnd w:id="198"/>
      <w:bookmarkEnd w:id="199"/>
      <w:bookmarkEnd w:id="200"/>
    </w:p>
    <w:p>
      <w:pPr>
        <w:pStyle w:val="8"/>
        <w:rPr>
          <w:rFonts w:hint="eastAsia" w:ascii="宋体" w:hAnsi="宋体" w:cs="宋体"/>
        </w:rPr>
      </w:pPr>
      <w:bookmarkStart w:id="201" w:name="_Toc500229392"/>
      <w:bookmarkStart w:id="202" w:name="_Toc257618613"/>
      <w:bookmarkStart w:id="203" w:name="_Toc102300305"/>
      <w:bookmarkStart w:id="204" w:name="_Toc262242523"/>
      <w:bookmarkStart w:id="205" w:name="_Toc24712"/>
      <w:r>
        <w:rPr>
          <w:rFonts w:hint="eastAsia" w:ascii="宋体" w:hAnsi="宋体" w:cs="宋体"/>
        </w:rPr>
        <w:t>30  授标时更改采购服务内容数量的权力</w:t>
      </w:r>
      <w:bookmarkEnd w:id="201"/>
      <w:bookmarkEnd w:id="202"/>
      <w:bookmarkEnd w:id="203"/>
      <w:bookmarkEnd w:id="204"/>
      <w:bookmarkEnd w:id="205"/>
    </w:p>
    <w:p>
      <w:pPr>
        <w:spacing w:line="360" w:lineRule="auto"/>
        <w:rPr>
          <w:rFonts w:hint="eastAsia" w:ascii="宋体" w:hAnsi="宋体" w:cs="宋体"/>
        </w:rPr>
      </w:pPr>
      <w:r>
        <w:rPr>
          <w:rFonts w:hint="eastAsia" w:ascii="宋体" w:hAnsi="宋体" w:cs="宋体"/>
        </w:rPr>
        <w:t>30.1  采购人在授予合同时有权在（数量增减变更：投标报价的±10%）幅度内对“第二章 用户需求书”中规定的服务内容予以增加或减少，但不得对单价或其它的条款和条件做任何改变。</w:t>
      </w:r>
    </w:p>
    <w:p>
      <w:pPr>
        <w:pStyle w:val="8"/>
        <w:rPr>
          <w:rFonts w:hint="eastAsia" w:ascii="宋体" w:hAnsi="宋体" w:cs="宋体"/>
        </w:rPr>
      </w:pPr>
      <w:bookmarkStart w:id="206" w:name="_Toc257618614"/>
      <w:bookmarkStart w:id="207" w:name="_Toc262242524"/>
      <w:bookmarkStart w:id="208" w:name="_Toc102300306"/>
      <w:bookmarkStart w:id="209" w:name="_Toc19986"/>
      <w:bookmarkStart w:id="210" w:name="_Toc500229393"/>
      <w:r>
        <w:rPr>
          <w:rFonts w:hint="eastAsia" w:ascii="宋体" w:hAnsi="宋体" w:cs="宋体"/>
        </w:rPr>
        <w:t>31  中标通知书</w:t>
      </w:r>
      <w:bookmarkEnd w:id="206"/>
      <w:bookmarkEnd w:id="207"/>
      <w:bookmarkEnd w:id="208"/>
      <w:bookmarkEnd w:id="209"/>
      <w:bookmarkEnd w:id="210"/>
    </w:p>
    <w:p>
      <w:pPr>
        <w:spacing w:line="360" w:lineRule="auto"/>
        <w:rPr>
          <w:rFonts w:hint="eastAsia" w:ascii="宋体" w:hAnsi="宋体" w:cs="宋体"/>
        </w:rPr>
      </w:pPr>
      <w:r>
        <w:rPr>
          <w:rFonts w:hint="eastAsia" w:ascii="宋体" w:hAnsi="宋体" w:cs="宋体"/>
        </w:rPr>
        <w:t>31.1  中标人确定后，采购代理机构将向中标人发出中标通知书。</w:t>
      </w:r>
    </w:p>
    <w:p>
      <w:pPr>
        <w:spacing w:line="360" w:lineRule="auto"/>
        <w:rPr>
          <w:rFonts w:hint="eastAsia" w:ascii="宋体" w:hAnsi="宋体" w:cs="宋体"/>
        </w:rPr>
      </w:pPr>
      <w:r>
        <w:rPr>
          <w:rFonts w:hint="eastAsia" w:ascii="宋体" w:hAnsi="宋体" w:cs="宋体"/>
        </w:rPr>
        <w:t>31.2  中标通知书发出后，中标人不签订合同及不履行合同将承担违约责任。</w:t>
      </w:r>
    </w:p>
    <w:p>
      <w:pPr>
        <w:spacing w:line="360" w:lineRule="auto"/>
        <w:rPr>
          <w:rFonts w:hint="eastAsia" w:ascii="宋体" w:hAnsi="宋体" w:cs="宋体"/>
        </w:rPr>
      </w:pPr>
      <w:r>
        <w:rPr>
          <w:rFonts w:hint="eastAsia" w:ascii="宋体" w:hAnsi="宋体" w:cs="宋体"/>
        </w:rPr>
        <w:t>31.3  中标通知书是合同的一个组成部分。</w:t>
      </w:r>
    </w:p>
    <w:p>
      <w:pPr>
        <w:pStyle w:val="8"/>
        <w:rPr>
          <w:rFonts w:hint="eastAsia" w:ascii="宋体" w:hAnsi="宋体" w:cs="宋体"/>
        </w:rPr>
      </w:pPr>
      <w:bookmarkStart w:id="211" w:name="_Toc102300307"/>
      <w:bookmarkStart w:id="212" w:name="_Toc500229394"/>
      <w:bookmarkStart w:id="213" w:name="_Toc30208"/>
      <w:bookmarkStart w:id="214" w:name="_Toc262242525"/>
      <w:bookmarkStart w:id="215" w:name="_Toc257618615"/>
      <w:r>
        <w:rPr>
          <w:rFonts w:hint="eastAsia" w:ascii="宋体" w:hAnsi="宋体" w:cs="宋体"/>
        </w:rPr>
        <w:t>32  签订合同</w:t>
      </w:r>
      <w:bookmarkEnd w:id="211"/>
      <w:bookmarkEnd w:id="212"/>
      <w:bookmarkEnd w:id="213"/>
      <w:bookmarkEnd w:id="214"/>
      <w:bookmarkEnd w:id="215"/>
    </w:p>
    <w:p>
      <w:pPr>
        <w:spacing w:line="360" w:lineRule="auto"/>
        <w:rPr>
          <w:rFonts w:hint="eastAsia" w:ascii="宋体" w:hAnsi="宋体" w:cs="宋体"/>
          <w:bCs/>
        </w:rPr>
      </w:pPr>
      <w:r>
        <w:rPr>
          <w:rFonts w:hint="eastAsia" w:ascii="宋体" w:hAnsi="宋体" w:cs="宋体"/>
          <w:bCs/>
        </w:rPr>
        <w:t>32.1  中标人应按指定的时间、地点与采购人签订合同</w:t>
      </w:r>
    </w:p>
    <w:p>
      <w:pPr>
        <w:spacing w:line="360" w:lineRule="auto"/>
        <w:rPr>
          <w:rFonts w:hint="eastAsia" w:ascii="宋体" w:hAnsi="宋体" w:cs="宋体"/>
          <w:bCs/>
        </w:rPr>
      </w:pPr>
      <w:r>
        <w:rPr>
          <w:rFonts w:hint="eastAsia" w:ascii="宋体" w:hAnsi="宋体" w:cs="宋体"/>
          <w:bCs/>
        </w:rPr>
        <w:t>32.2  “采购文件”、中标人的“投标文件”及其澄清文件等，均为签订经济合同的依据。</w:t>
      </w:r>
    </w:p>
    <w:p>
      <w:pPr>
        <w:spacing w:line="360" w:lineRule="auto"/>
        <w:rPr>
          <w:rFonts w:hint="eastAsia" w:ascii="宋体" w:hAnsi="宋体" w:cs="宋体"/>
          <w:bCs/>
        </w:rPr>
      </w:pPr>
      <w:r>
        <w:rPr>
          <w:rFonts w:hint="eastAsia" w:ascii="宋体" w:hAnsi="宋体" w:cs="宋体"/>
          <w:bCs/>
        </w:rPr>
        <w:t>32.3  中标人结算时须开具与其名称一致的正规发票。</w:t>
      </w:r>
    </w:p>
    <w:p>
      <w:pPr>
        <w:spacing w:line="360" w:lineRule="auto"/>
        <w:rPr>
          <w:rFonts w:hint="eastAsia" w:ascii="宋体" w:hAnsi="宋体" w:cs="宋体"/>
          <w:bCs/>
        </w:rPr>
      </w:pPr>
      <w:r>
        <w:rPr>
          <w:rFonts w:hint="eastAsia" w:ascii="宋体" w:hAnsi="宋体" w:cs="宋体"/>
          <w:bCs/>
        </w:rPr>
        <w:t>32.4  合同在履约保证提交后生效。</w:t>
      </w:r>
    </w:p>
    <w:p>
      <w:pPr>
        <w:spacing w:line="360" w:lineRule="auto"/>
        <w:jc w:val="center"/>
        <w:rPr>
          <w:rFonts w:hint="eastAsia" w:ascii="宋体" w:hAnsi="宋体" w:cs="宋体"/>
          <w:b/>
          <w:bCs/>
          <w:sz w:val="32"/>
          <w:highlight w:val="yellow"/>
        </w:rPr>
      </w:pPr>
      <w:r>
        <w:rPr>
          <w:rFonts w:hint="eastAsia" w:ascii="宋体" w:hAnsi="宋体" w:cs="宋体"/>
          <w:snapToGrid w:val="0"/>
        </w:rPr>
        <w:br w:type="textWrapping"/>
      </w:r>
      <w:r>
        <w:rPr>
          <w:rFonts w:hint="eastAsia" w:ascii="宋体" w:hAnsi="宋体" w:cs="宋体"/>
          <w:b/>
          <w:bCs/>
          <w:sz w:val="32"/>
        </w:rPr>
        <w:t>七  采购代理服务费</w:t>
      </w:r>
    </w:p>
    <w:p>
      <w:pPr>
        <w:spacing w:line="300" w:lineRule="auto"/>
        <w:ind w:firstLine="480" w:firstLineChars="200"/>
        <w:rPr>
          <w:rFonts w:hint="eastAsia" w:ascii="宋体" w:hAnsi="宋体" w:cs="宋体"/>
          <w:szCs w:val="24"/>
        </w:rPr>
      </w:pPr>
      <w:r>
        <w:rPr>
          <w:rFonts w:hint="eastAsia" w:ascii="宋体" w:hAnsi="宋体" w:cs="宋体"/>
          <w:kern w:val="2"/>
          <w:szCs w:val="24"/>
        </w:rPr>
        <w:t xml:space="preserve">33.1  </w:t>
      </w:r>
      <w:r>
        <w:rPr>
          <w:rFonts w:hint="eastAsia" w:ascii="宋体" w:hAnsi="宋体" w:cs="宋体"/>
          <w:szCs w:val="24"/>
        </w:rPr>
        <w:t>本项目向采购人收取采购代理服务费用。收费标准按下表“服务类”实行差额定率累进法收费，在此收费基础下，下浮30%定额收取。</w:t>
      </w:r>
    </w:p>
    <w:p>
      <w:pPr>
        <w:spacing w:line="300" w:lineRule="auto"/>
        <w:ind w:firstLine="480" w:firstLineChars="200"/>
        <w:rPr>
          <w:rFonts w:hint="eastAsia" w:ascii="宋体" w:hAnsi="宋体" w:cs="宋体"/>
          <w:szCs w:val="24"/>
        </w:rPr>
      </w:pPr>
    </w:p>
    <w:tbl>
      <w:tblPr>
        <w:tblStyle w:val="79"/>
        <w:tblW w:w="549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485"/>
        <w:gridCol w:w="1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527" w:hRule="atLeast"/>
          <w:jc w:val="center"/>
        </w:trPr>
        <w:tc>
          <w:tcPr>
            <w:tcW w:w="2438" w:type="dxa"/>
          </w:tcPr>
          <w:p>
            <w:pPr>
              <w:snapToGrid w:val="0"/>
              <w:spacing w:line="360" w:lineRule="auto"/>
              <w:ind w:firstLine="1320" w:firstLineChars="550"/>
              <w:rPr>
                <w:rFonts w:hint="eastAsia" w:ascii="宋体" w:hAnsi="宋体" w:cs="宋体"/>
                <w:szCs w:val="24"/>
              </w:rPr>
            </w:pPr>
            <w:r>
              <w:rPr>
                <w:rFonts w:hint="eastAsia" w:ascii="宋体" w:hAnsi="宋体" w:cs="宋体"/>
                <w:szCs w:val="24"/>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32385</wp:posOffset>
                      </wp:positionV>
                      <wp:extent cx="1492250" cy="633730"/>
                      <wp:effectExtent l="1905" t="4445" r="10795" b="9525"/>
                      <wp:wrapNone/>
                      <wp:docPr id="2" name="直接箭头连接符 2"/>
                      <wp:cNvGraphicFramePr/>
                      <a:graphic xmlns:a="http://schemas.openxmlformats.org/drawingml/2006/main">
                        <a:graphicData uri="http://schemas.microsoft.com/office/word/2010/wordprocessingShape">
                          <wps:wsp>
                            <wps:cNvCnPr/>
                            <wps:spPr>
                              <a:xfrm>
                                <a:off x="0" y="0"/>
                                <a:ext cx="1492250" cy="63373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75pt;margin-top:2.55pt;height:49.9pt;width:117.5pt;z-index:251659264;mso-width-relative:page;mso-height-relative:page;" filled="f" stroked="t" coordsize="21600,21600" o:gfxdata="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ztmKdYAAAAIAQAADwAAAAAAAAABACAAAAAiAAAAZHJzL2Rvd25yZXYueG1sUEsBAhQAFAAAAAgA&#10;h07iQHt5GJHuAQAArQMAAA4AAAAAAAAAAQAgAAAAJQEAAGRycy9lMm9Eb2MueG1sUEsFBgAAAAAG&#10;AAYAWQEAAIUFAAAAAA==&#10;">
                      <v:fill on="f" focussize="0,0"/>
                      <v:stroke color="#000000" joinstyle="round"/>
                      <v:imagedata o:title=""/>
                      <o:lock v:ext="edit" aspectratio="f"/>
                    </v:shape>
                  </w:pict>
                </mc:Fallback>
              </mc:AlternateContent>
            </w:r>
            <w:r>
              <w:rPr>
                <w:rFonts w:hint="eastAsia" w:ascii="宋体" w:hAnsi="宋体" w:cs="宋体"/>
                <w:bCs/>
                <w:szCs w:val="24"/>
              </w:rPr>
              <w:t>费率</w:t>
            </w:r>
          </w:p>
          <w:p>
            <w:pPr>
              <w:snapToGrid w:val="0"/>
              <w:spacing w:line="360" w:lineRule="auto"/>
              <w:rPr>
                <w:rFonts w:hint="eastAsia" w:ascii="宋体" w:hAnsi="宋体" w:cs="宋体"/>
                <w:szCs w:val="24"/>
              </w:rPr>
            </w:pPr>
            <w:r>
              <w:rPr>
                <w:rFonts w:hint="eastAsia" w:ascii="宋体" w:hAnsi="宋体" w:cs="宋体"/>
                <w:bCs/>
                <w:szCs w:val="24"/>
              </w:rPr>
              <w:t>中标金额</w:t>
            </w:r>
          </w:p>
        </w:tc>
        <w:tc>
          <w:tcPr>
            <w:tcW w:w="1485" w:type="dxa"/>
            <w:vAlign w:val="center"/>
          </w:tcPr>
          <w:p>
            <w:pPr>
              <w:snapToGrid w:val="0"/>
              <w:spacing w:line="360" w:lineRule="auto"/>
              <w:jc w:val="center"/>
              <w:rPr>
                <w:rFonts w:hint="eastAsia" w:ascii="宋体" w:hAnsi="宋体" w:cs="宋体"/>
                <w:szCs w:val="24"/>
              </w:rPr>
            </w:pPr>
            <w:r>
              <w:rPr>
                <w:rFonts w:hint="eastAsia" w:ascii="宋体" w:hAnsi="宋体" w:cs="宋体"/>
                <w:bCs/>
                <w:szCs w:val="24"/>
              </w:rPr>
              <w:t>货物类</w:t>
            </w:r>
          </w:p>
        </w:tc>
        <w:tc>
          <w:tcPr>
            <w:tcW w:w="1573" w:type="dxa"/>
            <w:vAlign w:val="center"/>
          </w:tcPr>
          <w:p>
            <w:pPr>
              <w:snapToGrid w:val="0"/>
              <w:spacing w:line="360" w:lineRule="auto"/>
              <w:jc w:val="center"/>
              <w:rPr>
                <w:rFonts w:hint="eastAsia" w:ascii="宋体" w:hAnsi="宋体" w:cs="宋体"/>
                <w:szCs w:val="24"/>
              </w:rPr>
            </w:pPr>
            <w:r>
              <w:rPr>
                <w:rFonts w:hint="eastAsia" w:ascii="宋体" w:hAnsi="宋体" w:cs="宋体"/>
                <w:bCs/>
                <w:szCs w:val="24"/>
              </w:rPr>
              <w:t>服务类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6" w:hRule="atLeast"/>
          <w:jc w:val="center"/>
        </w:trPr>
        <w:tc>
          <w:tcPr>
            <w:tcW w:w="2438" w:type="dxa"/>
            <w:vAlign w:val="center"/>
          </w:tcPr>
          <w:p>
            <w:pPr>
              <w:spacing w:line="360" w:lineRule="auto"/>
              <w:jc w:val="center"/>
              <w:rPr>
                <w:rFonts w:hint="eastAsia" w:ascii="宋体" w:hAnsi="宋体" w:cs="宋体"/>
                <w:bCs/>
                <w:szCs w:val="24"/>
              </w:rPr>
            </w:pPr>
            <w:r>
              <w:rPr>
                <w:rFonts w:hint="eastAsia" w:ascii="宋体" w:hAnsi="宋体" w:cs="宋体"/>
                <w:szCs w:val="24"/>
              </w:rPr>
              <w:t>100万元以下</w:t>
            </w:r>
          </w:p>
        </w:tc>
        <w:tc>
          <w:tcPr>
            <w:tcW w:w="1485" w:type="dxa"/>
            <w:vAlign w:val="center"/>
          </w:tcPr>
          <w:p>
            <w:pPr>
              <w:spacing w:line="360" w:lineRule="auto"/>
              <w:jc w:val="center"/>
              <w:rPr>
                <w:rFonts w:hint="eastAsia" w:ascii="宋体" w:hAnsi="宋体" w:cs="宋体"/>
                <w:szCs w:val="24"/>
              </w:rPr>
            </w:pPr>
            <w:r>
              <w:rPr>
                <w:rFonts w:hint="eastAsia" w:ascii="宋体" w:hAnsi="宋体" w:cs="宋体"/>
                <w:szCs w:val="24"/>
              </w:rPr>
              <w:t>1.5%</w:t>
            </w:r>
          </w:p>
        </w:tc>
        <w:tc>
          <w:tcPr>
            <w:tcW w:w="1573" w:type="dxa"/>
            <w:vAlign w:val="center"/>
          </w:tcPr>
          <w:p>
            <w:pPr>
              <w:spacing w:line="360" w:lineRule="auto"/>
              <w:jc w:val="center"/>
              <w:rPr>
                <w:rFonts w:hint="eastAsia" w:ascii="宋体" w:hAnsi="宋体" w:cs="宋体"/>
                <w:szCs w:val="24"/>
              </w:rPr>
            </w:pPr>
            <w:r>
              <w:rPr>
                <w:rFonts w:hint="eastAsia" w:ascii="宋体" w:hAnsi="宋体" w:cs="宋体"/>
                <w:szCs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6" w:hRule="atLeast"/>
          <w:jc w:val="center"/>
        </w:trPr>
        <w:tc>
          <w:tcPr>
            <w:tcW w:w="2438" w:type="dxa"/>
            <w:vAlign w:val="center"/>
          </w:tcPr>
          <w:p>
            <w:pPr>
              <w:spacing w:line="360" w:lineRule="auto"/>
              <w:jc w:val="center"/>
              <w:rPr>
                <w:rFonts w:hint="eastAsia" w:ascii="宋体" w:hAnsi="宋体" w:cs="宋体"/>
                <w:szCs w:val="24"/>
              </w:rPr>
            </w:pPr>
            <w:r>
              <w:rPr>
                <w:rFonts w:hint="eastAsia" w:ascii="宋体" w:hAnsi="宋体" w:cs="宋体"/>
                <w:szCs w:val="24"/>
              </w:rPr>
              <w:t>100～500万元</w:t>
            </w:r>
          </w:p>
        </w:tc>
        <w:tc>
          <w:tcPr>
            <w:tcW w:w="1485" w:type="dxa"/>
            <w:vAlign w:val="center"/>
          </w:tcPr>
          <w:p>
            <w:pPr>
              <w:spacing w:line="360" w:lineRule="auto"/>
              <w:jc w:val="center"/>
              <w:rPr>
                <w:rFonts w:hint="eastAsia" w:ascii="宋体" w:hAnsi="宋体" w:cs="宋体"/>
                <w:szCs w:val="24"/>
              </w:rPr>
            </w:pPr>
            <w:r>
              <w:rPr>
                <w:rFonts w:hint="eastAsia" w:ascii="宋体" w:hAnsi="宋体" w:cs="宋体"/>
                <w:szCs w:val="24"/>
              </w:rPr>
              <w:t>1.1%</w:t>
            </w:r>
          </w:p>
        </w:tc>
        <w:tc>
          <w:tcPr>
            <w:tcW w:w="1573" w:type="dxa"/>
            <w:vAlign w:val="center"/>
          </w:tcPr>
          <w:p>
            <w:pPr>
              <w:spacing w:line="360" w:lineRule="auto"/>
              <w:jc w:val="center"/>
              <w:rPr>
                <w:rFonts w:hint="eastAsia" w:ascii="宋体" w:hAnsi="宋体" w:cs="宋体"/>
                <w:szCs w:val="24"/>
              </w:rPr>
            </w:pPr>
            <w:r>
              <w:rPr>
                <w:rFonts w:hint="eastAsia" w:ascii="宋体" w:hAnsi="宋体" w:cs="宋体"/>
                <w:szCs w:val="24"/>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6" w:hRule="atLeast"/>
          <w:jc w:val="center"/>
        </w:trPr>
        <w:tc>
          <w:tcPr>
            <w:tcW w:w="2438" w:type="dxa"/>
            <w:vAlign w:val="center"/>
          </w:tcPr>
          <w:p>
            <w:pPr>
              <w:spacing w:line="360" w:lineRule="auto"/>
              <w:jc w:val="center"/>
              <w:rPr>
                <w:rFonts w:hint="eastAsia" w:ascii="宋体" w:hAnsi="宋体" w:cs="宋体"/>
                <w:szCs w:val="24"/>
              </w:rPr>
            </w:pPr>
            <w:r>
              <w:rPr>
                <w:rFonts w:hint="eastAsia" w:ascii="宋体" w:hAnsi="宋体" w:cs="宋体"/>
                <w:szCs w:val="24"/>
              </w:rPr>
              <w:t>500～1000万元</w:t>
            </w:r>
          </w:p>
        </w:tc>
        <w:tc>
          <w:tcPr>
            <w:tcW w:w="1485" w:type="dxa"/>
            <w:vAlign w:val="center"/>
          </w:tcPr>
          <w:p>
            <w:pPr>
              <w:spacing w:line="360" w:lineRule="auto"/>
              <w:jc w:val="center"/>
              <w:rPr>
                <w:rFonts w:hint="eastAsia" w:ascii="宋体" w:hAnsi="宋体" w:cs="宋体"/>
                <w:szCs w:val="24"/>
              </w:rPr>
            </w:pPr>
            <w:r>
              <w:rPr>
                <w:rFonts w:hint="eastAsia" w:ascii="宋体" w:hAnsi="宋体" w:cs="宋体"/>
                <w:szCs w:val="24"/>
              </w:rPr>
              <w:t>0.8%</w:t>
            </w:r>
          </w:p>
        </w:tc>
        <w:tc>
          <w:tcPr>
            <w:tcW w:w="1573" w:type="dxa"/>
            <w:vAlign w:val="center"/>
          </w:tcPr>
          <w:p>
            <w:pPr>
              <w:spacing w:line="360" w:lineRule="auto"/>
              <w:jc w:val="center"/>
              <w:rPr>
                <w:rFonts w:hint="eastAsia" w:ascii="宋体" w:hAnsi="宋体" w:cs="宋体"/>
                <w:szCs w:val="24"/>
              </w:rPr>
            </w:pPr>
            <w:r>
              <w:rPr>
                <w:rFonts w:hint="eastAsia" w:ascii="宋体" w:hAnsi="宋体" w:cs="宋体"/>
                <w:szCs w:val="24"/>
              </w:rPr>
              <w:t>0.45%</w:t>
            </w:r>
          </w:p>
        </w:tc>
      </w:tr>
    </w:tbl>
    <w:p>
      <w:pPr>
        <w:snapToGrid w:val="0"/>
        <w:spacing w:line="360" w:lineRule="auto"/>
        <w:rPr>
          <w:rFonts w:hint="eastAsia" w:ascii="宋体" w:hAnsi="宋体" w:cs="宋体"/>
          <w:sz w:val="28"/>
          <w:szCs w:val="28"/>
        </w:rPr>
      </w:pPr>
    </w:p>
    <w:p>
      <w:pPr>
        <w:pStyle w:val="2"/>
        <w:ind w:left="480" w:firstLine="562"/>
        <w:rPr>
          <w:rFonts w:hint="eastAsia" w:cs="宋体"/>
          <w:sz w:val="28"/>
          <w:szCs w:val="28"/>
        </w:rPr>
      </w:pPr>
    </w:p>
    <w:p>
      <w:pPr>
        <w:pStyle w:val="5"/>
        <w:rPr>
          <w:rFonts w:hint="eastAsia" w:hAnsi="宋体" w:cs="宋体"/>
          <w:szCs w:val="28"/>
        </w:rPr>
      </w:pPr>
    </w:p>
    <w:p>
      <w:pPr>
        <w:rPr>
          <w:rFonts w:hint="eastAsia" w:ascii="宋体" w:hAnsi="宋体" w:cs="宋体"/>
          <w:sz w:val="28"/>
          <w:szCs w:val="28"/>
        </w:rPr>
      </w:pPr>
    </w:p>
    <w:p>
      <w:pPr>
        <w:pStyle w:val="2"/>
        <w:ind w:left="480" w:firstLine="562"/>
        <w:rPr>
          <w:rFonts w:hint="eastAsia" w:cs="宋体"/>
          <w:sz w:val="28"/>
          <w:szCs w:val="28"/>
        </w:rPr>
      </w:pPr>
    </w:p>
    <w:p>
      <w:pPr>
        <w:pStyle w:val="5"/>
        <w:rPr>
          <w:rFonts w:hint="eastAsia" w:hAnsi="宋体" w:cs="宋体"/>
          <w:szCs w:val="28"/>
        </w:rPr>
      </w:pPr>
    </w:p>
    <w:p>
      <w:pPr>
        <w:rPr>
          <w:rFonts w:hint="eastAsia" w:ascii="宋体" w:hAnsi="宋体" w:cs="宋体"/>
          <w:sz w:val="28"/>
          <w:szCs w:val="28"/>
        </w:rPr>
      </w:pPr>
    </w:p>
    <w:p>
      <w:pPr>
        <w:pStyle w:val="2"/>
        <w:ind w:left="480" w:firstLine="562"/>
        <w:rPr>
          <w:rFonts w:hint="eastAsia" w:cs="宋体"/>
          <w:sz w:val="28"/>
          <w:szCs w:val="28"/>
        </w:rPr>
      </w:pPr>
    </w:p>
    <w:p>
      <w:pPr>
        <w:pStyle w:val="5"/>
        <w:rPr>
          <w:rFonts w:hint="eastAsia" w:hAnsi="宋体" w:cs="宋体"/>
          <w:szCs w:val="28"/>
        </w:rPr>
      </w:pPr>
    </w:p>
    <w:p>
      <w:pPr>
        <w:rPr>
          <w:rFonts w:hint="eastAsia" w:ascii="宋体" w:hAnsi="宋体" w:cs="宋体"/>
          <w:sz w:val="28"/>
          <w:szCs w:val="28"/>
        </w:rPr>
      </w:pPr>
    </w:p>
    <w:p>
      <w:pPr>
        <w:pStyle w:val="2"/>
        <w:ind w:left="480" w:firstLine="562"/>
        <w:rPr>
          <w:rFonts w:hint="eastAsia" w:cs="宋体"/>
          <w:sz w:val="28"/>
          <w:szCs w:val="28"/>
        </w:rPr>
      </w:pPr>
    </w:p>
    <w:p>
      <w:pPr>
        <w:pStyle w:val="5"/>
        <w:rPr>
          <w:rFonts w:hint="eastAsia" w:hAnsi="宋体" w:cs="宋体"/>
          <w:szCs w:val="28"/>
        </w:rPr>
      </w:pPr>
    </w:p>
    <w:p>
      <w:pPr>
        <w:rPr>
          <w:rFonts w:hint="eastAsia" w:ascii="宋体" w:hAnsi="宋体" w:cs="宋体"/>
          <w:sz w:val="28"/>
          <w:szCs w:val="28"/>
        </w:rPr>
      </w:pPr>
    </w:p>
    <w:p>
      <w:pPr>
        <w:pStyle w:val="2"/>
        <w:ind w:left="480" w:firstLine="562"/>
        <w:rPr>
          <w:rFonts w:hint="eastAsia" w:cs="宋体"/>
          <w:sz w:val="28"/>
          <w:szCs w:val="28"/>
        </w:rPr>
      </w:pPr>
    </w:p>
    <w:p>
      <w:pPr>
        <w:pStyle w:val="5"/>
        <w:rPr>
          <w:rFonts w:hint="eastAsia" w:hAnsi="宋体" w:cs="宋体"/>
          <w:szCs w:val="28"/>
        </w:rPr>
      </w:pPr>
    </w:p>
    <w:p>
      <w:pPr>
        <w:rPr>
          <w:rFonts w:hint="eastAsia" w:ascii="宋体" w:hAnsi="宋体" w:cs="宋体"/>
          <w:sz w:val="28"/>
          <w:szCs w:val="28"/>
        </w:rPr>
      </w:pPr>
    </w:p>
    <w:p>
      <w:pPr>
        <w:pStyle w:val="10"/>
        <w:rPr>
          <w:rFonts w:hint="eastAsia" w:ascii="宋体" w:hAnsi="宋体" w:cs="宋体"/>
          <w:szCs w:val="28"/>
        </w:rPr>
      </w:pPr>
    </w:p>
    <w:p>
      <w:pPr>
        <w:rPr>
          <w:rFonts w:hint="eastAsia" w:ascii="宋体" w:hAnsi="宋体" w:cs="宋体"/>
          <w:sz w:val="28"/>
          <w:szCs w:val="28"/>
        </w:rPr>
      </w:pPr>
    </w:p>
    <w:p>
      <w:pPr>
        <w:pStyle w:val="10"/>
        <w:rPr>
          <w:rFonts w:hint="eastAsia" w:ascii="宋体" w:hAnsi="宋体" w:cs="宋体"/>
          <w:szCs w:val="28"/>
        </w:rPr>
      </w:pPr>
    </w:p>
    <w:p>
      <w:pPr>
        <w:rPr>
          <w:rFonts w:hint="eastAsia" w:ascii="宋体" w:hAnsi="宋体" w:cs="宋体"/>
          <w:sz w:val="28"/>
          <w:szCs w:val="28"/>
        </w:rPr>
      </w:pPr>
    </w:p>
    <w:p>
      <w:pPr>
        <w:pStyle w:val="10"/>
        <w:rPr>
          <w:rFonts w:hint="eastAsia" w:ascii="宋体" w:hAnsi="宋体" w:cs="宋体"/>
          <w:szCs w:val="28"/>
        </w:rPr>
      </w:pPr>
    </w:p>
    <w:p/>
    <w:p>
      <w:pPr>
        <w:pStyle w:val="2"/>
        <w:ind w:left="480" w:firstLine="482"/>
        <w:rPr>
          <w:rFonts w:hint="eastAsia" w:cs="宋体"/>
        </w:rPr>
      </w:pPr>
    </w:p>
    <w:p>
      <w:pPr>
        <w:pStyle w:val="2"/>
        <w:ind w:left="0" w:leftChars="0" w:firstLine="0" w:firstLineChars="0"/>
        <w:rPr>
          <w:rFonts w:hint="eastAsia" w:cs="宋体"/>
        </w:rPr>
      </w:pPr>
    </w:p>
    <w:p>
      <w:pPr>
        <w:rPr>
          <w:rFonts w:hint="eastAsia" w:ascii="宋体" w:hAnsi="宋体" w:cs="宋体"/>
        </w:rPr>
      </w:pPr>
    </w:p>
    <w:p>
      <w:pPr>
        <w:spacing w:line="360" w:lineRule="auto"/>
        <w:rPr>
          <w:rFonts w:hint="eastAsia" w:ascii="宋体" w:hAnsi="宋体" w:cs="宋体"/>
          <w:b/>
          <w:szCs w:val="24"/>
        </w:rPr>
      </w:pPr>
      <w:bookmarkStart w:id="216" w:name="_Toc102300310"/>
      <w:bookmarkStart w:id="217" w:name="_Toc98175195"/>
      <w:r>
        <w:rPr>
          <w:rFonts w:hint="eastAsia" w:ascii="宋体" w:hAnsi="宋体" w:cs="宋体"/>
          <w:b/>
          <w:szCs w:val="24"/>
        </w:rPr>
        <w:t>附件：询问函、质疑函格式</w:t>
      </w:r>
    </w:p>
    <w:p>
      <w:pPr>
        <w:spacing w:line="360" w:lineRule="auto"/>
        <w:rPr>
          <w:rFonts w:hint="eastAsia" w:ascii="宋体" w:hAnsi="宋体" w:cs="宋体"/>
          <w:szCs w:val="24"/>
        </w:rPr>
      </w:pPr>
    </w:p>
    <w:p>
      <w:pPr>
        <w:spacing w:line="360" w:lineRule="auto"/>
        <w:rPr>
          <w:rFonts w:hint="eastAsia" w:ascii="宋体" w:hAnsi="宋体" w:cs="宋体"/>
          <w:szCs w:val="24"/>
        </w:rPr>
      </w:pPr>
      <w:r>
        <w:rPr>
          <w:rFonts w:hint="eastAsia" w:ascii="宋体" w:hAnsi="宋体" w:cs="宋体"/>
          <w:szCs w:val="24"/>
        </w:rPr>
        <w:t>说明：本部分格式为投标人提交询问函、质疑函时使用，不属于投标文件格式的组成部分。</w:t>
      </w:r>
    </w:p>
    <w:p>
      <w:pPr>
        <w:spacing w:line="360" w:lineRule="auto"/>
        <w:rPr>
          <w:rFonts w:hint="eastAsia" w:ascii="宋体" w:hAnsi="宋体" w:cs="宋体"/>
          <w:szCs w:val="24"/>
        </w:rPr>
      </w:pPr>
      <w:r>
        <w:rPr>
          <w:rFonts w:hint="eastAsia" w:ascii="宋体" w:hAnsi="宋体" w:cs="宋体"/>
          <w:szCs w:val="24"/>
        </w:rPr>
        <w:t>1.询问函格式</w:t>
      </w:r>
    </w:p>
    <w:p>
      <w:pPr>
        <w:spacing w:line="360" w:lineRule="auto"/>
        <w:rPr>
          <w:rFonts w:hint="eastAsia" w:ascii="宋体" w:hAnsi="宋体" w:cs="宋体"/>
          <w:b/>
          <w:szCs w:val="24"/>
        </w:rPr>
      </w:pPr>
      <w:r>
        <w:rPr>
          <w:rFonts w:hint="eastAsia" w:ascii="宋体" w:hAnsi="宋体" w:cs="宋体"/>
          <w:szCs w:val="24"/>
        </w:rPr>
        <w:t xml:space="preserve">                                </w:t>
      </w:r>
      <w:r>
        <w:rPr>
          <w:rFonts w:hint="eastAsia" w:ascii="宋体" w:hAnsi="宋体" w:cs="宋体"/>
          <w:b/>
          <w:szCs w:val="24"/>
        </w:rPr>
        <w:t xml:space="preserve">   询问函</w:t>
      </w:r>
    </w:p>
    <w:p>
      <w:pPr>
        <w:spacing w:line="360" w:lineRule="auto"/>
        <w:rPr>
          <w:rFonts w:hint="eastAsia" w:ascii="宋体" w:hAnsi="宋体" w:cs="宋体"/>
          <w:szCs w:val="24"/>
        </w:rPr>
      </w:pPr>
      <w:r>
        <w:rPr>
          <w:rFonts w:hint="eastAsia" w:ascii="宋体" w:hAnsi="宋体" w:cs="宋体"/>
          <w:szCs w:val="24"/>
        </w:rPr>
        <w:t>广州穗科建设管理有限公司汕头分公司：</w:t>
      </w:r>
    </w:p>
    <w:p>
      <w:pPr>
        <w:spacing w:line="360" w:lineRule="auto"/>
        <w:rPr>
          <w:rFonts w:hint="eastAsia" w:ascii="宋体" w:hAnsi="宋体" w:cs="宋体"/>
          <w:szCs w:val="24"/>
        </w:rPr>
      </w:pPr>
      <w:r>
        <w:rPr>
          <w:rFonts w:hint="eastAsia" w:ascii="宋体" w:hAnsi="宋体" w:cs="宋体"/>
          <w:szCs w:val="24"/>
        </w:rPr>
        <w:t>我单位已报名并准备参与国家税务总局汕头市金平区税务局2025-2027年物业管理服务采购项目 （项目编号：GZSKST25-B029）的投标（或报价）活动，现有以下几个内容（或条款）存在疑问（或无法理解），特提出询问。</w:t>
      </w:r>
    </w:p>
    <w:p>
      <w:pPr>
        <w:spacing w:line="360" w:lineRule="auto"/>
        <w:rPr>
          <w:rFonts w:hint="eastAsia" w:ascii="宋体" w:hAnsi="宋体" w:cs="宋体"/>
          <w:szCs w:val="24"/>
        </w:rPr>
      </w:pPr>
      <w:r>
        <w:rPr>
          <w:rFonts w:hint="eastAsia" w:ascii="宋体" w:hAnsi="宋体" w:cs="宋体"/>
          <w:szCs w:val="24"/>
        </w:rPr>
        <w:t>一、 _____________________（事项一）</w:t>
      </w:r>
    </w:p>
    <w:p>
      <w:pPr>
        <w:spacing w:line="360" w:lineRule="auto"/>
        <w:rPr>
          <w:rFonts w:hint="eastAsia" w:ascii="宋体" w:hAnsi="宋体" w:cs="宋体"/>
          <w:szCs w:val="24"/>
        </w:rPr>
      </w:pPr>
      <w:r>
        <w:rPr>
          <w:rFonts w:hint="eastAsia" w:ascii="宋体" w:hAnsi="宋体" w:cs="宋体"/>
          <w:szCs w:val="24"/>
        </w:rPr>
        <w:t>（1） ____________________（问题或条款内容）</w:t>
      </w:r>
    </w:p>
    <w:p>
      <w:pPr>
        <w:spacing w:line="360" w:lineRule="auto"/>
        <w:rPr>
          <w:rFonts w:hint="eastAsia" w:ascii="宋体" w:hAnsi="宋体" w:cs="宋体"/>
          <w:szCs w:val="24"/>
        </w:rPr>
      </w:pPr>
      <w:r>
        <w:rPr>
          <w:rFonts w:hint="eastAsia" w:ascii="宋体" w:hAnsi="宋体" w:cs="宋体"/>
          <w:szCs w:val="24"/>
        </w:rPr>
        <w:t>（2） ____________________（说明疑问或无法理解原因）</w:t>
      </w:r>
    </w:p>
    <w:p>
      <w:pPr>
        <w:spacing w:line="360" w:lineRule="auto"/>
        <w:rPr>
          <w:rFonts w:hint="eastAsia" w:ascii="宋体" w:hAnsi="宋体" w:cs="宋体"/>
          <w:szCs w:val="24"/>
        </w:rPr>
      </w:pPr>
      <w:r>
        <w:rPr>
          <w:rFonts w:hint="eastAsia" w:ascii="宋体" w:hAnsi="宋体" w:cs="宋体"/>
          <w:szCs w:val="24"/>
        </w:rPr>
        <w:t>（3） ____________________（建议）</w:t>
      </w:r>
    </w:p>
    <w:p>
      <w:pPr>
        <w:spacing w:line="360" w:lineRule="auto"/>
        <w:rPr>
          <w:rFonts w:hint="eastAsia" w:ascii="宋体" w:hAnsi="宋体" w:cs="宋体"/>
          <w:szCs w:val="24"/>
        </w:rPr>
      </w:pPr>
      <w:r>
        <w:rPr>
          <w:rFonts w:hint="eastAsia" w:ascii="宋体" w:hAnsi="宋体" w:cs="宋体"/>
          <w:szCs w:val="24"/>
        </w:rPr>
        <w:t>二、 _____________________（事项二）</w:t>
      </w:r>
    </w:p>
    <w:p>
      <w:pPr>
        <w:spacing w:line="360" w:lineRule="auto"/>
        <w:rPr>
          <w:rFonts w:hint="eastAsia" w:ascii="宋体" w:hAnsi="宋体" w:cs="宋体"/>
          <w:szCs w:val="24"/>
        </w:rPr>
      </w:pP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rPr>
        <w:t>随附相关证明材料如下：（目录）。</w:t>
      </w:r>
    </w:p>
    <w:p>
      <w:pPr>
        <w:spacing w:line="360" w:lineRule="auto"/>
        <w:rPr>
          <w:rFonts w:hint="eastAsia" w:ascii="宋体" w:hAnsi="宋体" w:cs="宋体"/>
          <w:szCs w:val="24"/>
        </w:rPr>
      </w:pPr>
      <w:r>
        <w:rPr>
          <w:rFonts w:hint="eastAsia" w:ascii="宋体" w:hAnsi="宋体" w:cs="宋体"/>
          <w:szCs w:val="24"/>
        </w:rPr>
        <w:t>询问人（公章）：</w:t>
      </w:r>
    </w:p>
    <w:p>
      <w:pPr>
        <w:spacing w:line="360" w:lineRule="auto"/>
        <w:rPr>
          <w:rFonts w:hint="eastAsia" w:ascii="宋体" w:hAnsi="宋体" w:cs="宋体"/>
          <w:szCs w:val="24"/>
        </w:rPr>
      </w:pPr>
      <w:r>
        <w:rPr>
          <w:rFonts w:hint="eastAsia" w:ascii="宋体" w:hAnsi="宋体" w:cs="宋体"/>
          <w:szCs w:val="24"/>
        </w:rPr>
        <w:t>法定代表人（授权代表）：</w:t>
      </w:r>
    </w:p>
    <w:p>
      <w:pPr>
        <w:spacing w:line="360" w:lineRule="auto"/>
        <w:rPr>
          <w:rFonts w:hint="eastAsia" w:ascii="宋体" w:hAnsi="宋体" w:cs="宋体"/>
          <w:szCs w:val="24"/>
        </w:rPr>
      </w:pPr>
      <w:r>
        <w:rPr>
          <w:rFonts w:hint="eastAsia" w:ascii="宋体" w:hAnsi="宋体" w:cs="宋体"/>
          <w:szCs w:val="24"/>
        </w:rPr>
        <w:t>地址/邮编：</w:t>
      </w:r>
    </w:p>
    <w:p>
      <w:pPr>
        <w:spacing w:line="360" w:lineRule="auto"/>
        <w:rPr>
          <w:rFonts w:hint="eastAsia" w:ascii="宋体" w:hAnsi="宋体" w:cs="宋体"/>
          <w:szCs w:val="24"/>
        </w:rPr>
      </w:pPr>
      <w:r>
        <w:rPr>
          <w:rFonts w:hint="eastAsia" w:ascii="宋体" w:hAnsi="宋体" w:cs="宋体"/>
          <w:szCs w:val="24"/>
        </w:rPr>
        <w:t>电话/传真：</w:t>
      </w:r>
    </w:p>
    <w:p>
      <w:pPr>
        <w:spacing w:line="360" w:lineRule="auto"/>
        <w:rPr>
          <w:rFonts w:hint="eastAsia" w:ascii="宋体" w:hAnsi="宋体" w:cs="宋体"/>
          <w:szCs w:val="24"/>
        </w:rPr>
      </w:pPr>
      <w:r>
        <w:rPr>
          <w:rFonts w:hint="eastAsia" w:ascii="宋体" w:hAnsi="宋体" w:cs="宋体"/>
          <w:szCs w:val="24"/>
        </w:rPr>
        <w:t>电子邮箱：</w:t>
      </w:r>
    </w:p>
    <w:p>
      <w:pPr>
        <w:spacing w:line="360" w:lineRule="auto"/>
        <w:rPr>
          <w:rFonts w:hint="eastAsia" w:ascii="宋体" w:hAnsi="宋体" w:cs="宋体"/>
          <w:szCs w:val="24"/>
        </w:rPr>
      </w:pPr>
      <w:r>
        <w:rPr>
          <w:rFonts w:hint="eastAsia" w:ascii="宋体" w:hAnsi="宋体" w:cs="宋体"/>
          <w:szCs w:val="24"/>
        </w:rPr>
        <w:t>日期： 年 月 日</w:t>
      </w:r>
      <w:r>
        <w:rPr>
          <w:rFonts w:hint="eastAsia" w:ascii="宋体" w:hAnsi="宋体" w:cs="宋体"/>
        </w:rPr>
        <w:t xml:space="preserve"> </w:t>
      </w:r>
      <w:r>
        <w:rPr>
          <w:rFonts w:hint="eastAsia" w:ascii="宋体" w:hAnsi="宋体" w:cs="宋体"/>
        </w:rPr>
        <w:br w:type="page"/>
      </w:r>
      <w:r>
        <w:rPr>
          <w:rFonts w:hint="eastAsia" w:ascii="宋体" w:hAnsi="宋体" w:cs="宋体"/>
          <w:szCs w:val="24"/>
        </w:rPr>
        <w:t>2.质疑函格式</w:t>
      </w:r>
    </w:p>
    <w:p>
      <w:pPr>
        <w:spacing w:line="360" w:lineRule="auto"/>
        <w:rPr>
          <w:rFonts w:hint="eastAsia" w:ascii="宋体" w:hAnsi="宋体" w:cs="宋体"/>
          <w:b/>
          <w:szCs w:val="24"/>
        </w:rPr>
      </w:pPr>
      <w:r>
        <w:rPr>
          <w:rFonts w:hint="eastAsia" w:ascii="宋体" w:hAnsi="宋体" w:cs="宋体"/>
          <w:szCs w:val="24"/>
        </w:rPr>
        <w:t xml:space="preserve">                                </w:t>
      </w:r>
      <w:r>
        <w:rPr>
          <w:rFonts w:hint="eastAsia" w:ascii="宋体" w:hAnsi="宋体" w:cs="宋体"/>
          <w:b/>
          <w:szCs w:val="24"/>
        </w:rPr>
        <w:t xml:space="preserve">   质疑函范本</w:t>
      </w:r>
    </w:p>
    <w:p>
      <w:pPr>
        <w:spacing w:line="360" w:lineRule="auto"/>
        <w:rPr>
          <w:rFonts w:hint="eastAsia" w:ascii="宋体" w:hAnsi="宋体" w:cs="宋体"/>
          <w:szCs w:val="24"/>
        </w:rPr>
      </w:pPr>
      <w:r>
        <w:rPr>
          <w:rFonts w:hint="eastAsia" w:ascii="宋体" w:hAnsi="宋体" w:cs="宋体"/>
          <w:szCs w:val="24"/>
        </w:rPr>
        <w:t>一、质疑投标人基本信息</w:t>
      </w:r>
    </w:p>
    <w:p>
      <w:pPr>
        <w:spacing w:line="360" w:lineRule="auto"/>
        <w:rPr>
          <w:rFonts w:hint="eastAsia" w:ascii="宋体" w:hAnsi="宋体" w:cs="宋体"/>
          <w:szCs w:val="24"/>
        </w:rPr>
      </w:pPr>
      <w:r>
        <w:rPr>
          <w:rFonts w:hint="eastAsia" w:ascii="宋体" w:hAnsi="宋体" w:cs="宋体"/>
          <w:szCs w:val="24"/>
        </w:rPr>
        <w:t>质疑投标人：</w:t>
      </w:r>
    </w:p>
    <w:p>
      <w:pPr>
        <w:spacing w:line="360" w:lineRule="auto"/>
        <w:rPr>
          <w:rFonts w:hint="eastAsia" w:ascii="宋体" w:hAnsi="宋体" w:cs="宋体"/>
          <w:szCs w:val="24"/>
        </w:rPr>
      </w:pPr>
      <w:r>
        <w:rPr>
          <w:rFonts w:hint="eastAsia" w:ascii="宋体" w:hAnsi="宋体" w:cs="宋体"/>
          <w:szCs w:val="24"/>
        </w:rPr>
        <w:t>地址： 邮编：</w:t>
      </w:r>
    </w:p>
    <w:p>
      <w:pPr>
        <w:spacing w:line="360" w:lineRule="auto"/>
        <w:rPr>
          <w:rFonts w:hint="eastAsia" w:ascii="宋体" w:hAnsi="宋体" w:cs="宋体"/>
          <w:szCs w:val="24"/>
        </w:rPr>
      </w:pPr>
      <w:r>
        <w:rPr>
          <w:rFonts w:hint="eastAsia" w:ascii="宋体" w:hAnsi="宋体" w:cs="宋体"/>
          <w:szCs w:val="24"/>
        </w:rPr>
        <w:t>联系人： 联系电话：</w:t>
      </w:r>
    </w:p>
    <w:p>
      <w:pPr>
        <w:spacing w:line="360" w:lineRule="auto"/>
        <w:rPr>
          <w:rFonts w:hint="eastAsia" w:ascii="宋体" w:hAnsi="宋体" w:cs="宋体"/>
          <w:szCs w:val="24"/>
        </w:rPr>
      </w:pPr>
      <w:r>
        <w:rPr>
          <w:rFonts w:hint="eastAsia" w:ascii="宋体" w:hAnsi="宋体" w:cs="宋体"/>
          <w:szCs w:val="24"/>
        </w:rPr>
        <w:t>授权代表：</w:t>
      </w:r>
    </w:p>
    <w:p>
      <w:pPr>
        <w:spacing w:line="360" w:lineRule="auto"/>
        <w:rPr>
          <w:rFonts w:hint="eastAsia" w:ascii="宋体" w:hAnsi="宋体" w:cs="宋体"/>
          <w:szCs w:val="24"/>
        </w:rPr>
      </w:pPr>
      <w:r>
        <w:rPr>
          <w:rFonts w:hint="eastAsia" w:ascii="宋体" w:hAnsi="宋体" w:cs="宋体"/>
          <w:szCs w:val="24"/>
        </w:rPr>
        <w:t>联系电话：</w:t>
      </w:r>
    </w:p>
    <w:p>
      <w:pPr>
        <w:spacing w:line="360" w:lineRule="auto"/>
        <w:rPr>
          <w:rFonts w:hint="eastAsia" w:ascii="宋体" w:hAnsi="宋体" w:cs="宋体"/>
          <w:szCs w:val="24"/>
        </w:rPr>
      </w:pPr>
      <w:r>
        <w:rPr>
          <w:rFonts w:hint="eastAsia" w:ascii="宋体" w:hAnsi="宋体" w:cs="宋体"/>
          <w:szCs w:val="24"/>
        </w:rPr>
        <w:t>地址： 邮编：</w:t>
      </w:r>
    </w:p>
    <w:p>
      <w:pPr>
        <w:spacing w:line="360" w:lineRule="auto"/>
        <w:rPr>
          <w:rFonts w:hint="eastAsia" w:ascii="宋体" w:hAnsi="宋体" w:cs="宋体"/>
          <w:szCs w:val="24"/>
        </w:rPr>
      </w:pPr>
      <w:r>
        <w:rPr>
          <w:rFonts w:hint="eastAsia" w:ascii="宋体" w:hAnsi="宋体" w:cs="宋体"/>
          <w:szCs w:val="24"/>
        </w:rPr>
        <w:t>电子邮箱：</w:t>
      </w:r>
    </w:p>
    <w:p>
      <w:pPr>
        <w:spacing w:line="360" w:lineRule="auto"/>
        <w:rPr>
          <w:rFonts w:hint="eastAsia" w:ascii="宋体" w:hAnsi="宋体" w:cs="宋体"/>
          <w:szCs w:val="24"/>
        </w:rPr>
      </w:pPr>
      <w:r>
        <w:rPr>
          <w:rFonts w:hint="eastAsia" w:ascii="宋体" w:hAnsi="宋体" w:cs="宋体"/>
          <w:szCs w:val="24"/>
        </w:rPr>
        <w:t>二、质疑项目基本情况</w:t>
      </w:r>
    </w:p>
    <w:p>
      <w:pPr>
        <w:spacing w:line="360" w:lineRule="auto"/>
        <w:rPr>
          <w:rFonts w:hint="eastAsia" w:ascii="宋体" w:hAnsi="宋体" w:cs="宋体"/>
          <w:szCs w:val="24"/>
        </w:rPr>
      </w:pPr>
      <w:r>
        <w:rPr>
          <w:rFonts w:hint="eastAsia" w:ascii="宋体" w:hAnsi="宋体" w:cs="宋体"/>
          <w:szCs w:val="24"/>
        </w:rPr>
        <w:t>质疑项目的名称：</w:t>
      </w:r>
    </w:p>
    <w:p>
      <w:pPr>
        <w:spacing w:line="360" w:lineRule="auto"/>
        <w:rPr>
          <w:rFonts w:hint="eastAsia" w:ascii="宋体" w:hAnsi="宋体" w:cs="宋体"/>
          <w:szCs w:val="24"/>
        </w:rPr>
      </w:pPr>
      <w:r>
        <w:rPr>
          <w:rFonts w:hint="eastAsia" w:ascii="宋体" w:hAnsi="宋体" w:cs="宋体"/>
          <w:szCs w:val="24"/>
        </w:rPr>
        <w:t>质疑项目的编号： 包号：</w:t>
      </w:r>
    </w:p>
    <w:p>
      <w:pPr>
        <w:spacing w:line="360" w:lineRule="auto"/>
        <w:rPr>
          <w:rFonts w:hint="eastAsia" w:ascii="宋体" w:hAnsi="宋体" w:cs="宋体"/>
          <w:szCs w:val="24"/>
        </w:rPr>
      </w:pPr>
      <w:r>
        <w:rPr>
          <w:rFonts w:hint="eastAsia" w:ascii="宋体" w:hAnsi="宋体" w:cs="宋体"/>
          <w:szCs w:val="24"/>
        </w:rPr>
        <w:t>采购人名称：</w:t>
      </w:r>
    </w:p>
    <w:p>
      <w:pPr>
        <w:spacing w:line="360" w:lineRule="auto"/>
        <w:rPr>
          <w:rFonts w:hint="eastAsia" w:ascii="宋体" w:hAnsi="宋体" w:cs="宋体"/>
          <w:szCs w:val="24"/>
        </w:rPr>
      </w:pPr>
      <w:r>
        <w:rPr>
          <w:rFonts w:hint="eastAsia" w:ascii="宋体" w:hAnsi="宋体" w:cs="宋体"/>
          <w:szCs w:val="24"/>
        </w:rPr>
        <w:t>采购文件获取日期：</w:t>
      </w:r>
    </w:p>
    <w:p>
      <w:pPr>
        <w:spacing w:line="360" w:lineRule="auto"/>
        <w:rPr>
          <w:rFonts w:hint="eastAsia" w:ascii="宋体" w:hAnsi="宋体" w:cs="宋体"/>
          <w:szCs w:val="24"/>
        </w:rPr>
      </w:pPr>
      <w:r>
        <w:rPr>
          <w:rFonts w:hint="eastAsia" w:ascii="宋体" w:hAnsi="宋体" w:cs="宋体"/>
          <w:szCs w:val="24"/>
        </w:rPr>
        <w:t>三、质疑事项具体内容</w:t>
      </w:r>
    </w:p>
    <w:p>
      <w:pPr>
        <w:spacing w:line="360" w:lineRule="auto"/>
        <w:rPr>
          <w:rFonts w:hint="eastAsia" w:ascii="宋体" w:hAnsi="宋体" w:cs="宋体"/>
          <w:szCs w:val="24"/>
        </w:rPr>
      </w:pPr>
      <w:r>
        <w:rPr>
          <w:rFonts w:hint="eastAsia" w:ascii="宋体" w:hAnsi="宋体" w:cs="宋体"/>
          <w:szCs w:val="24"/>
        </w:rPr>
        <w:t>质疑事项 1：</w:t>
      </w:r>
    </w:p>
    <w:p>
      <w:pPr>
        <w:spacing w:line="360" w:lineRule="auto"/>
        <w:rPr>
          <w:rFonts w:hint="eastAsia" w:ascii="宋体" w:hAnsi="宋体" w:cs="宋体"/>
          <w:szCs w:val="24"/>
        </w:rPr>
      </w:pPr>
      <w:r>
        <w:rPr>
          <w:rFonts w:hint="eastAsia" w:ascii="宋体" w:hAnsi="宋体" w:cs="宋体"/>
          <w:szCs w:val="24"/>
        </w:rPr>
        <w:t>事实依据：</w:t>
      </w:r>
    </w:p>
    <w:p>
      <w:pPr>
        <w:spacing w:line="360" w:lineRule="auto"/>
        <w:rPr>
          <w:rFonts w:hint="eastAsia" w:ascii="宋体" w:hAnsi="宋体" w:cs="宋体"/>
          <w:szCs w:val="24"/>
        </w:rPr>
      </w:pPr>
      <w:r>
        <w:rPr>
          <w:rFonts w:hint="eastAsia" w:ascii="宋体" w:hAnsi="宋体" w:cs="宋体"/>
          <w:szCs w:val="24"/>
        </w:rPr>
        <w:t>法律依据：</w:t>
      </w:r>
    </w:p>
    <w:p>
      <w:pPr>
        <w:spacing w:line="360" w:lineRule="auto"/>
        <w:rPr>
          <w:rFonts w:hint="eastAsia" w:ascii="宋体" w:hAnsi="宋体" w:cs="宋体"/>
          <w:szCs w:val="24"/>
        </w:rPr>
      </w:pPr>
      <w:r>
        <w:rPr>
          <w:rFonts w:hint="eastAsia" w:ascii="宋体" w:hAnsi="宋体" w:cs="宋体"/>
          <w:szCs w:val="24"/>
        </w:rPr>
        <w:t>质疑事项 2</w:t>
      </w:r>
    </w:p>
    <w:p>
      <w:pPr>
        <w:spacing w:line="360" w:lineRule="auto"/>
        <w:rPr>
          <w:rFonts w:hint="eastAsia" w:ascii="宋体" w:hAnsi="宋体" w:cs="宋体"/>
          <w:szCs w:val="24"/>
        </w:rPr>
      </w:pP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rPr>
        <w:t>四、与质疑事项相关的质疑请求</w:t>
      </w:r>
    </w:p>
    <w:p>
      <w:pPr>
        <w:spacing w:line="360" w:lineRule="auto"/>
        <w:rPr>
          <w:rFonts w:hint="eastAsia" w:ascii="宋体" w:hAnsi="宋体" w:cs="宋体"/>
          <w:szCs w:val="24"/>
        </w:rPr>
      </w:pPr>
      <w:r>
        <w:rPr>
          <w:rFonts w:hint="eastAsia" w:ascii="宋体" w:hAnsi="宋体" w:cs="宋体"/>
          <w:szCs w:val="24"/>
        </w:rPr>
        <w:t>请求：</w:t>
      </w:r>
    </w:p>
    <w:p>
      <w:pPr>
        <w:spacing w:line="360" w:lineRule="auto"/>
        <w:rPr>
          <w:rFonts w:hint="eastAsia" w:ascii="宋体" w:hAnsi="宋体" w:cs="宋体"/>
          <w:szCs w:val="24"/>
        </w:rPr>
      </w:pPr>
      <w:r>
        <w:rPr>
          <w:rFonts w:hint="eastAsia" w:ascii="宋体" w:hAnsi="宋体" w:cs="宋体"/>
          <w:szCs w:val="24"/>
        </w:rPr>
        <w:t>投标人（盖章）：</w:t>
      </w:r>
    </w:p>
    <w:p>
      <w:pPr>
        <w:spacing w:line="360" w:lineRule="auto"/>
        <w:rPr>
          <w:rFonts w:hint="eastAsia" w:ascii="宋体" w:hAnsi="宋体" w:cs="宋体"/>
          <w:szCs w:val="24"/>
        </w:rPr>
      </w:pPr>
      <w:r>
        <w:rPr>
          <w:rFonts w:hint="eastAsia" w:ascii="宋体" w:hAnsi="宋体" w:cs="宋体"/>
          <w:szCs w:val="24"/>
        </w:rPr>
        <w:t>法定代表人（授权代表）：</w:t>
      </w:r>
    </w:p>
    <w:p>
      <w:pPr>
        <w:spacing w:line="360" w:lineRule="auto"/>
        <w:rPr>
          <w:rFonts w:hint="eastAsia" w:ascii="宋体" w:hAnsi="宋体" w:cs="宋体"/>
          <w:szCs w:val="24"/>
        </w:rPr>
      </w:pPr>
      <w:r>
        <w:rPr>
          <w:rFonts w:hint="eastAsia" w:ascii="宋体" w:hAnsi="宋体" w:cs="宋体"/>
          <w:szCs w:val="24"/>
        </w:rPr>
        <w:t>地址/邮编：</w:t>
      </w:r>
    </w:p>
    <w:p>
      <w:pPr>
        <w:spacing w:line="360" w:lineRule="auto"/>
        <w:rPr>
          <w:rFonts w:hint="eastAsia" w:ascii="宋体" w:hAnsi="宋体" w:cs="宋体"/>
          <w:szCs w:val="24"/>
        </w:rPr>
      </w:pPr>
      <w:r>
        <w:rPr>
          <w:rFonts w:hint="eastAsia" w:ascii="宋体" w:hAnsi="宋体" w:cs="宋体"/>
          <w:szCs w:val="24"/>
        </w:rPr>
        <w:t>电话/传真：</w:t>
      </w:r>
    </w:p>
    <w:p>
      <w:pPr>
        <w:rPr>
          <w:rFonts w:hint="eastAsia" w:ascii="宋体" w:hAnsi="宋体" w:cs="宋体"/>
          <w:szCs w:val="24"/>
        </w:rPr>
      </w:pPr>
      <w:r>
        <w:rPr>
          <w:rFonts w:hint="eastAsia" w:ascii="宋体" w:hAnsi="宋体" w:cs="宋体"/>
          <w:szCs w:val="24"/>
        </w:rPr>
        <w:t>日期： 年 月 日</w:t>
      </w:r>
    </w:p>
    <w:p>
      <w:pPr>
        <w:rPr>
          <w:rFonts w:hint="eastAsia" w:ascii="宋体" w:hAnsi="宋体" w:cs="宋体"/>
          <w:szCs w:val="24"/>
        </w:rPr>
      </w:pPr>
      <w:r>
        <w:rPr>
          <w:rFonts w:hint="eastAsia" w:ascii="宋体" w:hAnsi="宋体" w:cs="宋体"/>
          <w:szCs w:val="24"/>
        </w:rPr>
        <w:t>随附相关证明材料如下：</w:t>
      </w:r>
    </w:p>
    <w:tbl>
      <w:tblPr>
        <w:tblStyle w:val="79"/>
        <w:tblW w:w="9861" w:type="dxa"/>
        <w:tblInd w:w="-2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65"/>
        <w:gridCol w:w="2465"/>
        <w:gridCol w:w="2465"/>
        <w:gridCol w:w="2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 xml:space="preserve">序号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 xml:space="preserve">证明材料名称 </w:t>
            </w:r>
          </w:p>
        </w:tc>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 xml:space="preserve">证明材料来源 </w:t>
            </w:r>
          </w:p>
        </w:tc>
        <w:tc>
          <w:tcPr>
            <w:tcW w:w="24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证明对象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 xml:space="preserve">1 </w:t>
            </w:r>
          </w:p>
        </w:tc>
        <w:tc>
          <w:tcPr>
            <w:tcW w:w="2465" w:type="dxa"/>
            <w:vAlign w:val="center"/>
          </w:tcPr>
          <w:p>
            <w:pPr>
              <w:rPr>
                <w:rFonts w:hint="eastAsia" w:ascii="宋体" w:hAnsi="宋体" w:cs="宋体"/>
                <w:sz w:val="20"/>
              </w:rPr>
            </w:pPr>
          </w:p>
        </w:tc>
        <w:tc>
          <w:tcPr>
            <w:tcW w:w="2465" w:type="dxa"/>
            <w:vAlign w:val="center"/>
          </w:tcPr>
          <w:p>
            <w:pPr>
              <w:rPr>
                <w:rFonts w:hint="eastAsia" w:ascii="宋体" w:hAnsi="宋体" w:cs="宋体"/>
                <w:sz w:val="20"/>
              </w:rPr>
            </w:pPr>
          </w:p>
        </w:tc>
        <w:tc>
          <w:tcPr>
            <w:tcW w:w="2466" w:type="dxa"/>
            <w:vAlign w:val="center"/>
          </w:tcPr>
          <w:p>
            <w:pPr>
              <w:rPr>
                <w:rFonts w:hint="eastAsia" w:ascii="宋体" w:hAnsi="宋体" w:cs="宋体"/>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2</w:t>
            </w:r>
          </w:p>
        </w:tc>
        <w:tc>
          <w:tcPr>
            <w:tcW w:w="2465" w:type="dxa"/>
            <w:vAlign w:val="center"/>
          </w:tcPr>
          <w:p>
            <w:pPr>
              <w:rPr>
                <w:rFonts w:hint="eastAsia" w:ascii="宋体" w:hAnsi="宋体" w:cs="宋体"/>
                <w:sz w:val="20"/>
              </w:rPr>
            </w:pPr>
          </w:p>
        </w:tc>
        <w:tc>
          <w:tcPr>
            <w:tcW w:w="2465" w:type="dxa"/>
            <w:vAlign w:val="center"/>
          </w:tcPr>
          <w:p>
            <w:pPr>
              <w:rPr>
                <w:rFonts w:hint="eastAsia" w:ascii="宋体" w:hAnsi="宋体" w:cs="宋体"/>
                <w:sz w:val="20"/>
              </w:rPr>
            </w:pPr>
          </w:p>
        </w:tc>
        <w:tc>
          <w:tcPr>
            <w:tcW w:w="2466" w:type="dxa"/>
            <w:vAlign w:val="center"/>
          </w:tcPr>
          <w:p>
            <w:pPr>
              <w:rPr>
                <w:rFonts w:hint="eastAsia" w:ascii="宋体" w:hAnsi="宋体" w:cs="宋体"/>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4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4"/>
              </w:rPr>
            </w:pPr>
            <w:r>
              <w:rPr>
                <w:rFonts w:hint="eastAsia" w:ascii="宋体" w:hAnsi="宋体" w:cs="宋体"/>
                <w:szCs w:val="24"/>
              </w:rPr>
              <w:t>„„</w:t>
            </w:r>
          </w:p>
        </w:tc>
        <w:tc>
          <w:tcPr>
            <w:tcW w:w="2465" w:type="dxa"/>
            <w:vAlign w:val="center"/>
          </w:tcPr>
          <w:p>
            <w:pPr>
              <w:rPr>
                <w:rFonts w:hint="eastAsia" w:ascii="宋体" w:hAnsi="宋体" w:cs="宋体"/>
                <w:sz w:val="20"/>
              </w:rPr>
            </w:pPr>
          </w:p>
        </w:tc>
        <w:tc>
          <w:tcPr>
            <w:tcW w:w="2465" w:type="dxa"/>
            <w:vAlign w:val="center"/>
          </w:tcPr>
          <w:p>
            <w:pPr>
              <w:rPr>
                <w:rFonts w:hint="eastAsia" w:ascii="宋体" w:hAnsi="宋体" w:cs="宋体"/>
                <w:sz w:val="20"/>
              </w:rPr>
            </w:pPr>
          </w:p>
        </w:tc>
        <w:tc>
          <w:tcPr>
            <w:tcW w:w="2466" w:type="dxa"/>
            <w:vAlign w:val="center"/>
          </w:tcPr>
          <w:p>
            <w:pPr>
              <w:rPr>
                <w:rFonts w:hint="eastAsia" w:ascii="宋体" w:hAnsi="宋体" w:cs="宋体"/>
                <w:sz w:val="20"/>
              </w:rPr>
            </w:pPr>
          </w:p>
        </w:tc>
      </w:tr>
    </w:tbl>
    <w:p>
      <w:pPr>
        <w:spacing w:line="360" w:lineRule="auto"/>
        <w:rPr>
          <w:rFonts w:hint="eastAsia" w:ascii="宋体" w:hAnsi="宋体" w:cs="宋体"/>
          <w:szCs w:val="24"/>
        </w:rPr>
      </w:pPr>
      <w:r>
        <w:rPr>
          <w:rFonts w:hint="eastAsia" w:ascii="宋体" w:hAnsi="宋体" w:cs="宋体"/>
          <w:szCs w:val="24"/>
        </w:rPr>
        <w:t>1. 相关说明</w:t>
      </w:r>
    </w:p>
    <w:p>
      <w:pPr>
        <w:spacing w:line="360" w:lineRule="auto"/>
        <w:rPr>
          <w:rFonts w:hint="eastAsia" w:ascii="宋体" w:hAnsi="宋体" w:cs="宋体"/>
          <w:szCs w:val="24"/>
        </w:rPr>
      </w:pPr>
      <w:r>
        <w:rPr>
          <w:rFonts w:hint="eastAsia" w:ascii="宋体" w:hAnsi="宋体" w:cs="宋体"/>
          <w:szCs w:val="24"/>
        </w:rPr>
        <w:t>1) 投标人提出质疑时，应提交质疑函和必要的证明材料。</w:t>
      </w:r>
    </w:p>
    <w:p>
      <w:pPr>
        <w:spacing w:line="360" w:lineRule="auto"/>
        <w:rPr>
          <w:rFonts w:hint="eastAsia" w:ascii="宋体" w:hAnsi="宋体" w:cs="宋体"/>
          <w:szCs w:val="24"/>
        </w:rPr>
      </w:pPr>
      <w:r>
        <w:rPr>
          <w:rFonts w:hint="eastAsia" w:ascii="宋体" w:hAnsi="宋体" w:cs="宋体"/>
          <w:szCs w:val="24"/>
        </w:rPr>
        <w:t>2) 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spacing w:line="360" w:lineRule="auto"/>
        <w:rPr>
          <w:rFonts w:hint="eastAsia" w:ascii="宋体" w:hAnsi="宋体" w:cs="宋体"/>
          <w:szCs w:val="24"/>
        </w:rPr>
      </w:pPr>
      <w:r>
        <w:rPr>
          <w:rFonts w:hint="eastAsia" w:ascii="宋体" w:hAnsi="宋体" w:cs="宋体"/>
          <w:szCs w:val="24"/>
        </w:rPr>
        <w:t>3) 质疑投标人若对项目的某一分包进行质疑，质疑函中应列明具体分包号。</w:t>
      </w:r>
    </w:p>
    <w:p>
      <w:pPr>
        <w:spacing w:line="360" w:lineRule="auto"/>
        <w:rPr>
          <w:rFonts w:hint="eastAsia" w:ascii="宋体" w:hAnsi="宋体" w:cs="宋体"/>
          <w:szCs w:val="24"/>
        </w:rPr>
      </w:pPr>
      <w:r>
        <w:rPr>
          <w:rFonts w:hint="eastAsia" w:ascii="宋体" w:hAnsi="宋体" w:cs="宋体"/>
          <w:szCs w:val="24"/>
        </w:rPr>
        <w:t>4) 质疑函的质疑事项应具体、明确，并有必要的事实依据和法律依据。</w:t>
      </w:r>
    </w:p>
    <w:p>
      <w:pPr>
        <w:spacing w:line="360" w:lineRule="auto"/>
        <w:rPr>
          <w:rFonts w:hint="eastAsia" w:ascii="宋体" w:hAnsi="宋体" w:cs="宋体"/>
          <w:szCs w:val="24"/>
        </w:rPr>
      </w:pPr>
      <w:r>
        <w:rPr>
          <w:rFonts w:hint="eastAsia" w:ascii="宋体" w:hAnsi="宋体" w:cs="宋体"/>
          <w:szCs w:val="24"/>
        </w:rPr>
        <w:t>5) 质疑函的质疑请求应与质疑事项相关。</w:t>
      </w:r>
    </w:p>
    <w:p>
      <w:pPr>
        <w:spacing w:line="360" w:lineRule="auto"/>
        <w:rPr>
          <w:rFonts w:hint="eastAsia" w:ascii="宋体" w:hAnsi="宋体" w:cs="宋体"/>
          <w:szCs w:val="24"/>
        </w:rPr>
      </w:pPr>
      <w:r>
        <w:rPr>
          <w:rFonts w:hint="eastAsia" w:ascii="宋体" w:hAnsi="宋体" w:cs="宋体"/>
          <w:szCs w:val="24"/>
        </w:rPr>
        <w:t>6) 质疑投标人为自然人的，质疑函应由本人签字；质疑投标人为法人或者其他组织的，质疑函应由法定代表人、主要负责人，或者其授权代表签字或者盖个人名章，并加盖公章。</w:t>
      </w:r>
    </w:p>
    <w:p>
      <w:pPr>
        <w:spacing w:line="360" w:lineRule="auto"/>
        <w:rPr>
          <w:rFonts w:hint="eastAsia" w:ascii="宋体" w:hAnsi="宋体" w:cs="宋体"/>
          <w:szCs w:val="24"/>
        </w:rPr>
      </w:pPr>
      <w:r>
        <w:rPr>
          <w:rFonts w:hint="eastAsia" w:ascii="宋体" w:hAnsi="宋体" w:cs="宋体"/>
          <w:szCs w:val="24"/>
        </w:rPr>
        <w:t>7) 投标人应在提交的证明材料中对质疑点的内容作出相应的标识或以醒目的方式标明。</w:t>
      </w: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6"/>
        <w:spacing w:line="360" w:lineRule="auto"/>
        <w:jc w:val="center"/>
        <w:rPr>
          <w:rFonts w:hint="eastAsia" w:ascii="宋体" w:hAnsi="宋体" w:cs="宋体"/>
        </w:rPr>
      </w:pPr>
      <w:bookmarkStart w:id="218" w:name="_Toc500229396"/>
      <w:bookmarkStart w:id="219" w:name="_Toc29246"/>
      <w:r>
        <w:rPr>
          <w:rFonts w:hint="eastAsia" w:ascii="宋体" w:hAnsi="宋体" w:cs="宋体"/>
        </w:rPr>
        <w:t xml:space="preserve">第四章 </w:t>
      </w:r>
      <w:bookmarkStart w:id="220" w:name="_Hlt98173565"/>
      <w:bookmarkEnd w:id="220"/>
      <w:r>
        <w:rPr>
          <w:rFonts w:hint="eastAsia" w:ascii="宋体" w:hAnsi="宋体" w:cs="宋体"/>
        </w:rPr>
        <w:t xml:space="preserve"> 合同书文本</w:t>
      </w:r>
      <w:bookmarkEnd w:id="216"/>
      <w:bookmarkEnd w:id="217"/>
      <w:bookmarkEnd w:id="218"/>
      <w:bookmarkEnd w:id="219"/>
    </w:p>
    <w:p>
      <w:pPr>
        <w:spacing w:line="440" w:lineRule="exact"/>
        <w:ind w:firstLine="3132" w:firstLineChars="600"/>
        <w:rPr>
          <w:rFonts w:hint="eastAsia" w:ascii="宋体" w:hAnsi="宋体" w:cs="宋体"/>
          <w:b/>
          <w:sz w:val="52"/>
        </w:rPr>
      </w:pPr>
    </w:p>
    <w:p>
      <w:pPr>
        <w:pStyle w:val="10"/>
        <w:rPr>
          <w:rFonts w:hint="eastAsia" w:ascii="宋体" w:hAnsi="宋体" w:cs="宋体"/>
        </w:rPr>
      </w:pPr>
    </w:p>
    <w:p>
      <w:pPr>
        <w:pStyle w:val="37"/>
        <w:jc w:val="center"/>
        <w:rPr>
          <w:rFonts w:hint="eastAsia" w:hAnsi="宋体" w:cs="宋体"/>
          <w:bCs/>
          <w:sz w:val="32"/>
          <w:szCs w:val="32"/>
        </w:rPr>
      </w:pPr>
    </w:p>
    <w:p>
      <w:pPr>
        <w:pStyle w:val="37"/>
        <w:jc w:val="center"/>
        <w:rPr>
          <w:rFonts w:hint="eastAsia" w:hAnsi="宋体" w:cs="宋体"/>
          <w:b/>
          <w:sz w:val="96"/>
          <w:szCs w:val="96"/>
        </w:rPr>
      </w:pPr>
      <w:bookmarkStart w:id="221" w:name="_Toc102300311"/>
      <w:bookmarkStart w:id="222" w:name="_Toc98175196"/>
      <w:bookmarkStart w:id="223" w:name="_Toc500229397"/>
      <w:r>
        <w:rPr>
          <w:rStyle w:val="84"/>
          <w:rFonts w:hint="eastAsia" w:hAnsi="宋体" w:cs="宋体"/>
        </w:rPr>
        <w:t>政府采购合同文本</w:t>
      </w:r>
    </w:p>
    <w:p>
      <w:pPr>
        <w:pStyle w:val="37"/>
        <w:jc w:val="center"/>
        <w:rPr>
          <w:rFonts w:hint="eastAsia" w:hAnsi="宋体" w:cs="宋体"/>
          <w:b/>
          <w:sz w:val="96"/>
          <w:szCs w:val="96"/>
        </w:rPr>
      </w:pPr>
    </w:p>
    <w:p>
      <w:pPr>
        <w:pStyle w:val="37"/>
        <w:jc w:val="center"/>
        <w:rPr>
          <w:rFonts w:hint="eastAsia" w:hAnsi="宋体" w:cs="宋体"/>
          <w:b/>
          <w:sz w:val="96"/>
          <w:szCs w:val="96"/>
        </w:rPr>
      </w:pPr>
    </w:p>
    <w:p>
      <w:pPr>
        <w:pStyle w:val="37"/>
        <w:jc w:val="center"/>
        <w:rPr>
          <w:rFonts w:hint="eastAsia" w:hAnsi="宋体" w:cs="宋体"/>
          <w:bCs/>
          <w:sz w:val="32"/>
          <w:szCs w:val="32"/>
        </w:rPr>
      </w:pPr>
      <w:r>
        <w:rPr>
          <w:rFonts w:hint="eastAsia" w:hAnsi="宋体" w:cs="宋体"/>
          <w:bCs/>
          <w:sz w:val="32"/>
          <w:szCs w:val="32"/>
        </w:rPr>
        <w:t>合 同 书</w:t>
      </w:r>
    </w:p>
    <w:p>
      <w:pPr>
        <w:pStyle w:val="37"/>
        <w:jc w:val="center"/>
        <w:rPr>
          <w:rFonts w:hint="eastAsia" w:hAnsi="宋体" w:cs="宋体"/>
          <w:bCs/>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jc w:val="center"/>
        <w:rPr>
          <w:rFonts w:hint="eastAsia" w:ascii="宋体" w:hAnsi="宋体" w:cs="宋体"/>
          <w:sz w:val="32"/>
          <w:szCs w:val="32"/>
        </w:rPr>
      </w:pPr>
    </w:p>
    <w:p>
      <w:pPr>
        <w:tabs>
          <w:tab w:val="left" w:pos="540"/>
          <w:tab w:val="left" w:pos="1080"/>
          <w:tab w:val="left" w:pos="1440"/>
        </w:tabs>
        <w:snapToGrid w:val="0"/>
        <w:ind w:left="1920" w:leftChars="800"/>
        <w:jc w:val="center"/>
        <w:rPr>
          <w:rFonts w:hint="eastAsia" w:ascii="宋体" w:hAnsi="宋体" w:cs="宋体"/>
          <w:sz w:val="32"/>
          <w:szCs w:val="32"/>
        </w:rPr>
      </w:pPr>
    </w:p>
    <w:p>
      <w:pPr>
        <w:tabs>
          <w:tab w:val="left" w:pos="2160"/>
        </w:tabs>
        <w:topLinePunct/>
        <w:autoSpaceDE w:val="0"/>
        <w:autoSpaceDN w:val="0"/>
        <w:snapToGrid w:val="0"/>
        <w:spacing w:line="360" w:lineRule="auto"/>
        <w:ind w:firstLine="960" w:firstLineChars="400"/>
        <w:rPr>
          <w:rFonts w:hint="eastAsia" w:ascii="宋体" w:hAnsi="宋体" w:cs="宋体"/>
          <w:bCs/>
          <w:u w:val="single"/>
        </w:rPr>
      </w:pPr>
      <w:r>
        <w:rPr>
          <w:rFonts w:hint="eastAsia" w:ascii="宋体" w:hAnsi="宋体" w:cs="宋体"/>
          <w:bCs/>
        </w:rPr>
        <w:t>项目名称：</w:t>
      </w:r>
      <w:r>
        <w:rPr>
          <w:rFonts w:hint="eastAsia" w:ascii="宋体" w:hAnsi="宋体" w:cs="宋体"/>
          <w:bCs/>
          <w:u w:val="single"/>
        </w:rPr>
        <w:t>国家税务总局汕头市金平区税务局2025-2027年</w:t>
      </w:r>
    </w:p>
    <w:p>
      <w:pPr>
        <w:tabs>
          <w:tab w:val="left" w:pos="2160"/>
        </w:tabs>
        <w:topLinePunct/>
        <w:autoSpaceDE w:val="0"/>
        <w:autoSpaceDN w:val="0"/>
        <w:snapToGrid w:val="0"/>
        <w:spacing w:line="360" w:lineRule="auto"/>
        <w:ind w:firstLine="2160" w:firstLineChars="900"/>
        <w:rPr>
          <w:rFonts w:hint="eastAsia" w:ascii="宋体" w:hAnsi="宋体" w:cs="宋体"/>
          <w:bCs/>
          <w:u w:val="single"/>
        </w:rPr>
      </w:pPr>
      <w:r>
        <w:rPr>
          <w:rFonts w:hint="eastAsia" w:ascii="宋体" w:hAnsi="宋体" w:cs="宋体"/>
          <w:bCs/>
          <w:u w:val="single"/>
        </w:rPr>
        <w:t>物业管理服务采购项目</w:t>
      </w:r>
    </w:p>
    <w:p>
      <w:pPr>
        <w:tabs>
          <w:tab w:val="left" w:pos="2160"/>
        </w:tabs>
        <w:topLinePunct/>
        <w:autoSpaceDE w:val="0"/>
        <w:autoSpaceDN w:val="0"/>
        <w:snapToGrid w:val="0"/>
        <w:spacing w:line="360" w:lineRule="auto"/>
        <w:ind w:firstLine="960" w:firstLineChars="400"/>
        <w:rPr>
          <w:rFonts w:hint="eastAsia" w:ascii="宋体" w:hAnsi="宋体" w:cs="宋体"/>
          <w:bCs/>
        </w:rPr>
      </w:pPr>
      <w:r>
        <w:rPr>
          <w:rFonts w:hint="eastAsia" w:ascii="宋体" w:hAnsi="宋体" w:cs="宋体"/>
          <w:bCs/>
        </w:rPr>
        <w:t>项目编号：</w:t>
      </w:r>
      <w:r>
        <w:rPr>
          <w:rFonts w:hint="eastAsia" w:ascii="宋体" w:hAnsi="宋体" w:cs="宋体"/>
          <w:bCs/>
          <w:u w:val="single"/>
        </w:rPr>
        <w:t xml:space="preserve">                                         </w:t>
      </w:r>
    </w:p>
    <w:p>
      <w:pPr>
        <w:tabs>
          <w:tab w:val="left" w:pos="540"/>
          <w:tab w:val="left" w:pos="1080"/>
          <w:tab w:val="left" w:pos="1440"/>
        </w:tabs>
        <w:snapToGrid w:val="0"/>
        <w:spacing w:line="360" w:lineRule="auto"/>
        <w:ind w:firstLine="960" w:firstLineChars="400"/>
        <w:rPr>
          <w:rFonts w:hint="eastAsia" w:ascii="宋体" w:hAnsi="宋体" w:cs="宋体"/>
          <w:bCs/>
        </w:rPr>
      </w:pPr>
      <w:r>
        <w:rPr>
          <w:rFonts w:hint="eastAsia" w:ascii="宋体" w:hAnsi="宋体" w:cs="宋体"/>
          <w:bCs/>
        </w:rPr>
        <w:t>合同编号：</w:t>
      </w:r>
      <w:r>
        <w:rPr>
          <w:rFonts w:hint="eastAsia" w:ascii="宋体" w:hAnsi="宋体" w:cs="宋体"/>
          <w:bCs/>
          <w:u w:val="single"/>
        </w:rPr>
        <w:t xml:space="preserve">                                          </w:t>
      </w:r>
    </w:p>
    <w:p>
      <w:pPr>
        <w:tabs>
          <w:tab w:val="left" w:pos="2160"/>
        </w:tabs>
        <w:topLinePunct/>
        <w:autoSpaceDE w:val="0"/>
        <w:autoSpaceDN w:val="0"/>
        <w:snapToGrid w:val="0"/>
        <w:spacing w:line="360" w:lineRule="auto"/>
        <w:ind w:left="3120" w:leftChars="800" w:hanging="1200" w:hangingChars="500"/>
        <w:rPr>
          <w:rFonts w:hint="eastAsia" w:ascii="宋体" w:hAnsi="宋体" w:cs="宋体"/>
          <w:bCs/>
        </w:rPr>
      </w:pPr>
    </w:p>
    <w:p>
      <w:pPr>
        <w:pStyle w:val="37"/>
        <w:spacing w:line="460" w:lineRule="exact"/>
        <w:jc w:val="center"/>
        <w:rPr>
          <w:rFonts w:hint="eastAsia" w:hAnsi="宋体" w:cs="宋体"/>
          <w:bCs/>
          <w:szCs w:val="24"/>
        </w:rPr>
      </w:pPr>
    </w:p>
    <w:p>
      <w:pPr>
        <w:pStyle w:val="37"/>
        <w:spacing w:line="460" w:lineRule="exact"/>
        <w:rPr>
          <w:rFonts w:hint="eastAsia" w:hAnsi="宋体" w:cs="宋体"/>
          <w:bCs/>
          <w:szCs w:val="24"/>
        </w:rPr>
      </w:pPr>
    </w:p>
    <w:p>
      <w:pPr>
        <w:pStyle w:val="37"/>
        <w:spacing w:line="460" w:lineRule="exact"/>
        <w:jc w:val="center"/>
        <w:rPr>
          <w:rFonts w:hint="eastAsia" w:hAnsi="宋体" w:cs="宋体"/>
          <w:bCs/>
          <w:szCs w:val="24"/>
        </w:rPr>
      </w:pPr>
    </w:p>
    <w:p>
      <w:pPr>
        <w:spacing w:line="300" w:lineRule="auto"/>
        <w:ind w:left="960" w:leftChars="400" w:firstLine="840" w:firstLineChars="350"/>
        <w:rPr>
          <w:rFonts w:hint="eastAsia" w:ascii="宋体" w:hAnsi="宋体" w:cs="宋体"/>
          <w:bCs/>
        </w:rPr>
      </w:pPr>
      <w:r>
        <w:rPr>
          <w:rFonts w:hint="eastAsia" w:ascii="宋体" w:hAnsi="宋体" w:cs="宋体"/>
          <w:bCs/>
        </w:rPr>
        <w:t xml:space="preserve">甲    方： </w:t>
      </w:r>
      <w:r>
        <w:rPr>
          <w:rFonts w:hint="eastAsia" w:ascii="宋体" w:hAnsi="宋体" w:cs="宋体"/>
          <w:bCs/>
          <w:u w:val="single"/>
        </w:rPr>
        <w:t>国家税务总局汕头市金平区税务局</w:t>
      </w:r>
    </w:p>
    <w:p>
      <w:pPr>
        <w:spacing w:line="300" w:lineRule="auto"/>
        <w:ind w:left="960" w:leftChars="400" w:firstLine="840" w:firstLineChars="350"/>
        <w:rPr>
          <w:rFonts w:hint="eastAsia" w:ascii="宋体" w:hAnsi="宋体" w:cs="宋体"/>
          <w:bCs/>
          <w:u w:val="single"/>
        </w:rPr>
      </w:pPr>
      <w:r>
        <w:rPr>
          <w:rFonts w:hint="eastAsia" w:ascii="宋体" w:hAnsi="宋体" w:cs="宋体"/>
          <w:bCs/>
        </w:rPr>
        <w:t xml:space="preserve">乙    方： </w:t>
      </w:r>
      <w:r>
        <w:rPr>
          <w:rFonts w:hint="eastAsia" w:ascii="宋体" w:hAnsi="宋体" w:cs="宋体"/>
          <w:bCs/>
          <w:u w:val="single"/>
        </w:rPr>
        <w:t xml:space="preserve">                              </w:t>
      </w:r>
    </w:p>
    <w:p>
      <w:pPr>
        <w:spacing w:line="300" w:lineRule="auto"/>
        <w:jc w:val="center"/>
        <w:rPr>
          <w:rFonts w:hint="eastAsia" w:ascii="宋体" w:hAnsi="宋体" w:cs="宋体"/>
          <w:b/>
          <w:sz w:val="32"/>
          <w:szCs w:val="32"/>
        </w:rPr>
      </w:pPr>
      <w:r>
        <w:rPr>
          <w:rFonts w:hint="eastAsia" w:ascii="宋体" w:hAnsi="宋体" w:cs="宋体"/>
          <w:bCs/>
          <w:u w:val="single"/>
        </w:rPr>
        <w:br w:type="page"/>
      </w:r>
      <w:r>
        <w:rPr>
          <w:rFonts w:hint="eastAsia" w:ascii="宋体" w:hAnsi="宋体" w:cs="宋体"/>
          <w:b/>
          <w:sz w:val="32"/>
          <w:szCs w:val="32"/>
        </w:rPr>
        <w:t>合同条款前附表</w:t>
      </w:r>
    </w:p>
    <w:tbl>
      <w:tblPr>
        <w:tblStyle w:val="79"/>
        <w:tblW w:w="834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778"/>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b/>
              </w:rPr>
            </w:pPr>
            <w:r>
              <w:rPr>
                <w:rFonts w:ascii="Times New Roman" w:hAnsi="Times New Roman"/>
                <w:b/>
              </w:rPr>
              <w:t>序号</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b/>
              </w:rPr>
            </w:pPr>
            <w:r>
              <w:rPr>
                <w:rFonts w:ascii="Times New Roman" w:hAnsi="Times New Roman"/>
                <w:b/>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1</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合同名称</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2</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合同编号</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ascii="Times New Roman" w:hAnsi="Times New Roman"/>
                <w:bCs/>
              </w:rPr>
            </w:pPr>
            <w:r>
              <w:rPr>
                <w:rFonts w:hint="eastAsia"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3</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合同类型</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ascii="Times New Roman" w:hAnsi="Times New Roman"/>
              </w:rPr>
            </w:pPr>
            <w:r>
              <w:rPr>
                <w:rFonts w:hint="eastAsia" w:ascii="Times New Roman" w:hAnsi="Times New Roman"/>
              </w:rPr>
              <w:t>固定总价合同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4</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定价方式</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left"/>
              <w:rPr>
                <w:rFonts w:ascii="Times New Roman" w:hAnsi="Times New Roman"/>
              </w:rPr>
            </w:pPr>
            <w:r>
              <w:rPr>
                <w:rFonts w:hint="eastAsia" w:ascii="Times New Roman" w:hAnsi="Times New Roma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5</w:t>
            </w:r>
          </w:p>
        </w:tc>
        <w:tc>
          <w:tcPr>
            <w:tcW w:w="2187"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甲方名称</w:t>
            </w:r>
          </w:p>
        </w:tc>
        <w:tc>
          <w:tcPr>
            <w:tcW w:w="5501" w:type="dxa"/>
            <w:tcBorders>
              <w:top w:val="single" w:color="auto" w:sz="4" w:space="0"/>
              <w:left w:val="single" w:color="auto" w:sz="6" w:space="0"/>
              <w:bottom w:val="single" w:color="auto" w:sz="6" w:space="0"/>
              <w:right w:val="single" w:color="auto" w:sz="4" w:space="0"/>
            </w:tcBorders>
            <w:vAlign w:val="center"/>
          </w:tcPr>
          <w:p>
            <w:pPr>
              <w:tabs>
                <w:tab w:val="left" w:pos="700"/>
              </w:tabs>
              <w:adjustRightInd w:val="0"/>
              <w:snapToGrid w:val="0"/>
              <w:rPr>
                <w:rFonts w:ascii="Times New Roman" w:hAnsi="Times New Roman"/>
              </w:rPr>
            </w:pPr>
            <w:r>
              <w:rPr>
                <w:rFonts w:hint="eastAsia" w:ascii="Times New Roman" w:hAnsi="Times New Roman"/>
                <w:bCs/>
              </w:rPr>
              <w:t>国家税务总局汕头市金平区税务局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ascii="Times New Roman" w:hAnsi="Times New Roman"/>
              </w:rPr>
            </w:pPr>
          </w:p>
        </w:tc>
        <w:tc>
          <w:tcPr>
            <w:tcW w:w="2187"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甲方地址</w:t>
            </w:r>
          </w:p>
        </w:tc>
        <w:tc>
          <w:tcPr>
            <w:tcW w:w="5501"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ascii="Times New Roman" w:hAnsi="Times New Roman"/>
              </w:rPr>
            </w:pPr>
            <w:r>
              <w:rPr>
                <w:rFonts w:hint="eastAsia" w:ascii="Times New Roman" w:hAnsi="Times New Roman"/>
              </w:rPr>
              <w:t>广东省汕头市金砂中路56号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ascii="Times New Roman" w:hAnsi="Times New Roman"/>
              </w:rPr>
            </w:pPr>
          </w:p>
        </w:tc>
        <w:tc>
          <w:tcPr>
            <w:tcW w:w="409" w:type="dxa"/>
            <w:vMerge w:val="restart"/>
            <w:tcBorders>
              <w:top w:val="single" w:color="auto" w:sz="6" w:space="0"/>
              <w:left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甲方相关部门</w:t>
            </w:r>
          </w:p>
        </w:tc>
        <w:tc>
          <w:tcPr>
            <w:tcW w:w="1778"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甲方采购部门</w:t>
            </w:r>
          </w:p>
        </w:tc>
        <w:tc>
          <w:tcPr>
            <w:tcW w:w="5501"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ascii="Times New Roman" w:hAnsi="Times New Roman"/>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ascii="Times New Roman" w:hAnsi="Times New Roman"/>
              </w:rPr>
            </w:pPr>
          </w:p>
        </w:tc>
        <w:tc>
          <w:tcPr>
            <w:tcW w:w="1778" w:type="dxa"/>
            <w:tcBorders>
              <w:top w:val="single" w:color="auto" w:sz="6" w:space="0"/>
              <w:left w:val="single" w:color="auto" w:sz="4" w:space="0"/>
              <w:bottom w:val="single" w:color="auto" w:sz="6"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联系人</w:t>
            </w:r>
          </w:p>
        </w:tc>
        <w:tc>
          <w:tcPr>
            <w:tcW w:w="5501" w:type="dxa"/>
            <w:tcBorders>
              <w:top w:val="single" w:color="auto" w:sz="6" w:space="0"/>
              <w:left w:val="single" w:color="auto" w:sz="6" w:space="0"/>
              <w:bottom w:val="single" w:color="auto" w:sz="6"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ascii="Times New Roman" w:hAnsi="Times New Roman"/>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ascii="Times New Roman" w:hAnsi="Times New Roman"/>
              </w:rPr>
            </w:pPr>
          </w:p>
        </w:tc>
        <w:tc>
          <w:tcPr>
            <w:tcW w:w="1778"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联系电话</w:t>
            </w:r>
          </w:p>
        </w:tc>
        <w:tc>
          <w:tcPr>
            <w:tcW w:w="5501"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ascii="Times New Roman" w:hAnsi="Times New Roman"/>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ascii="Times New Roman" w:hAnsi="Times New Roman"/>
              </w:rPr>
            </w:pPr>
          </w:p>
        </w:tc>
        <w:tc>
          <w:tcPr>
            <w:tcW w:w="1778"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甲方需求部门</w:t>
            </w:r>
          </w:p>
        </w:tc>
        <w:tc>
          <w:tcPr>
            <w:tcW w:w="5501"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vAlign w:val="center"/>
          </w:tcPr>
          <w:p>
            <w:pPr>
              <w:widowControl/>
              <w:adjustRightInd w:val="0"/>
              <w:snapToGrid w:val="0"/>
              <w:rPr>
                <w:rFonts w:ascii="Times New Roman" w:hAnsi="Times New Roman"/>
              </w:rPr>
            </w:pPr>
          </w:p>
        </w:tc>
        <w:tc>
          <w:tcPr>
            <w:tcW w:w="409" w:type="dxa"/>
            <w:vMerge w:val="continue"/>
            <w:tcBorders>
              <w:left w:val="single" w:color="auto" w:sz="4" w:space="0"/>
              <w:right w:val="single" w:color="auto" w:sz="4" w:space="0"/>
            </w:tcBorders>
            <w:vAlign w:val="center"/>
          </w:tcPr>
          <w:p>
            <w:pPr>
              <w:tabs>
                <w:tab w:val="left" w:pos="700"/>
              </w:tabs>
              <w:adjustRightInd w:val="0"/>
              <w:snapToGrid w:val="0"/>
              <w:jc w:val="center"/>
              <w:rPr>
                <w:rFonts w:ascii="Times New Roman" w:hAnsi="Times New Roman"/>
              </w:rPr>
            </w:pPr>
          </w:p>
        </w:tc>
        <w:tc>
          <w:tcPr>
            <w:tcW w:w="1778"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联系人</w:t>
            </w:r>
          </w:p>
        </w:tc>
        <w:tc>
          <w:tcPr>
            <w:tcW w:w="5501"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rPr>
            </w:pPr>
          </w:p>
        </w:tc>
        <w:tc>
          <w:tcPr>
            <w:tcW w:w="409" w:type="dxa"/>
            <w:vMerge w:val="continue"/>
            <w:tcBorders>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p>
        </w:tc>
        <w:tc>
          <w:tcPr>
            <w:tcW w:w="1778" w:type="dxa"/>
            <w:tcBorders>
              <w:top w:val="single" w:color="auto" w:sz="6" w:space="0"/>
              <w:left w:val="single" w:color="auto" w:sz="4" w:space="0"/>
              <w:bottom w:val="single" w:color="auto" w:sz="4" w:space="0"/>
              <w:right w:val="single" w:color="auto" w:sz="6" w:space="0"/>
            </w:tcBorders>
            <w:vAlign w:val="center"/>
          </w:tcPr>
          <w:p>
            <w:pPr>
              <w:tabs>
                <w:tab w:val="left" w:pos="700"/>
              </w:tabs>
              <w:adjustRightInd w:val="0"/>
              <w:snapToGrid w:val="0"/>
              <w:jc w:val="center"/>
              <w:rPr>
                <w:rFonts w:ascii="Times New Roman" w:hAnsi="Times New Roman"/>
              </w:rPr>
            </w:pPr>
            <w:r>
              <w:rPr>
                <w:rFonts w:ascii="Times New Roman" w:hAnsi="Times New Roman"/>
              </w:rPr>
              <w:t>联系电话</w:t>
            </w:r>
          </w:p>
        </w:tc>
        <w:tc>
          <w:tcPr>
            <w:tcW w:w="5501" w:type="dxa"/>
            <w:tcBorders>
              <w:top w:val="single" w:color="auto" w:sz="6" w:space="0"/>
              <w:left w:val="single" w:color="auto" w:sz="6"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6</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乙方名称</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rPr>
            </w:pP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乙方企业性质</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ascii="Times New Roman" w:hAnsi="Times New Roman"/>
              </w:rPr>
              <w:sym w:font="Wingdings 2" w:char="00A3"/>
            </w:r>
            <w:r>
              <w:rPr>
                <w:rFonts w:ascii="Times New Roman" w:hAnsi="Times New Roman"/>
              </w:rPr>
              <w:t xml:space="preserve"> 中型企业    </w:t>
            </w:r>
            <w:r>
              <w:rPr>
                <w:rFonts w:ascii="Times New Roman" w:hAnsi="Times New Roman"/>
              </w:rPr>
              <w:sym w:font="Wingdings 2" w:char="00A3"/>
            </w:r>
            <w:r>
              <w:rPr>
                <w:rFonts w:ascii="Times New Roman" w:hAnsi="Times New Roman"/>
              </w:rPr>
              <w:t xml:space="preserve"> 小型企业       </w:t>
            </w:r>
            <w:r>
              <w:rPr>
                <w:rFonts w:ascii="Times New Roman" w:hAnsi="Times New Roman"/>
              </w:rPr>
              <w:sym w:font="Wingdings 2" w:char="00A3"/>
            </w:r>
            <w:r>
              <w:rPr>
                <w:rFonts w:ascii="Times New Roman" w:hAnsi="Times New Roman"/>
              </w:rPr>
              <w:t xml:space="preserve"> 微型企业    </w:t>
            </w:r>
          </w:p>
          <w:p>
            <w:pPr>
              <w:tabs>
                <w:tab w:val="left" w:pos="700"/>
              </w:tabs>
              <w:adjustRightInd w:val="0"/>
              <w:snapToGrid w:val="0"/>
              <w:rPr>
                <w:rFonts w:ascii="Times New Roman" w:hAnsi="Times New Roman"/>
              </w:rPr>
            </w:pPr>
            <w:r>
              <w:rPr>
                <w:rFonts w:ascii="Times New Roman" w:hAnsi="Times New Roman"/>
              </w:rPr>
              <w:sym w:font="Wingdings 2" w:char="00A3"/>
            </w:r>
            <w:r>
              <w:rPr>
                <w:rFonts w:ascii="Times New Roman" w:hAnsi="Times New Roman"/>
              </w:rPr>
              <w:t xml:space="preserve"> 监狱企业    </w:t>
            </w:r>
            <w:r>
              <w:rPr>
                <w:rFonts w:ascii="Times New Roman" w:hAnsi="Times New Roman"/>
              </w:rPr>
              <w:sym w:font="Wingdings 2" w:char="00A3"/>
            </w:r>
            <w:r>
              <w:rPr>
                <w:rFonts w:ascii="Times New Roman" w:hAnsi="Times New Roman"/>
              </w:rPr>
              <w:t xml:space="preserve"> 残疾人福利性单位  </w:t>
            </w:r>
            <w:r>
              <w:rPr>
                <w:rFonts w:ascii="Times New Roman" w:hAnsi="Times New Roman"/>
              </w:rPr>
              <w:sym w:font="Wingdings 2" w:char="00A3"/>
            </w:r>
            <w:r>
              <w:rPr>
                <w:rFonts w:ascii="Times New Roman" w:hAnsi="Times New Roma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rPr>
            </w:pP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乙方地址</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rPr>
            </w:pP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hint="eastAsia" w:ascii="Times New Roman" w:hAnsi="Times New Roman"/>
              </w:rPr>
              <w:t>乙方法人代表</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rPr>
            </w:pP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乙方联系人</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rPr>
            </w:pP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联系电话</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rPr>
            </w:pP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传真</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7</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合同金额</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ascii="Times New Roman" w:hAnsi="Times New Roman"/>
              </w:rPr>
              <w:t>人民币</w:t>
            </w:r>
            <w:r>
              <w:rPr>
                <w:rFonts w:ascii="Times New Roman" w:hAnsi="Times New Roman"/>
                <w:lang w:bidi="ar"/>
              </w:rPr>
              <w:t xml:space="preserve">       元整</w:t>
            </w:r>
            <w:r>
              <w:rPr>
                <w:rFonts w:ascii="Times New Roman" w:hAnsi="Times New Roman"/>
              </w:rPr>
              <w:t>（¥</w:t>
            </w:r>
            <w:r>
              <w:rPr>
                <w:rFonts w:hint="eastAsia" w:ascii="Times New Roman" w:hAnsi="Times New Roman"/>
              </w:rPr>
              <w:t xml:space="preserve">      </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8</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服务内容</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ascii="Times New Roman" w:hAnsi="Times New Roman"/>
                <w:szCs w:val="24"/>
              </w:rPr>
              <w:t>提供以下物业管理服务项目：1.基本服务；2.公用设施设备维护服务；3.保洁服务；4.绿化服务；5.保安服务；6.会议服务。详见项目需求书。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6"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9</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合同付款</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hint="eastAsia" w:ascii="Times New Roman" w:hAnsi="Times New Roman"/>
              </w:rPr>
              <w:t>合同以人民币结算，付款方式：</w:t>
            </w:r>
          </w:p>
          <w:p>
            <w:pPr>
              <w:tabs>
                <w:tab w:val="left" w:pos="700"/>
              </w:tabs>
              <w:adjustRightInd w:val="0"/>
              <w:snapToGrid w:val="0"/>
              <w:rPr>
                <w:rFonts w:ascii="Times New Roman" w:hAnsi="Times New Roman"/>
              </w:rPr>
            </w:pPr>
            <w:r>
              <w:rPr>
                <w:rFonts w:hint="eastAsia" w:ascii="Times New Roman" w:hAnsi="Times New Roman"/>
              </w:rPr>
              <w:t>1.结算周期为1个月。期间乙方履行了服务承诺并通过考核验收，提供了有效发票等必要资料。满足合同约定支付条件的，甲方原则上应当自收到发票后10个工作日内将资金支付到合同约定的乙方账户，双方另有争议除外。</w:t>
            </w:r>
          </w:p>
          <w:p>
            <w:pPr>
              <w:tabs>
                <w:tab w:val="left" w:pos="700"/>
              </w:tabs>
              <w:adjustRightInd w:val="0"/>
              <w:snapToGrid w:val="0"/>
              <w:rPr>
                <w:rFonts w:ascii="Times New Roman" w:hAnsi="Times New Roman"/>
              </w:rPr>
            </w:pPr>
            <w:r>
              <w:rPr>
                <w:rFonts w:hint="eastAsia" w:ascii="Times New Roman" w:hAnsi="Times New Roman"/>
              </w:rPr>
              <w:t>2.因乙方未能按要求及时提供资料造成的延迟支付，甲方不承担任何责任。</w:t>
            </w:r>
          </w:p>
          <w:p>
            <w:pPr>
              <w:tabs>
                <w:tab w:val="left" w:pos="700"/>
              </w:tabs>
              <w:adjustRightInd w:val="0"/>
              <w:snapToGrid w:val="0"/>
              <w:rPr>
                <w:rFonts w:ascii="Times New Roman" w:hAnsi="Times New Roman"/>
              </w:rPr>
            </w:pPr>
            <w:r>
              <w:rPr>
                <w:rFonts w:hint="eastAsia" w:ascii="Times New Roman" w:hAnsi="Times New Roman"/>
              </w:rPr>
              <w:t>3.合同执行期间，经双方协商同意增加或减少服务内容，根据乙方投标时提供的《分项报价表》的标准，重新结算。在不改变合同其他条款的前提下，追加采购的金额不得超过原合同书采购金额的百分之十。</w:t>
            </w:r>
          </w:p>
          <w:p>
            <w:pPr>
              <w:tabs>
                <w:tab w:val="left" w:pos="700"/>
              </w:tabs>
              <w:adjustRightInd w:val="0"/>
              <w:snapToGrid w:val="0"/>
              <w:rPr>
                <w:rFonts w:ascii="Times New Roman" w:hAnsi="Times New Roman"/>
              </w:rPr>
            </w:pPr>
            <w:r>
              <w:rPr>
                <w:rFonts w:hint="eastAsia" w:ascii="Times New Roman" w:hAnsi="Times New Roman"/>
              </w:rPr>
              <w:t>4.乙方账户信息</w:t>
            </w:r>
          </w:p>
          <w:p>
            <w:pPr>
              <w:tabs>
                <w:tab w:val="left" w:pos="700"/>
              </w:tabs>
              <w:adjustRightInd w:val="0"/>
              <w:snapToGrid w:val="0"/>
              <w:rPr>
                <w:rFonts w:ascii="Times New Roman" w:hAnsi="Times New Roman"/>
              </w:rPr>
            </w:pPr>
            <w:r>
              <w:rPr>
                <w:rFonts w:hint="eastAsia" w:ascii="Times New Roman" w:hAnsi="Times New Roman"/>
              </w:rPr>
              <w:t>收款单位：</w:t>
            </w:r>
          </w:p>
          <w:p>
            <w:pPr>
              <w:tabs>
                <w:tab w:val="left" w:pos="700"/>
              </w:tabs>
              <w:adjustRightInd w:val="0"/>
              <w:snapToGrid w:val="0"/>
              <w:rPr>
                <w:rFonts w:ascii="Times New Roman" w:hAnsi="Times New Roman"/>
              </w:rPr>
            </w:pPr>
            <w:r>
              <w:rPr>
                <w:rFonts w:hint="eastAsia" w:ascii="Times New Roman" w:hAnsi="Times New Roman"/>
              </w:rPr>
              <w:t>银行账户：</w:t>
            </w:r>
          </w:p>
          <w:p>
            <w:pPr>
              <w:tabs>
                <w:tab w:val="left" w:pos="700"/>
              </w:tabs>
              <w:adjustRightInd w:val="0"/>
              <w:snapToGrid w:val="0"/>
              <w:rPr>
                <w:szCs w:val="28"/>
              </w:rPr>
            </w:pPr>
            <w:r>
              <w:rPr>
                <w:rFonts w:hint="eastAsia" w:ascii="Times New Roman" w:hAnsi="Times New Roman"/>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10</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履约保证金及返还</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hint="eastAsia" w:ascii="宋体" w:hAnsi="宋体" w:cs="宋体"/>
                <w:szCs w:val="21"/>
              </w:rPr>
              <w:t>☑</w:t>
            </w:r>
            <w:r>
              <w:rPr>
                <w:rFonts w:ascii="Times New Roman" w:hAnsi="Times New Roman"/>
              </w:rPr>
              <w:t>本项目不要求提供履约保证金。</w:t>
            </w:r>
          </w:p>
          <w:p>
            <w:pPr>
              <w:tabs>
                <w:tab w:val="left" w:pos="700"/>
              </w:tabs>
              <w:adjustRightInd w:val="0"/>
              <w:snapToGrid w:val="0"/>
              <w:rPr>
                <w:rFonts w:ascii="Times New Roman" w:hAnsi="Times New Roman"/>
              </w:rPr>
            </w:pPr>
            <w:r>
              <w:rPr>
                <w:rFonts w:ascii="Times New Roman" w:hAnsi="Times New Roman"/>
              </w:rPr>
              <w:t>□本项目要求提供履约保证金。履约保证金为合同总金额的</w:t>
            </w:r>
            <w:r>
              <w:rPr>
                <w:rFonts w:ascii="Times New Roman" w:hAnsi="Times New Roman"/>
                <w:u w:val="single"/>
              </w:rPr>
              <w:t xml:space="preserve">   </w:t>
            </w:r>
            <w:r>
              <w:rPr>
                <w:rFonts w:ascii="Times New Roman" w:hAnsi="Times New Roman"/>
              </w:rPr>
              <w:t>%，即人民币</w:t>
            </w:r>
            <w:r>
              <w:rPr>
                <w:rFonts w:ascii="Times New Roman" w:hAnsi="Times New Roman"/>
                <w:u w:val="single"/>
                <w:lang w:val="en"/>
              </w:rPr>
              <w:t xml:space="preserve">    </w:t>
            </w:r>
            <w:r>
              <w:rPr>
                <w:rFonts w:ascii="Times New Roman" w:hAnsi="Times New Roman"/>
                <w:u w:val="single"/>
              </w:rPr>
              <w:t xml:space="preserve">  </w:t>
            </w:r>
            <w:r>
              <w:rPr>
                <w:rFonts w:ascii="Times New Roman" w:hAnsi="Times New Roman"/>
                <w:u w:val="single"/>
                <w:lang w:val="en"/>
              </w:rPr>
              <w:t xml:space="preserve"> </w:t>
            </w:r>
            <w:r>
              <w:rPr>
                <w:rFonts w:ascii="Times New Roman" w:hAnsi="Times New Roman"/>
                <w:lang w:val="en"/>
              </w:rPr>
              <w:t>元</w:t>
            </w:r>
            <w:r>
              <w:rPr>
                <w:rFonts w:ascii="Times New Roman" w:hAnsi="Times New Roman"/>
              </w:rPr>
              <w:t>整（¥</w:t>
            </w:r>
            <w:r>
              <w:rPr>
                <w:rFonts w:ascii="Times New Roman" w:hAnsi="Times New Roman"/>
                <w:u w:val="single"/>
                <w:lang w:val="en"/>
              </w:rPr>
              <w:t xml:space="preserve">     </w:t>
            </w:r>
            <w:r>
              <w:rPr>
                <w:rFonts w:ascii="Times New Roman" w:hAnsi="Times New Roman"/>
                <w:u w:val="single"/>
              </w:rPr>
              <w:t xml:space="preserve"> </w:t>
            </w:r>
            <w:r>
              <w:rPr>
                <w:rFonts w:ascii="Times New Roman" w:hAnsi="Times New Roman"/>
                <w:u w:val="single"/>
                <w:lang w:val="en"/>
              </w:rPr>
              <w:t xml:space="preserve"> </w:t>
            </w:r>
            <w:r>
              <w:rPr>
                <w:rFonts w:ascii="Times New Roman" w:hAnsi="Times New Roman"/>
              </w:rPr>
              <w:t>），乙方应在合同签订之日起 30 日内提交甲方。提交方式为银行电汇、金融机构或担保机构出具的保函。在合同履行期满，扣除应扣除的款项（如有）且双方无争议后，无息返还。</w:t>
            </w:r>
          </w:p>
          <w:p>
            <w:pPr>
              <w:tabs>
                <w:tab w:val="left" w:pos="700"/>
              </w:tabs>
              <w:adjustRightInd w:val="0"/>
              <w:snapToGrid w:val="0"/>
              <w:ind w:firstLine="480" w:firstLineChars="200"/>
              <w:rPr>
                <w:rFonts w:ascii="Times New Roman" w:hAnsi="Times New Roman"/>
              </w:rPr>
            </w:pPr>
            <w:r>
              <w:rPr>
                <w:rFonts w:ascii="Times New Roman" w:hAnsi="Times New Roman"/>
              </w:rPr>
              <w:t>办理返还履约保证金时，乙方应提供履约保证金返还申请（格式另附）、合同或合同关键页复印件、合同约定的其他资料。涉及验收的，应同时提交甲方需求部门出具的项目终验意见或质量保证期（服务期）满验收意见。</w:t>
            </w:r>
          </w:p>
          <w:p>
            <w:pPr>
              <w:tabs>
                <w:tab w:val="left" w:pos="700"/>
              </w:tabs>
              <w:adjustRightInd w:val="0"/>
              <w:snapToGrid w:val="0"/>
              <w:ind w:firstLine="480" w:firstLineChars="200"/>
              <w:rPr>
                <w:rFonts w:ascii="Times New Roman" w:hAnsi="Times New Roman"/>
              </w:rPr>
            </w:pPr>
            <w:r>
              <w:rPr>
                <w:rFonts w:ascii="Times New Roman" w:hAnsi="Times New Roman"/>
              </w:rPr>
              <w:t>满足履约保证金返还条件的，甲方在收到返还相关信息等合同约定资料后，进行核实。对核实结果无异议的，自完成核实之日起30日内，以</w:t>
            </w:r>
            <w:r>
              <w:rPr>
                <w:rFonts w:ascii="Times New Roman" w:hAnsi="Times New Roman"/>
                <w:u w:val="single"/>
              </w:rPr>
              <w:t xml:space="preserve">      </w:t>
            </w:r>
            <w:r>
              <w:rPr>
                <w:rFonts w:ascii="Times New Roman" w:hAnsi="Times New Roman"/>
              </w:rPr>
              <w:t>方式返还履约保证金或退回保函。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11</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合同履行期限</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ascii="Times New Roman" w:hAnsi="Times New Roman"/>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12</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lang w:val="en"/>
              </w:rPr>
            </w:pPr>
            <w:r>
              <w:rPr>
                <w:rFonts w:hint="eastAsia" w:ascii="Times New Roman" w:hAnsi="Times New Roman"/>
              </w:rPr>
              <w:t>合同</w:t>
            </w:r>
            <w:r>
              <w:rPr>
                <w:rFonts w:ascii="Times New Roman" w:hAnsi="Times New Roman"/>
              </w:rPr>
              <w:t>服务期</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日至</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年</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月</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p>
          <w:p>
            <w:pPr>
              <w:tabs>
                <w:tab w:val="left" w:pos="700"/>
              </w:tabs>
              <w:adjustRightInd w:val="0"/>
              <w:snapToGrid w:val="0"/>
              <w:rPr>
                <w:rFonts w:ascii="Times New Roman" w:hAnsi="Times New Roman"/>
              </w:rPr>
            </w:pPr>
            <w:r>
              <w:rPr>
                <w:rFonts w:hint="eastAsia" w:ascii="Times New Roman" w:hAnsi="Times New Roman"/>
              </w:rPr>
              <w:t>合同服务期第1个月为试用期，如试用期内考核不合格，甲方可立即终止合同。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13</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合同履约地点</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hint="eastAsia" w:ascii="Times New Roman" w:hAnsi="Times New Roman"/>
              </w:rPr>
              <w:t>1.金平区税务局区局办公</w:t>
            </w:r>
            <w:r>
              <w:rPr>
                <w:rFonts w:hint="eastAsia" w:ascii="Times New Roman" w:hAnsi="Times New Roman"/>
                <w:lang w:eastAsia="zh-CN"/>
              </w:rPr>
              <w:t>区</w:t>
            </w:r>
            <w:r>
              <w:rPr>
                <w:rFonts w:hint="eastAsia" w:ascii="Times New Roman" w:hAnsi="Times New Roman"/>
              </w:rPr>
              <w:t>，位于汕头市金平区金砂路56号；</w:t>
            </w:r>
          </w:p>
          <w:p>
            <w:pPr>
              <w:tabs>
                <w:tab w:val="left" w:pos="700"/>
              </w:tabs>
              <w:adjustRightInd w:val="0"/>
              <w:snapToGrid w:val="0"/>
              <w:rPr>
                <w:rFonts w:ascii="Times New Roman" w:hAnsi="Times New Roman"/>
              </w:rPr>
            </w:pPr>
            <w:r>
              <w:rPr>
                <w:rFonts w:hint="eastAsia" w:ascii="Times New Roman" w:hAnsi="Times New Roman"/>
              </w:rPr>
              <w:t>2.金平区税务局</w:t>
            </w:r>
            <w:r>
              <w:rPr>
                <w:rFonts w:ascii="Times New Roman" w:hAnsi="Times New Roman"/>
              </w:rPr>
              <w:t>新厦</w:t>
            </w:r>
            <w:r>
              <w:rPr>
                <w:rFonts w:hint="eastAsia" w:ascii="Times New Roman" w:hAnsi="Times New Roman"/>
                <w:lang w:eastAsia="zh-CN"/>
              </w:rPr>
              <w:t>路</w:t>
            </w:r>
            <w:r>
              <w:rPr>
                <w:rFonts w:ascii="Times New Roman" w:hAnsi="Times New Roman"/>
              </w:rPr>
              <w:t>办公</w:t>
            </w:r>
            <w:r>
              <w:rPr>
                <w:rFonts w:hint="eastAsia" w:ascii="Times New Roman" w:hAnsi="Times New Roman"/>
              </w:rPr>
              <w:t>区，位于汕头市金平区新厦路13号；</w:t>
            </w:r>
          </w:p>
          <w:p>
            <w:pPr>
              <w:tabs>
                <w:tab w:val="left" w:pos="700"/>
              </w:tabs>
              <w:adjustRightInd w:val="0"/>
              <w:snapToGrid w:val="0"/>
              <w:rPr>
                <w:rFonts w:ascii="Times New Roman" w:hAnsi="Times New Roman"/>
              </w:rPr>
            </w:pPr>
            <w:r>
              <w:rPr>
                <w:rFonts w:hint="eastAsia" w:ascii="Times New Roman" w:hAnsi="Times New Roman"/>
              </w:rPr>
              <w:t>3.金平区税务局同益税务分局</w:t>
            </w:r>
            <w:r>
              <w:rPr>
                <w:rFonts w:hint="eastAsia" w:ascii="Times New Roman" w:hAnsi="Times New Roman"/>
                <w:lang w:eastAsia="zh-CN"/>
              </w:rPr>
              <w:t>办公区</w:t>
            </w:r>
            <w:r>
              <w:rPr>
                <w:rFonts w:hint="eastAsia" w:ascii="Times New Roman" w:hAnsi="Times New Roman"/>
              </w:rPr>
              <w:t>，位于汕头市金平区福平路4号；</w:t>
            </w:r>
          </w:p>
          <w:p>
            <w:pPr>
              <w:tabs>
                <w:tab w:val="left" w:pos="700"/>
              </w:tabs>
              <w:adjustRightInd w:val="0"/>
              <w:snapToGrid w:val="0"/>
              <w:rPr>
                <w:rFonts w:ascii="Times New Roman" w:hAnsi="Times New Roman"/>
              </w:rPr>
            </w:pPr>
            <w:r>
              <w:rPr>
                <w:rFonts w:hint="eastAsia" w:ascii="Times New Roman" w:hAnsi="Times New Roman"/>
              </w:rPr>
              <w:t>4.金平区税务局鮀江税务分局</w:t>
            </w:r>
            <w:r>
              <w:rPr>
                <w:rFonts w:hint="eastAsia" w:ascii="Times New Roman" w:hAnsi="Times New Roman"/>
                <w:lang w:eastAsia="zh-CN"/>
              </w:rPr>
              <w:t>办公区</w:t>
            </w:r>
            <w:r>
              <w:rPr>
                <w:rFonts w:hint="eastAsia" w:ascii="Times New Roman" w:hAnsi="Times New Roman"/>
              </w:rPr>
              <w:t>，位于汕头市金平区鮀中路3号。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14</w:t>
            </w:r>
          </w:p>
        </w:tc>
        <w:tc>
          <w:tcPr>
            <w:tcW w:w="2187"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Times New Roman" w:hAnsi="Times New Roman"/>
              </w:rPr>
            </w:pPr>
            <w:r>
              <w:rPr>
                <w:rFonts w:ascii="Times New Roman" w:hAnsi="Times New Roman"/>
              </w:rPr>
              <w:t>合同纠纷解决方式</w:t>
            </w:r>
          </w:p>
        </w:tc>
        <w:tc>
          <w:tcPr>
            <w:tcW w:w="5501"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Times New Roman" w:hAnsi="Times New Roman"/>
              </w:rPr>
            </w:pPr>
            <w:r>
              <w:rPr>
                <w:rFonts w:ascii="Times New Roman" w:hAnsi="Times New Roman"/>
              </w:rPr>
              <w:t>甲乙双方应首先通过友好协商解决在执行本合同中所发生的或与本合同有关的一切</w:t>
            </w:r>
            <w:r>
              <w:rPr>
                <w:rFonts w:hint="eastAsia" w:ascii="Times New Roman" w:hAnsi="Times New Roman"/>
              </w:rPr>
              <w:t>争议</w:t>
            </w:r>
            <w:r>
              <w:rPr>
                <w:rFonts w:ascii="Times New Roman" w:hAnsi="Times New Roman"/>
              </w:rPr>
              <w:t>。如从协商开始</w:t>
            </w:r>
            <w:r>
              <w:rPr>
                <w:rFonts w:hint="eastAsia" w:ascii="Times New Roman" w:hAnsi="Times New Roman"/>
                <w:u w:val="single"/>
              </w:rPr>
              <w:t>30</w:t>
            </w:r>
            <w:r>
              <w:rPr>
                <w:rFonts w:ascii="Times New Roman" w:hAnsi="Times New Roman"/>
                <w:u w:val="single"/>
              </w:rPr>
              <w:t xml:space="preserve"> </w:t>
            </w:r>
            <w:r>
              <w:rPr>
                <w:rFonts w:ascii="Times New Roman" w:hAnsi="Times New Roman"/>
              </w:rPr>
              <w:t>天内仍不能解决，可以选择以下途径之一解决纠纷：</w:t>
            </w:r>
          </w:p>
          <w:p>
            <w:pPr>
              <w:tabs>
                <w:tab w:val="left" w:pos="700"/>
              </w:tabs>
              <w:adjustRightInd w:val="0"/>
              <w:snapToGrid w:val="0"/>
              <w:rPr>
                <w:rFonts w:ascii="Times New Roman" w:hAnsi="Times New Roman"/>
              </w:rPr>
            </w:pPr>
            <w:r>
              <w:rPr>
                <w:rFonts w:hint="eastAsia" w:ascii="宋体" w:hAnsi="宋体" w:cs="宋体"/>
                <w:szCs w:val="21"/>
              </w:rPr>
              <w:t>☑</w:t>
            </w:r>
            <w:r>
              <w:rPr>
                <w:rFonts w:ascii="Times New Roman" w:hAnsi="Times New Roman"/>
              </w:rPr>
              <w:t>向</w:t>
            </w:r>
            <w:r>
              <w:rPr>
                <w:rFonts w:ascii="Times New Roman" w:hAnsi="Times New Roman"/>
                <w:u w:val="single"/>
              </w:rPr>
              <w:t xml:space="preserve"> </w:t>
            </w:r>
            <w:r>
              <w:rPr>
                <w:rFonts w:hint="eastAsia" w:ascii="Times New Roman" w:hAnsi="Times New Roman"/>
                <w:u w:val="single"/>
              </w:rPr>
              <w:t>汕头</w:t>
            </w:r>
            <w:r>
              <w:rPr>
                <w:rFonts w:ascii="Times New Roman" w:hAnsi="Times New Roman"/>
                <w:u w:val="single"/>
              </w:rPr>
              <w:t xml:space="preserve"> </w:t>
            </w:r>
            <w:r>
              <w:rPr>
                <w:rFonts w:ascii="Times New Roman" w:hAnsi="Times New Roman"/>
              </w:rPr>
              <w:t>仲裁委员会申请仲裁</w:t>
            </w:r>
          </w:p>
          <w:p>
            <w:pPr>
              <w:tabs>
                <w:tab w:val="left" w:pos="700"/>
              </w:tabs>
              <w:adjustRightInd w:val="0"/>
              <w:snapToGrid w:val="0"/>
              <w:rPr>
                <w:rFonts w:ascii="Times New Roman" w:hAnsi="Times New Roman"/>
              </w:rPr>
            </w:pPr>
            <w:r>
              <w:rPr>
                <w:rFonts w:ascii="Times New Roman" w:hAnsi="Times New Roman"/>
              </w:rPr>
              <w:t>□向甲方所在地人民法院或</w:t>
            </w:r>
            <w:r>
              <w:rPr>
                <w:rFonts w:ascii="Times New Roman" w:hAnsi="Times New Roman"/>
                <w:u w:val="single"/>
              </w:rPr>
              <w:t xml:space="preserve">        </w:t>
            </w:r>
            <w:r>
              <w:rPr>
                <w:rFonts w:ascii="Times New Roman" w:hAnsi="Times New Roman"/>
              </w:rPr>
              <w:t>人民法院提起诉讼</w:t>
            </w:r>
          </w:p>
        </w:tc>
      </w:tr>
    </w:tbl>
    <w:p>
      <w:pPr>
        <w:tabs>
          <w:tab w:val="left" w:pos="700"/>
        </w:tabs>
        <w:topLinePunct/>
        <w:autoSpaceDE w:val="0"/>
        <w:autoSpaceDN w:val="0"/>
        <w:spacing w:line="460" w:lineRule="exact"/>
        <w:rPr>
          <w:rFonts w:hint="eastAsia" w:ascii="宋体" w:hAnsi="宋体" w:cs="宋体"/>
          <w:b/>
          <w:sz w:val="32"/>
          <w:szCs w:val="28"/>
        </w:rPr>
      </w:pPr>
      <w:r>
        <w:rPr>
          <w:rFonts w:hint="eastAsia" w:ascii="宋体" w:hAnsi="宋体" w:cs="宋体"/>
          <w:b/>
          <w:sz w:val="36"/>
          <w:szCs w:val="28"/>
        </w:rPr>
        <w:br w:type="page"/>
      </w:r>
    </w:p>
    <w:p>
      <w:pPr>
        <w:tabs>
          <w:tab w:val="left" w:pos="0"/>
        </w:tabs>
        <w:topLinePunct/>
        <w:autoSpaceDE w:val="0"/>
        <w:autoSpaceDN w:val="0"/>
        <w:spacing w:line="360" w:lineRule="auto"/>
        <w:jc w:val="center"/>
        <w:rPr>
          <w:rFonts w:hint="eastAsia" w:ascii="宋体" w:hAnsi="宋体" w:cs="宋体"/>
          <w:b/>
          <w:sz w:val="32"/>
          <w:szCs w:val="28"/>
        </w:rPr>
      </w:pPr>
      <w:r>
        <w:rPr>
          <w:rFonts w:hint="eastAsia" w:ascii="宋体" w:hAnsi="宋体" w:cs="宋体"/>
          <w:b/>
          <w:sz w:val="32"/>
          <w:szCs w:val="28"/>
        </w:rPr>
        <w:t xml:space="preserve">一   合  同 </w:t>
      </w:r>
    </w:p>
    <w:p>
      <w:pPr>
        <w:tabs>
          <w:tab w:val="left" w:pos="540"/>
        </w:tabs>
        <w:topLinePunct/>
        <w:autoSpaceDE w:val="0"/>
        <w:autoSpaceDN w:val="0"/>
        <w:spacing w:line="460" w:lineRule="exact"/>
        <w:rPr>
          <w:rFonts w:hint="eastAsia" w:ascii="宋体" w:hAnsi="宋体" w:cs="宋体"/>
          <w:b/>
          <w:sz w:val="32"/>
          <w:szCs w:val="28"/>
        </w:rPr>
      </w:pP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国家税务总局</w:t>
      </w:r>
      <w:r>
        <w:rPr>
          <w:rFonts w:hint="eastAsia" w:ascii="Times New Roman" w:hAnsi="Times New Roman"/>
        </w:rPr>
        <w:t>汕头市金平区</w:t>
      </w:r>
      <w:r>
        <w:rPr>
          <w:rFonts w:ascii="Times New Roman" w:hAnsi="Times New Roman"/>
        </w:rPr>
        <w:t>税务局（以下简称“甲方”）通过</w:t>
      </w:r>
      <w:r>
        <w:rPr>
          <w:rFonts w:ascii="Times New Roman" w:hAnsi="Times New Roman"/>
          <w:u w:val="single"/>
        </w:rPr>
        <w:t xml:space="preserve"> </w:t>
      </w:r>
      <w:r>
        <w:rPr>
          <w:rFonts w:hint="eastAsia" w:ascii="Times New Roman" w:hAnsi="Times New Roman"/>
          <w:u w:val="single"/>
        </w:rPr>
        <w:t>公开招标</w:t>
      </w:r>
      <w:r>
        <w:rPr>
          <w:rFonts w:ascii="Times New Roman" w:hAnsi="Times New Roman"/>
          <w:u w:val="single"/>
        </w:rPr>
        <w:t xml:space="preserve"> </w:t>
      </w:r>
      <w:r>
        <w:rPr>
          <w:rFonts w:ascii="Times New Roman" w:hAnsi="Times New Roman"/>
        </w:rPr>
        <w:t>采购</w:t>
      </w:r>
      <w:r>
        <w:rPr>
          <w:rFonts w:hint="eastAsia" w:ascii="Times New Roman" w:hAnsi="Times New Roman"/>
        </w:rPr>
        <w:t>方式</w:t>
      </w:r>
      <w:r>
        <w:rPr>
          <w:rFonts w:ascii="Times New Roman" w:hAnsi="Times New Roman"/>
        </w:rPr>
        <w:t>，确定</w:t>
      </w:r>
      <w:r>
        <w:rPr>
          <w:rFonts w:hint="eastAsia" w:ascii="Times New Roman" w:hAnsi="Times New Roman"/>
          <w:u w:val="single"/>
        </w:rPr>
        <w:t xml:space="preserve">                    </w:t>
      </w:r>
      <w:r>
        <w:rPr>
          <w:rFonts w:ascii="Times New Roman" w:hAnsi="Times New Roman"/>
        </w:rPr>
        <w:t>（以下简称“乙方”）为《</w:t>
      </w:r>
      <w:r>
        <w:rPr>
          <w:rFonts w:hint="eastAsia" w:ascii="Times New Roman" w:hAnsi="Times New Roman"/>
          <w:bCs/>
        </w:rPr>
        <w:t>国家税务总局汕头市金平区税务局2025-2027年物业管理服务采购项目</w:t>
      </w:r>
      <w:r>
        <w:rPr>
          <w:rFonts w:ascii="Times New Roman" w:hAnsi="Times New Roman"/>
        </w:rPr>
        <w:t>》中标供应商。甲乙双方同意按照该项目招标（采购）文件约定的内容，签署《</w:t>
      </w:r>
      <w:r>
        <w:rPr>
          <w:rFonts w:hint="eastAsia" w:ascii="Times New Roman" w:hAnsi="Times New Roman"/>
          <w:bCs/>
        </w:rPr>
        <w:t xml:space="preserve">       </w:t>
      </w:r>
      <w:r>
        <w:rPr>
          <w:rFonts w:ascii="Times New Roman" w:hAnsi="Times New Roman"/>
        </w:rPr>
        <w:t>》（合同编号：</w:t>
      </w:r>
      <w:r>
        <w:rPr>
          <w:rFonts w:hint="eastAsia" w:ascii="Times New Roman" w:hAnsi="Times New Roman"/>
          <w:u w:val="single"/>
        </w:rPr>
        <w:t xml:space="preserve">                </w:t>
      </w:r>
      <w:r>
        <w:rPr>
          <w:rFonts w:ascii="Times New Roman" w:hAnsi="Times New Roman"/>
        </w:rPr>
        <w:t>，以下简称“合同”)。</w:t>
      </w:r>
    </w:p>
    <w:p>
      <w:pPr>
        <w:topLinePunct/>
        <w:autoSpaceDE w:val="0"/>
        <w:autoSpaceDN w:val="0"/>
        <w:snapToGrid w:val="0"/>
        <w:spacing w:line="360" w:lineRule="auto"/>
        <w:ind w:left="482"/>
        <w:rPr>
          <w:rFonts w:ascii="Times New Roman" w:hAnsi="Times New Roman"/>
          <w:b/>
        </w:rPr>
      </w:pPr>
      <w:r>
        <w:rPr>
          <w:rFonts w:ascii="Times New Roman" w:hAnsi="Times New Roman"/>
          <w:b/>
        </w:rPr>
        <w:t>1. 合同文件</w:t>
      </w: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本合同所附下列文件是构成本合同不可分割的部分：</w:t>
      </w: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（1）合同通用条款；</w:t>
      </w: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（2）报价表（总报价表和分项报价表）；</w:t>
      </w: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（3）招标（采购）文件；</w:t>
      </w: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（4）投标（响应）文件。</w:t>
      </w:r>
    </w:p>
    <w:p>
      <w:pPr>
        <w:topLinePunct/>
        <w:autoSpaceDE w:val="0"/>
        <w:autoSpaceDN w:val="0"/>
        <w:snapToGrid w:val="0"/>
        <w:spacing w:line="360" w:lineRule="auto"/>
        <w:ind w:left="482"/>
        <w:rPr>
          <w:rFonts w:ascii="Times New Roman" w:hAnsi="Times New Roman"/>
          <w:b/>
        </w:rPr>
      </w:pPr>
      <w:r>
        <w:rPr>
          <w:rFonts w:ascii="Times New Roman" w:hAnsi="Times New Roman"/>
          <w:b/>
        </w:rPr>
        <w:t>2. 合同范围和条件</w:t>
      </w: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本合同的范围和条件应与上述合同文件的规定相一致。</w:t>
      </w:r>
    </w:p>
    <w:p>
      <w:pPr>
        <w:tabs>
          <w:tab w:val="left" w:pos="700"/>
        </w:tabs>
        <w:topLinePunct/>
        <w:autoSpaceDE w:val="0"/>
        <w:autoSpaceDN w:val="0"/>
        <w:snapToGrid w:val="0"/>
        <w:spacing w:line="360" w:lineRule="auto"/>
        <w:ind w:firstLine="472" w:firstLineChars="196"/>
        <w:rPr>
          <w:rFonts w:ascii="Times New Roman" w:hAnsi="Times New Roman"/>
          <w:b/>
        </w:rPr>
      </w:pPr>
      <w:r>
        <w:rPr>
          <w:rFonts w:ascii="Times New Roman" w:hAnsi="Times New Roman"/>
          <w:b/>
        </w:rPr>
        <w:t>3. 合同金额</w:t>
      </w:r>
    </w:p>
    <w:p>
      <w:pPr>
        <w:tabs>
          <w:tab w:val="left" w:pos="700"/>
        </w:tabs>
        <w:topLinePunct/>
        <w:autoSpaceDE w:val="0"/>
        <w:autoSpaceDN w:val="0"/>
        <w:snapToGrid w:val="0"/>
        <w:spacing w:line="360" w:lineRule="auto"/>
        <w:ind w:firstLine="480" w:firstLineChars="200"/>
        <w:rPr>
          <w:rFonts w:ascii="Times New Roman" w:hAnsi="Times New Roman"/>
        </w:rPr>
      </w:pPr>
      <w:r>
        <w:rPr>
          <w:rFonts w:ascii="Times New Roman" w:hAnsi="Times New Roman"/>
        </w:rPr>
        <w:t>本合同总金额为人民币</w:t>
      </w:r>
      <w:r>
        <w:rPr>
          <w:rFonts w:hint="eastAsia" w:ascii="Times New Roman" w:hAnsi="Times New Roman"/>
          <w:u w:val="single"/>
          <w:lang w:bidi="ar"/>
        </w:rPr>
        <w:t xml:space="preserve">                     </w:t>
      </w:r>
      <w:r>
        <w:rPr>
          <w:rFonts w:ascii="Times New Roman" w:hAnsi="Times New Roman"/>
          <w:lang w:bidi="ar"/>
        </w:rPr>
        <w:t>元整</w:t>
      </w:r>
      <w:r>
        <w:rPr>
          <w:rFonts w:ascii="Times New Roman" w:hAnsi="Times New Roman"/>
        </w:rPr>
        <w:t>（¥</w:t>
      </w:r>
      <w:r>
        <w:rPr>
          <w:rFonts w:hint="eastAsia" w:ascii="Times New Roman" w:hAnsi="Times New Roman"/>
          <w:u w:val="single"/>
        </w:rPr>
        <w:t xml:space="preserve">        </w:t>
      </w:r>
      <w:r>
        <w:rPr>
          <w:rFonts w:ascii="Times New Roman" w:hAnsi="Times New Roman"/>
        </w:rPr>
        <w:t>）。本项目以</w:t>
      </w:r>
      <w:r>
        <w:rPr>
          <w:rFonts w:ascii="Times New Roman" w:hAnsi="Times New Roman"/>
          <w:u w:val="single"/>
        </w:rPr>
        <w:t xml:space="preserve">  </w:t>
      </w:r>
      <w:r>
        <w:rPr>
          <w:rFonts w:ascii="Times New Roman" w:hAnsi="Times New Roman"/>
        </w:rPr>
        <w:t>个月为1个服务周期，每个服务周期合同金额为人民币</w:t>
      </w:r>
      <w:r>
        <w:rPr>
          <w:rFonts w:hint="eastAsia" w:ascii="Times New Roman" w:hAnsi="Times New Roman"/>
          <w:u w:val="single"/>
        </w:rPr>
        <w:t xml:space="preserve">                          </w:t>
      </w:r>
      <w:r>
        <w:rPr>
          <w:rFonts w:ascii="Times New Roman" w:hAnsi="Times New Roman"/>
        </w:rPr>
        <w:t>元整（¥</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w:t>
      </w:r>
    </w:p>
    <w:p>
      <w:pPr>
        <w:tabs>
          <w:tab w:val="left" w:pos="700"/>
        </w:tabs>
        <w:topLinePunct/>
        <w:autoSpaceDE w:val="0"/>
        <w:autoSpaceDN w:val="0"/>
        <w:snapToGrid w:val="0"/>
        <w:spacing w:line="360" w:lineRule="auto"/>
        <w:ind w:firstLine="482" w:firstLineChars="200"/>
        <w:rPr>
          <w:rFonts w:ascii="Times New Roman" w:hAnsi="Times New Roman"/>
          <w:b/>
        </w:rPr>
      </w:pPr>
      <w:r>
        <w:rPr>
          <w:rFonts w:ascii="Times New Roman" w:hAnsi="Times New Roman"/>
          <w:b/>
          <w:lang w:val="en"/>
        </w:rPr>
        <w:t>4.</w:t>
      </w:r>
      <w:r>
        <w:rPr>
          <w:rFonts w:ascii="Times New Roman" w:hAnsi="Times New Roman"/>
          <w:b/>
        </w:rPr>
        <w:t>付款条件</w:t>
      </w:r>
    </w:p>
    <w:p>
      <w:pPr>
        <w:tabs>
          <w:tab w:val="left" w:pos="700"/>
        </w:tabs>
        <w:topLinePunct/>
        <w:autoSpaceDE w:val="0"/>
        <w:autoSpaceDN w:val="0"/>
        <w:snapToGrid w:val="0"/>
        <w:spacing w:line="360" w:lineRule="auto"/>
        <w:ind w:firstLine="480" w:firstLineChars="200"/>
        <w:rPr>
          <w:rFonts w:ascii="Times New Roman" w:hAnsi="Times New Roman"/>
        </w:rPr>
      </w:pPr>
      <w:r>
        <w:rPr>
          <w:rFonts w:hint="eastAsia" w:ascii="Times New Roman" w:hAnsi="Times New Roman"/>
        </w:rPr>
        <w:t>1.结算周期为1个月。期间乙方履行了服务承诺并通过考核验收，提供了有效发票等必要资料。满足合同约定支付条件的，甲方原则上应当自收到发票后10个工作日内将资金支付到合同约定的乙方账户，双方另有争议除外。</w:t>
      </w:r>
    </w:p>
    <w:p>
      <w:pPr>
        <w:tabs>
          <w:tab w:val="left" w:pos="700"/>
        </w:tabs>
        <w:topLinePunct/>
        <w:autoSpaceDE w:val="0"/>
        <w:autoSpaceDN w:val="0"/>
        <w:snapToGrid w:val="0"/>
        <w:spacing w:line="360" w:lineRule="auto"/>
        <w:ind w:firstLine="480" w:firstLineChars="200"/>
        <w:rPr>
          <w:rFonts w:ascii="Times New Roman" w:hAnsi="Times New Roman"/>
        </w:rPr>
      </w:pPr>
      <w:r>
        <w:rPr>
          <w:rFonts w:hint="eastAsia" w:ascii="Times New Roman" w:hAnsi="Times New Roman"/>
        </w:rPr>
        <w:t>2.因乙方未能按要求及时提供资料造成的延迟支付，甲方不承担任何责任。</w:t>
      </w:r>
    </w:p>
    <w:p>
      <w:pPr>
        <w:tabs>
          <w:tab w:val="left" w:pos="700"/>
        </w:tabs>
        <w:topLinePunct/>
        <w:autoSpaceDE w:val="0"/>
        <w:autoSpaceDN w:val="0"/>
        <w:snapToGrid w:val="0"/>
        <w:spacing w:line="360" w:lineRule="auto"/>
        <w:ind w:firstLine="480" w:firstLineChars="200"/>
        <w:rPr>
          <w:rFonts w:ascii="Times New Roman" w:hAnsi="Times New Roman" w:eastAsia="仿宋"/>
        </w:rPr>
      </w:pPr>
      <w:r>
        <w:rPr>
          <w:rFonts w:hint="eastAsia" w:ascii="Times New Roman" w:hAnsi="Times New Roman"/>
        </w:rPr>
        <w:t>3.合同执行期间，经双方协商同意增加或减少服务内容，根据乙方投标时提供的《分项报价表》的标准，重新结算。</w:t>
      </w:r>
      <w:r>
        <w:rPr>
          <w:rFonts w:hint="eastAsia"/>
          <w:szCs w:val="24"/>
        </w:rPr>
        <w:t>在不改变合同其他条款的前提下，追加采购的金额不得超过原合同书采购金额的百分之十。</w:t>
      </w:r>
    </w:p>
    <w:p>
      <w:pPr>
        <w:tabs>
          <w:tab w:val="left" w:pos="700"/>
        </w:tabs>
        <w:topLinePunct/>
        <w:autoSpaceDE w:val="0"/>
        <w:autoSpaceDN w:val="0"/>
        <w:snapToGrid w:val="0"/>
        <w:spacing w:line="360" w:lineRule="auto"/>
        <w:ind w:firstLine="480" w:firstLineChars="200"/>
        <w:rPr>
          <w:rFonts w:ascii="Times New Roman" w:hAnsi="Times New Roman"/>
        </w:rPr>
      </w:pPr>
      <w:r>
        <w:rPr>
          <w:rFonts w:hint="eastAsia" w:ascii="Times New Roman" w:hAnsi="Times New Roman"/>
        </w:rPr>
        <w:t>4.乙方账户信息</w:t>
      </w:r>
    </w:p>
    <w:p>
      <w:pPr>
        <w:tabs>
          <w:tab w:val="left" w:pos="700"/>
        </w:tabs>
        <w:topLinePunct/>
        <w:autoSpaceDE w:val="0"/>
        <w:autoSpaceDN w:val="0"/>
        <w:snapToGrid w:val="0"/>
        <w:spacing w:line="360" w:lineRule="auto"/>
        <w:ind w:firstLine="480" w:firstLineChars="200"/>
        <w:rPr>
          <w:rFonts w:ascii="Times New Roman" w:hAnsi="Times New Roman"/>
        </w:rPr>
      </w:pPr>
      <w:r>
        <w:rPr>
          <w:rFonts w:hint="eastAsia" w:ascii="Times New Roman" w:hAnsi="Times New Roman"/>
        </w:rPr>
        <w:t xml:space="preserve">收款单位： </w:t>
      </w:r>
    </w:p>
    <w:p>
      <w:pPr>
        <w:tabs>
          <w:tab w:val="left" w:pos="700"/>
        </w:tabs>
        <w:topLinePunct/>
        <w:autoSpaceDE w:val="0"/>
        <w:autoSpaceDN w:val="0"/>
        <w:snapToGrid w:val="0"/>
        <w:spacing w:line="360" w:lineRule="auto"/>
        <w:ind w:firstLine="480" w:firstLineChars="200"/>
        <w:rPr>
          <w:rFonts w:ascii="Times New Roman" w:hAnsi="Times New Roman"/>
        </w:rPr>
      </w:pPr>
      <w:r>
        <w:rPr>
          <w:rFonts w:hint="eastAsia" w:ascii="Times New Roman" w:hAnsi="Times New Roman"/>
        </w:rPr>
        <w:t xml:space="preserve">银行账户： </w:t>
      </w:r>
    </w:p>
    <w:p>
      <w:pPr>
        <w:tabs>
          <w:tab w:val="left" w:pos="700"/>
        </w:tabs>
        <w:topLinePunct/>
        <w:autoSpaceDE w:val="0"/>
        <w:autoSpaceDN w:val="0"/>
        <w:snapToGrid w:val="0"/>
        <w:spacing w:line="360" w:lineRule="auto"/>
        <w:ind w:firstLine="480" w:firstLineChars="200"/>
        <w:rPr>
          <w:rFonts w:ascii="Times New Roman" w:hAnsi="Times New Roman"/>
        </w:rPr>
      </w:pPr>
      <w:r>
        <w:rPr>
          <w:rFonts w:hint="eastAsia" w:ascii="Times New Roman" w:hAnsi="Times New Roman"/>
        </w:rPr>
        <w:t xml:space="preserve">开户银行： </w:t>
      </w:r>
    </w:p>
    <w:p>
      <w:pPr>
        <w:tabs>
          <w:tab w:val="left" w:pos="700"/>
        </w:tabs>
        <w:topLinePunct/>
        <w:autoSpaceDE w:val="0"/>
        <w:autoSpaceDN w:val="0"/>
        <w:snapToGrid w:val="0"/>
        <w:spacing w:line="360" w:lineRule="auto"/>
        <w:ind w:firstLine="482" w:firstLineChars="200"/>
        <w:rPr>
          <w:rFonts w:ascii="Times New Roman" w:hAnsi="Times New Roman"/>
          <w:b/>
        </w:rPr>
      </w:pPr>
      <w:r>
        <w:rPr>
          <w:rFonts w:ascii="Times New Roman" w:hAnsi="Times New Roman"/>
          <w:b/>
        </w:rPr>
        <w:t>5. 合同签订及生效</w:t>
      </w:r>
    </w:p>
    <w:p>
      <w:pPr>
        <w:numPr>
          <w:ilvl w:val="255"/>
          <w:numId w:val="0"/>
        </w:numPr>
        <w:tabs>
          <w:tab w:val="left" w:pos="700"/>
        </w:tabs>
        <w:topLinePunct/>
        <w:autoSpaceDE w:val="0"/>
        <w:autoSpaceDN w:val="0"/>
        <w:snapToGrid w:val="0"/>
        <w:spacing w:line="360" w:lineRule="auto"/>
        <w:ind w:left="480" w:leftChars="200" w:firstLine="480" w:firstLineChars="200"/>
        <w:rPr>
          <w:rFonts w:ascii="Times New Roman" w:hAnsi="Times New Roman"/>
        </w:rPr>
      </w:pPr>
      <w:r>
        <w:rPr>
          <w:rFonts w:hint="eastAsia" w:ascii="Times New Roman" w:hAnsi="Times New Roman"/>
        </w:rPr>
        <w:t>本合同一式</w:t>
      </w:r>
      <w:r>
        <w:rPr>
          <w:rFonts w:hint="eastAsia" w:ascii="Times New Roman" w:hAnsi="Times New Roman"/>
          <w:u w:val="single"/>
          <w:lang w:val="en"/>
        </w:rPr>
        <w:t xml:space="preserve">  肆 </w:t>
      </w:r>
      <w:r>
        <w:rPr>
          <w:rFonts w:hint="eastAsia" w:ascii="Times New Roman" w:hAnsi="Times New Roman"/>
        </w:rPr>
        <w:t>份，由甲乙双方法定代表人或被授权人签字并盖章后生效。</w:t>
      </w:r>
    </w:p>
    <w:p>
      <w:pPr>
        <w:tabs>
          <w:tab w:val="left" w:pos="700"/>
        </w:tabs>
        <w:topLinePunct/>
        <w:autoSpaceDE w:val="0"/>
        <w:autoSpaceDN w:val="0"/>
        <w:spacing w:line="360" w:lineRule="auto"/>
        <w:ind w:left="360"/>
        <w:rPr>
          <w:rFonts w:ascii="Times New Roman" w:hAnsi="Times New Roman"/>
        </w:rPr>
      </w:pPr>
    </w:p>
    <w:p>
      <w:pPr>
        <w:tabs>
          <w:tab w:val="left" w:pos="700"/>
        </w:tabs>
        <w:topLinePunct/>
        <w:autoSpaceDE w:val="0"/>
        <w:autoSpaceDN w:val="0"/>
        <w:spacing w:line="360" w:lineRule="auto"/>
        <w:ind w:left="360"/>
        <w:rPr>
          <w:rFonts w:ascii="Times New Roman" w:hAnsi="Times New Roman"/>
        </w:rPr>
      </w:pPr>
    </w:p>
    <w:p>
      <w:pPr>
        <w:tabs>
          <w:tab w:val="left" w:pos="700"/>
        </w:tabs>
        <w:topLinePunct/>
        <w:autoSpaceDE w:val="0"/>
        <w:autoSpaceDN w:val="0"/>
        <w:spacing w:line="360" w:lineRule="auto"/>
        <w:ind w:left="5690" w:leftChars="171" w:hanging="5280" w:hangingChars="2200"/>
        <w:jc w:val="left"/>
        <w:rPr>
          <w:rFonts w:ascii="Times New Roman" w:hAnsi="Times New Roman"/>
        </w:rPr>
      </w:pPr>
      <w:r>
        <w:rPr>
          <w:rFonts w:ascii="Times New Roman" w:hAnsi="Times New Roman"/>
        </w:rPr>
        <w:t>甲方：国家税务总局</w:t>
      </w:r>
      <w:r>
        <w:rPr>
          <w:rFonts w:hint="eastAsia" w:ascii="Times New Roman" w:hAnsi="Times New Roman"/>
        </w:rPr>
        <w:t>汕头市金平区</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乙方：</w:t>
      </w:r>
    </w:p>
    <w:p>
      <w:pPr>
        <w:tabs>
          <w:tab w:val="left" w:pos="700"/>
        </w:tabs>
        <w:topLinePunct/>
        <w:autoSpaceDE w:val="0"/>
        <w:autoSpaceDN w:val="0"/>
        <w:spacing w:line="360" w:lineRule="auto"/>
        <w:ind w:left="5791" w:leftChars="513" w:hanging="4560" w:hangingChars="1900"/>
        <w:jc w:val="left"/>
        <w:rPr>
          <w:rFonts w:ascii="Times New Roman" w:hAnsi="Times New Roman"/>
        </w:rPr>
      </w:pPr>
      <w:r>
        <w:rPr>
          <w:rFonts w:ascii="Times New Roman" w:hAnsi="Times New Roman"/>
        </w:rPr>
        <w:t>税务局</w:t>
      </w:r>
      <w:r>
        <w:rPr>
          <w:rFonts w:hint="eastAsia" w:ascii="Times New Roman" w:hAnsi="Times New Roman"/>
        </w:rPr>
        <w:t xml:space="preserve">                                </w:t>
      </w:r>
    </w:p>
    <w:p>
      <w:pPr>
        <w:tabs>
          <w:tab w:val="left" w:pos="700"/>
        </w:tabs>
        <w:topLinePunct/>
        <w:autoSpaceDE w:val="0"/>
        <w:autoSpaceDN w:val="0"/>
        <w:spacing w:line="360" w:lineRule="auto"/>
        <w:ind w:left="360"/>
        <w:rPr>
          <w:rFonts w:ascii="Times New Roman" w:hAnsi="Times New Roman"/>
        </w:rPr>
      </w:pPr>
      <w:r>
        <w:rPr>
          <w:rFonts w:ascii="Times New Roman" w:hAnsi="Times New Roman"/>
        </w:rPr>
        <w:t>签字：                                 签字：</w:t>
      </w:r>
    </w:p>
    <w:p>
      <w:pPr>
        <w:tabs>
          <w:tab w:val="left" w:pos="700"/>
        </w:tabs>
        <w:topLinePunct/>
        <w:autoSpaceDE w:val="0"/>
        <w:autoSpaceDN w:val="0"/>
        <w:spacing w:line="360" w:lineRule="auto"/>
        <w:ind w:left="360"/>
        <w:rPr>
          <w:rFonts w:ascii="Times New Roman" w:hAnsi="Times New Roman"/>
        </w:rPr>
      </w:pPr>
      <w:r>
        <w:rPr>
          <w:rFonts w:ascii="Times New Roman" w:hAnsi="Times New Roman"/>
        </w:rPr>
        <w:t xml:space="preserve">盖章：                                 盖章： </w:t>
      </w:r>
    </w:p>
    <w:p>
      <w:pPr>
        <w:tabs>
          <w:tab w:val="left" w:pos="700"/>
        </w:tabs>
        <w:topLinePunct/>
        <w:autoSpaceDE w:val="0"/>
        <w:autoSpaceDN w:val="0"/>
        <w:spacing w:line="360" w:lineRule="auto"/>
        <w:ind w:left="360"/>
        <w:rPr>
          <w:rFonts w:ascii="Times New Roman" w:hAnsi="Times New Roman"/>
        </w:rPr>
      </w:pPr>
      <w:r>
        <w:rPr>
          <w:rFonts w:ascii="Times New Roman" w:hAnsi="Times New Roman"/>
        </w:rPr>
        <w:t>日期：    年    月    日               日期：     年   月   日</w:t>
      </w:r>
    </w:p>
    <w:p>
      <w:pPr>
        <w:tabs>
          <w:tab w:val="left" w:pos="700"/>
        </w:tabs>
        <w:topLinePunct/>
        <w:autoSpaceDE w:val="0"/>
        <w:autoSpaceDN w:val="0"/>
        <w:spacing w:line="360" w:lineRule="auto"/>
        <w:ind w:left="360"/>
        <w:rPr>
          <w:rFonts w:ascii="Times New Roman" w:hAnsi="Times New Roman"/>
        </w:rPr>
      </w:pPr>
    </w:p>
    <w:p>
      <w:pPr>
        <w:topLinePunct/>
        <w:autoSpaceDE w:val="0"/>
        <w:autoSpaceDN w:val="0"/>
        <w:spacing w:line="360" w:lineRule="auto"/>
        <w:jc w:val="center"/>
        <w:rPr>
          <w:rFonts w:hint="eastAsia" w:ascii="宋体" w:hAnsi="宋体" w:cs="宋体"/>
          <w:b/>
          <w:sz w:val="32"/>
          <w:szCs w:val="28"/>
        </w:rPr>
      </w:pPr>
      <w:r>
        <w:rPr>
          <w:rFonts w:ascii="宋体" w:hAnsi="宋体" w:cs="宋体"/>
          <w:b/>
          <w:sz w:val="32"/>
          <w:szCs w:val="28"/>
        </w:rPr>
        <w:br w:type="page"/>
      </w:r>
      <w:r>
        <w:rPr>
          <w:rFonts w:hint="eastAsia" w:ascii="宋体" w:hAnsi="宋体" w:cs="宋体"/>
          <w:b/>
          <w:sz w:val="32"/>
          <w:szCs w:val="28"/>
        </w:rPr>
        <w:t>二   合 同 通 用 条 款</w:t>
      </w:r>
    </w:p>
    <w:p>
      <w:pPr>
        <w:topLinePunct/>
        <w:autoSpaceDE w:val="0"/>
        <w:autoSpaceDN w:val="0"/>
        <w:spacing w:line="360" w:lineRule="auto"/>
        <w:ind w:firstLine="482" w:firstLineChars="200"/>
        <w:rPr>
          <w:rFonts w:ascii="Times New Roman" w:hAnsi="Times New Roman"/>
          <w:b/>
        </w:rPr>
      </w:pPr>
      <w:r>
        <w:rPr>
          <w:rFonts w:ascii="Times New Roman" w:hAnsi="Times New Roman"/>
          <w:b/>
        </w:rPr>
        <w:t>1. 定义</w:t>
      </w:r>
    </w:p>
    <w:p>
      <w:pPr>
        <w:topLinePunct/>
        <w:autoSpaceDE w:val="0"/>
        <w:autoSpaceDN w:val="0"/>
        <w:spacing w:line="360" w:lineRule="auto"/>
        <w:ind w:firstLine="480" w:firstLineChars="200"/>
        <w:rPr>
          <w:rFonts w:ascii="Times New Roman" w:hAnsi="Times New Roman"/>
        </w:rPr>
      </w:pPr>
      <w:r>
        <w:rPr>
          <w:rFonts w:ascii="Times New Roman" w:hAnsi="Times New Roman"/>
        </w:rPr>
        <w:t>本合同下列术语应解释为：</w:t>
      </w:r>
    </w:p>
    <w:p>
      <w:pPr>
        <w:tabs>
          <w:tab w:val="left" w:pos="700"/>
        </w:tabs>
        <w:spacing w:line="360" w:lineRule="auto"/>
        <w:ind w:firstLine="480" w:firstLineChars="200"/>
        <w:rPr>
          <w:rFonts w:ascii="Times New Roman" w:hAnsi="Times New Roman"/>
        </w:rPr>
      </w:pPr>
      <w:r>
        <w:rPr>
          <w:rFonts w:ascii="Times New Roman" w:hAnsi="Times New Roman"/>
        </w:rPr>
        <w:t>1.1“甲方”是指国家税务总局</w:t>
      </w:r>
      <w:r>
        <w:rPr>
          <w:rFonts w:hint="eastAsia" w:ascii="Times New Roman" w:hAnsi="Times New Roman"/>
          <w:lang w:val="en"/>
        </w:rPr>
        <w:t>汕头市金平区</w:t>
      </w:r>
      <w:r>
        <w:rPr>
          <w:rFonts w:ascii="Times New Roman" w:hAnsi="Times New Roman"/>
          <w:lang w:val="en"/>
        </w:rPr>
        <w:t>税务局</w:t>
      </w:r>
      <w:r>
        <w:rPr>
          <w:rFonts w:ascii="Times New Roman" w:hAnsi="Times New Roman"/>
        </w:rPr>
        <w:t>。</w:t>
      </w:r>
    </w:p>
    <w:p>
      <w:pPr>
        <w:tabs>
          <w:tab w:val="left" w:pos="700"/>
        </w:tabs>
        <w:spacing w:line="360" w:lineRule="auto"/>
        <w:ind w:firstLine="480" w:firstLineChars="200"/>
        <w:rPr>
          <w:rFonts w:ascii="Times New Roman" w:hAnsi="Times New Roman"/>
        </w:rPr>
      </w:pPr>
      <w:r>
        <w:rPr>
          <w:rFonts w:ascii="Times New Roman" w:hAnsi="Times New Roman"/>
        </w:rPr>
        <w:t>1.1.1“甲方采购部门”见“合同条款前附表”第5项“甲方采购部门”。</w:t>
      </w:r>
    </w:p>
    <w:p>
      <w:pPr>
        <w:tabs>
          <w:tab w:val="left" w:pos="700"/>
        </w:tabs>
        <w:spacing w:line="360" w:lineRule="auto"/>
        <w:ind w:firstLine="480" w:firstLineChars="200"/>
        <w:rPr>
          <w:rFonts w:ascii="Times New Roman" w:hAnsi="Times New Roman"/>
        </w:rPr>
      </w:pPr>
      <w:r>
        <w:rPr>
          <w:rFonts w:ascii="Times New Roman" w:hAnsi="Times New Roman"/>
        </w:rPr>
        <w:t>1.1.2“甲方需求部门”见“合同条款前附表”第5项“甲方需求部门”。</w:t>
      </w:r>
    </w:p>
    <w:p>
      <w:pPr>
        <w:tabs>
          <w:tab w:val="left" w:pos="700"/>
        </w:tabs>
        <w:spacing w:line="360" w:lineRule="auto"/>
        <w:ind w:firstLine="480" w:firstLineChars="200"/>
        <w:rPr>
          <w:rFonts w:ascii="Times New Roman" w:hAnsi="Times New Roman"/>
        </w:rPr>
      </w:pPr>
      <w:r>
        <w:rPr>
          <w:rFonts w:ascii="Times New Roman" w:hAnsi="Times New Roman"/>
        </w:rPr>
        <w:t>1.2“乙方”见“合同条款前附表”第6项“乙方名称”。</w:t>
      </w:r>
    </w:p>
    <w:p>
      <w:pPr>
        <w:tabs>
          <w:tab w:val="left" w:pos="700"/>
        </w:tabs>
        <w:spacing w:line="360" w:lineRule="auto"/>
        <w:ind w:firstLine="480" w:firstLineChars="200"/>
        <w:rPr>
          <w:rFonts w:ascii="Times New Roman" w:hAnsi="Times New Roman"/>
        </w:rPr>
      </w:pPr>
      <w:r>
        <w:rPr>
          <w:rFonts w:ascii="Times New Roman" w:hAnsi="Times New Roman"/>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80" w:firstLineChars="200"/>
        <w:rPr>
          <w:rFonts w:ascii="Times New Roman" w:hAnsi="Times New Roman"/>
        </w:rPr>
      </w:pPr>
      <w:r>
        <w:rPr>
          <w:rFonts w:ascii="Times New Roman" w:hAnsi="Times New Roman"/>
        </w:rPr>
        <w:t>1.4 “天”除非特别指出，“天”均</w:t>
      </w:r>
      <w:r>
        <w:rPr>
          <w:rFonts w:hint="eastAsia" w:ascii="Times New Roman" w:hAnsi="Times New Roman"/>
        </w:rPr>
        <w:t>以自然日计</w:t>
      </w:r>
      <w:r>
        <w:rPr>
          <w:rFonts w:ascii="Times New Roman" w:hAnsi="Times New Roman"/>
        </w:rPr>
        <w:t>。</w:t>
      </w:r>
    </w:p>
    <w:p>
      <w:pPr>
        <w:topLinePunct/>
        <w:autoSpaceDE w:val="0"/>
        <w:autoSpaceDN w:val="0"/>
        <w:spacing w:line="360" w:lineRule="auto"/>
        <w:ind w:firstLine="482" w:firstLineChars="200"/>
        <w:rPr>
          <w:rFonts w:ascii="Times New Roman" w:hAnsi="Times New Roman"/>
          <w:b/>
        </w:rPr>
      </w:pPr>
      <w:r>
        <w:rPr>
          <w:rFonts w:ascii="Times New Roman" w:hAnsi="Times New Roman"/>
          <w:b/>
        </w:rPr>
        <w:t>2. 标准</w:t>
      </w:r>
    </w:p>
    <w:p>
      <w:pPr>
        <w:topLinePunct/>
        <w:autoSpaceDE w:val="0"/>
        <w:autoSpaceDN w:val="0"/>
        <w:spacing w:line="360" w:lineRule="auto"/>
        <w:ind w:firstLine="480" w:firstLineChars="200"/>
        <w:rPr>
          <w:rFonts w:ascii="Times New Roman" w:hAnsi="Times New Roman"/>
        </w:rPr>
      </w:pPr>
      <w:r>
        <w:rPr>
          <w:rFonts w:ascii="Times New Roman" w:hAnsi="Times New Roman"/>
        </w:rPr>
        <w:t>2.1 乙方为甲方交付或提供的服务应符合招标（采购）文件所述的标准，如果没有提及适用标准，则应符合相应的国家标准。这些标准必须是有关机构发布的最新版本的标准。</w:t>
      </w:r>
    </w:p>
    <w:p>
      <w:pPr>
        <w:spacing w:line="360" w:lineRule="auto"/>
        <w:ind w:firstLine="480" w:firstLineChars="200"/>
        <w:rPr>
          <w:rFonts w:ascii="Times New Roman" w:hAnsi="Times New Roman"/>
        </w:rPr>
      </w:pPr>
      <w:r>
        <w:rPr>
          <w:rFonts w:ascii="Times New Roman" w:hAnsi="Times New Roman"/>
        </w:rPr>
        <w:t>2.2 除非技术要求中另有规定，计量单位均采用中华人民共和国法定计量单位。</w:t>
      </w:r>
    </w:p>
    <w:p>
      <w:pPr>
        <w:spacing w:line="360" w:lineRule="auto"/>
        <w:ind w:firstLine="482" w:firstLineChars="200"/>
        <w:rPr>
          <w:rFonts w:ascii="Times New Roman" w:hAnsi="Times New Roman"/>
          <w:b/>
        </w:rPr>
      </w:pPr>
      <w:r>
        <w:rPr>
          <w:rFonts w:ascii="Times New Roman" w:hAnsi="Times New Roman"/>
          <w:b/>
        </w:rPr>
        <w:t>3. 服务</w:t>
      </w:r>
    </w:p>
    <w:p>
      <w:pPr>
        <w:tabs>
          <w:tab w:val="left" w:pos="700"/>
        </w:tabs>
        <w:spacing w:line="360" w:lineRule="auto"/>
        <w:ind w:firstLine="480" w:firstLineChars="200"/>
        <w:rPr>
          <w:rFonts w:ascii="Times New Roman" w:hAnsi="Times New Roman"/>
          <w:b/>
        </w:rPr>
      </w:pPr>
      <w:r>
        <w:rPr>
          <w:rFonts w:ascii="Times New Roman" w:hAnsi="Times New Roman"/>
          <w:bCs/>
        </w:rPr>
        <w:t>3.1 本项目的“服务”见“合同条款前附表”第8项“服务内容”。</w:t>
      </w:r>
    </w:p>
    <w:p>
      <w:pPr>
        <w:topLinePunct/>
        <w:autoSpaceDE w:val="0"/>
        <w:autoSpaceDN w:val="0"/>
        <w:spacing w:line="360" w:lineRule="auto"/>
        <w:ind w:firstLine="480" w:firstLineChars="200"/>
        <w:rPr>
          <w:rFonts w:ascii="Times New Roman" w:hAnsi="Times New Roman"/>
        </w:rPr>
      </w:pPr>
      <w:r>
        <w:rPr>
          <w:rFonts w:ascii="Times New Roman" w:hAnsi="Times New Roman"/>
        </w:rPr>
        <w:t>3.2 乙方应保证所提供的服务符合合同规定的要求。如不符</w:t>
      </w:r>
      <w:r>
        <w:rPr>
          <w:rFonts w:hint="eastAsia" w:ascii="Times New Roman" w:hAnsi="Times New Roman"/>
        </w:rPr>
        <w:t>合</w:t>
      </w:r>
      <w:r>
        <w:rPr>
          <w:rFonts w:ascii="Times New Roman" w:hAnsi="Times New Roman"/>
        </w:rPr>
        <w:t>时，乙方应负全责并尽快处理解决，由此造成的损失和相关费用由乙方负责，甲方保留终止合同及索赔的权利。</w:t>
      </w:r>
    </w:p>
    <w:p>
      <w:pPr>
        <w:topLinePunct/>
        <w:autoSpaceDE w:val="0"/>
        <w:autoSpaceDN w:val="0"/>
        <w:spacing w:line="360" w:lineRule="auto"/>
        <w:ind w:firstLine="480" w:firstLineChars="200"/>
        <w:rPr>
          <w:rFonts w:ascii="Times New Roman" w:hAnsi="Times New Roman"/>
        </w:rPr>
      </w:pPr>
      <w:r>
        <w:rPr>
          <w:rFonts w:ascii="Times New Roman" w:hAnsi="Times New Roman"/>
        </w:rPr>
        <w:t>3.3 乙方应保证通过执行合同中全部方案后，可以取得本合同约定的结果，达到本合同约定的预期目标。对任何情况下出现的问题，应尽快提出解决方案</w:t>
      </w:r>
      <w:r>
        <w:rPr>
          <w:rFonts w:hint="eastAsia" w:ascii="Times New Roman" w:hAnsi="Times New Roman"/>
        </w:rPr>
        <w:t>并负责执行</w:t>
      </w:r>
      <w:r>
        <w:rPr>
          <w:rFonts w:ascii="Times New Roman" w:hAnsi="Times New Roman"/>
        </w:rPr>
        <w:t>。</w:t>
      </w:r>
    </w:p>
    <w:p>
      <w:pPr>
        <w:tabs>
          <w:tab w:val="left" w:pos="0"/>
          <w:tab w:val="left" w:pos="540"/>
        </w:tabs>
        <w:spacing w:line="360" w:lineRule="auto"/>
        <w:ind w:firstLine="480" w:firstLineChars="200"/>
        <w:rPr>
          <w:rFonts w:ascii="Times New Roman" w:hAnsi="Times New Roman"/>
        </w:rPr>
      </w:pPr>
      <w:r>
        <w:rPr>
          <w:rFonts w:ascii="Times New Roman" w:hAnsi="Times New Roman"/>
        </w:rPr>
        <w:t>3.4 如果乙方提供的服务和解决方案不符合甲方要求，或在规定的时间内没有弥补缺陷，甲方有权采取一切必要的补救措施，由此产生的费用全部由乙方负责。</w:t>
      </w:r>
    </w:p>
    <w:p>
      <w:pPr>
        <w:spacing w:line="360" w:lineRule="auto"/>
        <w:ind w:firstLine="480" w:firstLineChars="200"/>
        <w:rPr>
          <w:rFonts w:ascii="Times New Roman" w:hAnsi="Times New Roman"/>
        </w:rPr>
      </w:pPr>
      <w:r>
        <w:rPr>
          <w:rFonts w:ascii="Times New Roman" w:hAnsi="Times New Roman"/>
        </w:rPr>
        <w:t>3.5 除合同条款另行规定外，伴随服务的费用应含在合同价中，不单独进行支付。</w:t>
      </w:r>
    </w:p>
    <w:p>
      <w:pPr>
        <w:tabs>
          <w:tab w:val="left" w:pos="0"/>
          <w:tab w:val="left" w:pos="540"/>
        </w:tabs>
        <w:spacing w:line="360" w:lineRule="auto"/>
        <w:ind w:firstLine="482" w:firstLineChars="200"/>
        <w:rPr>
          <w:rFonts w:ascii="Times New Roman" w:hAnsi="Times New Roman"/>
          <w:b/>
        </w:rPr>
      </w:pPr>
      <w:r>
        <w:rPr>
          <w:rFonts w:ascii="Times New Roman" w:hAnsi="Times New Roman"/>
          <w:b/>
        </w:rPr>
        <w:t>4. 知识产权</w:t>
      </w:r>
    </w:p>
    <w:p>
      <w:pPr>
        <w:spacing w:line="360" w:lineRule="auto"/>
        <w:ind w:firstLine="480" w:firstLineChars="200"/>
        <w:rPr>
          <w:rFonts w:ascii="Times New Roman" w:hAnsi="Times New Roman"/>
        </w:rPr>
      </w:pPr>
      <w:r>
        <w:rPr>
          <w:rFonts w:ascii="Times New Roman" w:hAnsi="Times New Roman"/>
        </w:rPr>
        <w:t>4.1 乙方应保证所提供的服务免受第三方提出侵犯其知识产权（专利权、商标权、软件著作权、版权等）的起诉。</w:t>
      </w:r>
    </w:p>
    <w:p>
      <w:pPr>
        <w:tabs>
          <w:tab w:val="left" w:pos="0"/>
          <w:tab w:val="left" w:pos="540"/>
        </w:tabs>
        <w:topLinePunct/>
        <w:autoSpaceDE w:val="0"/>
        <w:autoSpaceDN w:val="0"/>
        <w:spacing w:line="360" w:lineRule="auto"/>
        <w:ind w:firstLine="480" w:firstLineChars="200"/>
        <w:rPr>
          <w:rFonts w:ascii="Times New Roman" w:hAnsi="Times New Roman"/>
        </w:rPr>
      </w:pPr>
      <w:r>
        <w:rPr>
          <w:rFonts w:ascii="Times New Roman" w:hAnsi="Times New Roman"/>
        </w:rPr>
        <w:t>4.2 甲方对项目实施过程中所产生的所有成果（包括但不限于发明、发现、可运行系统、源代码及相关技术资料、文档等）享有永久使用权、复制权和修改权，其专利申请权、专利权、软件著作权、技术秘密的所有权、使用权、转让权等知识产权归甲方所有。</w:t>
      </w:r>
    </w:p>
    <w:p>
      <w:pPr>
        <w:tabs>
          <w:tab w:val="left" w:pos="0"/>
          <w:tab w:val="left" w:pos="540"/>
        </w:tabs>
        <w:topLinePunct/>
        <w:autoSpaceDE w:val="0"/>
        <w:autoSpaceDN w:val="0"/>
        <w:spacing w:line="360" w:lineRule="auto"/>
        <w:ind w:firstLine="480" w:firstLineChars="200"/>
        <w:rPr>
          <w:rFonts w:ascii="Times New Roman" w:hAnsi="Times New Roman"/>
        </w:rPr>
      </w:pPr>
      <w:r>
        <w:rPr>
          <w:rFonts w:ascii="Times New Roman" w:hAnsi="Times New Roman"/>
        </w:rPr>
        <w:t>4.3 乙方不得利用本项目实施过程中所产生的成果（包括但不限于发明、发现、可运行系统、源代码及相关技术资料、文档等），另行</w:t>
      </w:r>
      <w:r>
        <w:rPr>
          <w:rFonts w:hint="eastAsia" w:ascii="Times New Roman" w:hAnsi="Times New Roman"/>
        </w:rPr>
        <w:t>或</w:t>
      </w:r>
      <w:r>
        <w:rPr>
          <w:rFonts w:ascii="Times New Roman" w:hAnsi="Times New Roman"/>
        </w:rPr>
        <w:t>自行开发本合同业务范围内供纳税人缴费人使用的软件或产品，不得利用开发便利变相收费或搭车收费。</w:t>
      </w:r>
    </w:p>
    <w:p>
      <w:pPr>
        <w:spacing w:line="360" w:lineRule="auto"/>
        <w:ind w:firstLine="482" w:firstLineChars="200"/>
        <w:rPr>
          <w:rFonts w:ascii="Times New Roman" w:hAnsi="Times New Roman"/>
          <w:b/>
        </w:rPr>
      </w:pPr>
      <w:r>
        <w:rPr>
          <w:rFonts w:ascii="Times New Roman" w:hAnsi="Times New Roman"/>
          <w:b/>
        </w:rPr>
        <w:t>5. 保密条款</w:t>
      </w:r>
    </w:p>
    <w:p>
      <w:pPr>
        <w:spacing w:line="360" w:lineRule="auto"/>
        <w:ind w:firstLine="480" w:firstLineChars="200"/>
        <w:rPr>
          <w:rFonts w:ascii="Times New Roman" w:hAnsi="Times New Roman"/>
        </w:rPr>
      </w:pPr>
      <w:r>
        <w:rPr>
          <w:rFonts w:ascii="Times New Roman" w:hAnsi="Times New Roman"/>
        </w:rPr>
        <w:t>5.1 甲乙双方应对在本合同签订或履行过程中所接触的对方信息，包括但不限于知识产权、技术资料、技术诀窍、内部管理及其他相关信息，负有保密义务。</w:t>
      </w:r>
    </w:p>
    <w:p>
      <w:pPr>
        <w:spacing w:line="360" w:lineRule="auto"/>
        <w:ind w:firstLine="480" w:firstLineChars="200"/>
        <w:rPr>
          <w:rFonts w:ascii="Times New Roman" w:hAnsi="Times New Roman"/>
        </w:rPr>
      </w:pPr>
      <w:r>
        <w:rPr>
          <w:rFonts w:ascii="Times New Roman" w:hAnsi="Times New Roman"/>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80" w:firstLineChars="200"/>
        <w:rPr>
          <w:rFonts w:ascii="Times New Roman" w:hAnsi="Times New Roman"/>
        </w:rPr>
      </w:pPr>
      <w:r>
        <w:rPr>
          <w:rFonts w:ascii="Times New Roman" w:hAnsi="Times New Roman"/>
        </w:rPr>
        <w:t>（1） 应以审慎态度避免泄漏、公开或传播甲方的信息；</w:t>
      </w:r>
    </w:p>
    <w:p>
      <w:pPr>
        <w:spacing w:line="360" w:lineRule="auto"/>
        <w:ind w:firstLine="480" w:firstLineChars="200"/>
        <w:rPr>
          <w:rFonts w:ascii="Times New Roman" w:hAnsi="Times New Roman"/>
        </w:rPr>
      </w:pPr>
      <w:r>
        <w:rPr>
          <w:rFonts w:ascii="Times New Roman" w:hAnsi="Times New Roman"/>
        </w:rPr>
        <w:t>（2） 在开发过程中对数据的处理方式应事先得到甲方的许可；</w:t>
      </w:r>
    </w:p>
    <w:p>
      <w:pPr>
        <w:spacing w:line="360" w:lineRule="auto"/>
        <w:ind w:firstLine="480" w:firstLineChars="200"/>
        <w:rPr>
          <w:rFonts w:ascii="Times New Roman" w:hAnsi="Times New Roman"/>
        </w:rPr>
      </w:pPr>
      <w:r>
        <w:rPr>
          <w:rFonts w:ascii="Times New Roman" w:hAnsi="Times New Roman"/>
        </w:rPr>
        <w:t>（3） 未经甲方书面许可，不得对有关信息进行修改、补充、复制；</w:t>
      </w:r>
    </w:p>
    <w:p>
      <w:pPr>
        <w:spacing w:line="360" w:lineRule="auto"/>
        <w:ind w:firstLine="480" w:firstLineChars="200"/>
        <w:rPr>
          <w:rFonts w:ascii="Times New Roman" w:hAnsi="Times New Roman"/>
        </w:rPr>
      </w:pPr>
      <w:r>
        <w:rPr>
          <w:rFonts w:ascii="Times New Roman" w:hAnsi="Times New Roman"/>
        </w:rPr>
        <w:t>（4） 未经甲方书面许可，不得将信息以任何方式（如E-mail）携带出甲方场所；</w:t>
      </w:r>
    </w:p>
    <w:p>
      <w:pPr>
        <w:spacing w:line="360" w:lineRule="auto"/>
        <w:ind w:firstLine="480" w:firstLineChars="200"/>
        <w:rPr>
          <w:rFonts w:ascii="Times New Roman" w:hAnsi="Times New Roman"/>
        </w:rPr>
      </w:pPr>
      <w:r>
        <w:rPr>
          <w:rFonts w:ascii="Times New Roman" w:hAnsi="Times New Roman"/>
        </w:rPr>
        <w:t xml:space="preserve">（5） 未经甲方书面许可，不得将信息透露给任何其他人； </w:t>
      </w:r>
    </w:p>
    <w:p>
      <w:pPr>
        <w:spacing w:line="360" w:lineRule="auto"/>
        <w:ind w:firstLine="480" w:firstLineChars="200"/>
        <w:rPr>
          <w:rFonts w:ascii="Times New Roman" w:hAnsi="Times New Roman"/>
        </w:rPr>
      </w:pPr>
      <w:r>
        <w:rPr>
          <w:rFonts w:ascii="Times New Roman" w:hAnsi="Times New Roman"/>
        </w:rPr>
        <w:t>（6） 严禁在提交的软件产品中设置远程维护接口和后门程序；</w:t>
      </w:r>
    </w:p>
    <w:p>
      <w:pPr>
        <w:spacing w:line="360" w:lineRule="auto"/>
        <w:ind w:firstLine="480" w:firstLineChars="200"/>
        <w:rPr>
          <w:rFonts w:ascii="Times New Roman" w:hAnsi="Times New Roman"/>
        </w:rPr>
      </w:pPr>
      <w:r>
        <w:rPr>
          <w:rFonts w:ascii="Times New Roman" w:hAnsi="Times New Roman"/>
        </w:rPr>
        <w:t>（7） 不得进行系统软硬件设备的远程维护；</w:t>
      </w:r>
    </w:p>
    <w:p>
      <w:pPr>
        <w:spacing w:line="360" w:lineRule="auto"/>
        <w:ind w:firstLine="480" w:firstLineChars="200"/>
        <w:rPr>
          <w:rFonts w:ascii="Times New Roman" w:hAnsi="Times New Roman"/>
        </w:rPr>
      </w:pPr>
      <w:r>
        <w:rPr>
          <w:rFonts w:ascii="Times New Roman" w:hAnsi="Times New Roman"/>
        </w:rPr>
        <w:t>（8） 甲方以书面形式提出的其他保密措施。</w:t>
      </w:r>
    </w:p>
    <w:p>
      <w:pPr>
        <w:spacing w:line="360" w:lineRule="auto"/>
        <w:ind w:firstLine="480" w:firstLineChars="200"/>
        <w:rPr>
          <w:rFonts w:ascii="Times New Roman" w:hAnsi="Times New Roman"/>
        </w:rPr>
      </w:pPr>
      <w:r>
        <w:rPr>
          <w:rFonts w:ascii="Times New Roman" w:hAnsi="Times New Roman"/>
        </w:rPr>
        <w:t>5.3 保密期限不受合同有效期的限制，在合同有效期结束后，信息接受方仍应承担保密义务，直至该等信息成为公开信息。</w:t>
      </w:r>
    </w:p>
    <w:p>
      <w:pPr>
        <w:spacing w:line="360" w:lineRule="auto"/>
        <w:ind w:firstLine="480" w:firstLineChars="200"/>
        <w:rPr>
          <w:rFonts w:ascii="Times New Roman" w:hAnsi="Times New Roman"/>
        </w:rPr>
      </w:pPr>
      <w:r>
        <w:rPr>
          <w:rFonts w:ascii="Times New Roman" w:hAnsi="Times New Roman"/>
        </w:rPr>
        <w:t>5.4 甲乙双方如出现泄密行为，泄密方应承担相关的法律责任，包括但是不限于对由此给对方造成的经济损失进行赔偿。</w:t>
      </w:r>
    </w:p>
    <w:p>
      <w:pPr>
        <w:topLinePunct/>
        <w:autoSpaceDE w:val="0"/>
        <w:autoSpaceDN w:val="0"/>
        <w:spacing w:line="360" w:lineRule="auto"/>
        <w:ind w:firstLine="482" w:firstLineChars="200"/>
        <w:rPr>
          <w:rFonts w:ascii="Times New Roman" w:hAnsi="Times New Roman"/>
          <w:b/>
        </w:rPr>
      </w:pPr>
      <w:r>
        <w:rPr>
          <w:rFonts w:ascii="Times New Roman" w:hAnsi="Times New Roman"/>
          <w:b/>
        </w:rPr>
        <w:t>6. 履约验收要求</w:t>
      </w:r>
    </w:p>
    <w:p>
      <w:pPr>
        <w:spacing w:line="360" w:lineRule="auto"/>
        <w:ind w:firstLine="480" w:firstLineChars="200"/>
        <w:rPr>
          <w:rFonts w:ascii="Times New Roman" w:hAnsi="Times New Roman"/>
        </w:rPr>
      </w:pPr>
      <w:r>
        <w:rPr>
          <w:rFonts w:ascii="Times New Roman" w:hAnsi="Times New Roman"/>
        </w:rPr>
        <w:t>6.1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spacing w:line="360" w:lineRule="auto"/>
        <w:ind w:firstLine="480" w:firstLineChars="200"/>
        <w:rPr>
          <w:rFonts w:ascii="Times New Roman" w:hAnsi="Times New Roman"/>
        </w:rPr>
      </w:pPr>
      <w:r>
        <w:rPr>
          <w:rFonts w:ascii="Times New Roman" w:hAnsi="Times New Roman"/>
        </w:rPr>
        <w:t>6.2具体履约验收要求详见招标（采购）文件。</w:t>
      </w:r>
    </w:p>
    <w:p>
      <w:pPr>
        <w:tabs>
          <w:tab w:val="left" w:pos="0"/>
          <w:tab w:val="left" w:pos="540"/>
        </w:tabs>
        <w:spacing w:line="360" w:lineRule="auto"/>
        <w:ind w:firstLine="482" w:firstLineChars="200"/>
        <w:rPr>
          <w:rFonts w:ascii="Times New Roman" w:hAnsi="Times New Roman"/>
          <w:b/>
        </w:rPr>
      </w:pPr>
      <w:r>
        <w:rPr>
          <w:rFonts w:ascii="Times New Roman" w:hAnsi="Times New Roman"/>
          <w:b/>
        </w:rPr>
        <w:t>7. 履约保证金</w:t>
      </w:r>
    </w:p>
    <w:p>
      <w:pPr>
        <w:tabs>
          <w:tab w:val="left" w:pos="700"/>
        </w:tabs>
        <w:spacing w:line="360" w:lineRule="auto"/>
        <w:ind w:firstLine="480" w:firstLineChars="200"/>
        <w:rPr>
          <w:rFonts w:ascii="Times New Roman" w:hAnsi="Times New Roman"/>
        </w:rPr>
      </w:pPr>
      <w:r>
        <w:rPr>
          <w:rFonts w:ascii="Times New Roman" w:hAnsi="Times New Roman"/>
        </w:rPr>
        <w:t>7.1 需提交履约保证金的项目，乙方应按照“合同条款前附表”第 10 项“履约保证金及返还”提交履约保证金。</w:t>
      </w:r>
    </w:p>
    <w:p>
      <w:pPr>
        <w:tabs>
          <w:tab w:val="left" w:pos="700"/>
        </w:tabs>
        <w:spacing w:line="360" w:lineRule="auto"/>
        <w:ind w:firstLine="480" w:firstLineChars="200"/>
        <w:rPr>
          <w:rFonts w:ascii="Times New Roman" w:hAnsi="Times New Roman"/>
        </w:rPr>
      </w:pPr>
      <w:r>
        <w:rPr>
          <w:rFonts w:ascii="Times New Roman" w:hAnsi="Times New Roman"/>
        </w:rPr>
        <w:t>7.2 履约保证金的金额可用于补偿甲方因乙方不能完成其合同义务而蒙受的损失。</w:t>
      </w:r>
    </w:p>
    <w:p>
      <w:pPr>
        <w:tabs>
          <w:tab w:val="left" w:pos="700"/>
        </w:tabs>
        <w:spacing w:line="360" w:lineRule="auto"/>
        <w:ind w:firstLine="480" w:firstLineChars="200"/>
        <w:rPr>
          <w:rFonts w:ascii="Times New Roman" w:hAnsi="Times New Roman"/>
        </w:rPr>
      </w:pPr>
      <w:r>
        <w:rPr>
          <w:rFonts w:ascii="Times New Roman" w:hAnsi="Times New Roma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80" w:firstLineChars="200"/>
        <w:rPr>
          <w:rFonts w:ascii="Times New Roman" w:hAnsi="Times New Roman"/>
        </w:rPr>
      </w:pPr>
      <w:r>
        <w:rPr>
          <w:rFonts w:ascii="Times New Roman" w:hAnsi="Times New Roman"/>
        </w:rPr>
        <w:t>7.4 乙方不履行合同、或者履行合同义务不符合约定使得合同目的不能实现，履约保证金不予退还，并应按合同约定支付违约金、赔偿金等。</w:t>
      </w:r>
    </w:p>
    <w:p>
      <w:pPr>
        <w:tabs>
          <w:tab w:val="left" w:pos="700"/>
        </w:tabs>
        <w:spacing w:line="360" w:lineRule="auto"/>
        <w:ind w:firstLine="480" w:firstLineChars="200"/>
        <w:rPr>
          <w:rFonts w:ascii="Times New Roman" w:hAnsi="Times New Roman"/>
        </w:rPr>
      </w:pPr>
      <w:r>
        <w:rPr>
          <w:rFonts w:ascii="Times New Roman" w:hAnsi="Times New Roman"/>
        </w:rPr>
        <w:t>7.5 履约保证金在合同履行期满后，扣除相应款项（如有）且双方无争议后，凭返还申请等资料一次性无息返还，详见“合同条款前附表”第10项“履约保证金及返还”。</w:t>
      </w:r>
    </w:p>
    <w:p>
      <w:pPr>
        <w:tabs>
          <w:tab w:val="left" w:pos="0"/>
          <w:tab w:val="left" w:pos="540"/>
        </w:tabs>
        <w:spacing w:line="360" w:lineRule="auto"/>
        <w:ind w:firstLine="482" w:firstLineChars="200"/>
        <w:rPr>
          <w:rFonts w:ascii="Times New Roman" w:hAnsi="Times New Roman"/>
          <w:b/>
        </w:rPr>
      </w:pPr>
      <w:r>
        <w:rPr>
          <w:rFonts w:ascii="Times New Roman" w:hAnsi="Times New Roman"/>
          <w:b/>
        </w:rPr>
        <w:t>8．履约延误</w:t>
      </w:r>
    </w:p>
    <w:p>
      <w:pPr>
        <w:topLinePunct/>
        <w:autoSpaceDE w:val="0"/>
        <w:autoSpaceDN w:val="0"/>
        <w:spacing w:line="360" w:lineRule="auto"/>
        <w:ind w:firstLine="480" w:firstLineChars="200"/>
        <w:rPr>
          <w:rFonts w:ascii="Times New Roman" w:hAnsi="Times New Roman"/>
        </w:rPr>
      </w:pPr>
      <w:r>
        <w:rPr>
          <w:rFonts w:ascii="Times New Roman" w:hAnsi="Times New Roman"/>
        </w:rPr>
        <w:t>8.1 乙方应按照本合同的规定提供服务。</w:t>
      </w:r>
    </w:p>
    <w:p>
      <w:pPr>
        <w:topLinePunct/>
        <w:autoSpaceDE w:val="0"/>
        <w:autoSpaceDN w:val="0"/>
        <w:spacing w:line="360" w:lineRule="auto"/>
        <w:ind w:firstLine="480" w:firstLineChars="200"/>
        <w:rPr>
          <w:rFonts w:ascii="Times New Roman" w:hAnsi="Times New Roman"/>
        </w:rPr>
      </w:pPr>
      <w:r>
        <w:rPr>
          <w:rFonts w:ascii="Times New Roman" w:hAnsi="Times New Roman"/>
        </w:rPr>
        <w:t>8.2 除本合同</w:t>
      </w:r>
      <w:r>
        <w:rPr>
          <w:rFonts w:hint="eastAsia" w:ascii="Times New Roman" w:hAnsi="Times New Roman"/>
        </w:rPr>
        <w:t>、</w:t>
      </w:r>
      <w:r>
        <w:rPr>
          <w:rFonts w:ascii="Times New Roman" w:hAnsi="Times New Roman"/>
        </w:rPr>
        <w:t>招标（采购）文件另有约定外，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ascii="Times New Roman" w:hAnsi="Times New Roman"/>
        </w:rPr>
      </w:pPr>
      <w:r>
        <w:rPr>
          <w:rFonts w:ascii="Times New Roman" w:hAnsi="Times New Roman"/>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pacing w:line="360" w:lineRule="auto"/>
        <w:ind w:firstLine="480" w:firstLineChars="200"/>
        <w:rPr>
          <w:rFonts w:ascii="Times New Roman" w:hAnsi="Times New Roman"/>
        </w:rPr>
      </w:pPr>
      <w:r>
        <w:rPr>
          <w:rFonts w:ascii="Times New Roman" w:hAnsi="Times New Roman"/>
        </w:rPr>
        <w:t>8.4 除不可抗力和根据合同规定延期取得甲方同意而不收取误期违约金之外，乙方延误工期，将按合同规定被收取误期违约金。</w:t>
      </w:r>
    </w:p>
    <w:p>
      <w:pPr>
        <w:topLinePunct/>
        <w:autoSpaceDE w:val="0"/>
        <w:autoSpaceDN w:val="0"/>
        <w:spacing w:line="360" w:lineRule="auto"/>
        <w:ind w:firstLine="480" w:firstLineChars="200"/>
        <w:rPr>
          <w:rFonts w:ascii="Times New Roman" w:hAnsi="Times New Roman"/>
        </w:rPr>
      </w:pPr>
      <w:r>
        <w:rPr>
          <w:rFonts w:ascii="Times New Roman" w:hAnsi="Times New Roman"/>
        </w:rPr>
        <w:t>8.5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topLinePunct/>
        <w:autoSpaceDE w:val="0"/>
        <w:autoSpaceDN w:val="0"/>
        <w:spacing w:line="360" w:lineRule="auto"/>
        <w:ind w:firstLine="480" w:firstLineChars="200"/>
      </w:pPr>
      <w:r>
        <w:rPr>
          <w:rFonts w:hint="eastAsia" w:ascii="Times New Roman" w:hAnsi="Times New Roman"/>
        </w:rPr>
        <w:t xml:space="preserve">8.6 </w:t>
      </w:r>
      <w:r>
        <w:rPr>
          <w:rFonts w:ascii="Times New Roman" w:hAnsi="Times New Roman"/>
        </w:rPr>
        <w:t>若甲方延迟支付款项，逾期超过10个工作日的，乙方有权书面向甲方催讨。自甲方收到催讨文件之日起30个工作日内未支付，按逾期</w:t>
      </w:r>
      <w:r>
        <w:rPr>
          <w:rFonts w:hint="eastAsia" w:ascii="Times New Roman" w:hAnsi="Times New Roman"/>
        </w:rPr>
        <w:t>支付</w:t>
      </w:r>
      <w:r>
        <w:rPr>
          <w:rFonts w:ascii="Times New Roman" w:hAnsi="Times New Roman"/>
        </w:rPr>
        <w:t>金额万分之一（0.01%）/日的标准计算逾期付款违约金。</w:t>
      </w:r>
    </w:p>
    <w:p>
      <w:pPr>
        <w:topLinePunct/>
        <w:autoSpaceDE w:val="0"/>
        <w:autoSpaceDN w:val="0"/>
        <w:spacing w:line="360" w:lineRule="auto"/>
        <w:ind w:firstLine="482" w:firstLineChars="200"/>
        <w:rPr>
          <w:rFonts w:ascii="Times New Roman" w:hAnsi="Times New Roman"/>
          <w:b/>
        </w:rPr>
      </w:pPr>
      <w:r>
        <w:rPr>
          <w:rFonts w:ascii="Times New Roman" w:hAnsi="Times New Roman"/>
          <w:b/>
        </w:rPr>
        <w:t>9. 违约责任</w:t>
      </w:r>
    </w:p>
    <w:p>
      <w:pPr>
        <w:topLinePunct/>
        <w:autoSpaceDE w:val="0"/>
        <w:autoSpaceDN w:val="0"/>
        <w:spacing w:line="360" w:lineRule="auto"/>
        <w:ind w:firstLine="480" w:firstLineChars="200"/>
        <w:rPr>
          <w:rFonts w:ascii="Times New Roman" w:hAnsi="Times New Roman"/>
        </w:rPr>
      </w:pPr>
      <w:r>
        <w:rPr>
          <w:rFonts w:ascii="Times New Roman" w:hAnsi="Times New Roman"/>
        </w:rPr>
        <w:t>9.1 除本合同</w:t>
      </w:r>
      <w:r>
        <w:rPr>
          <w:rFonts w:hint="eastAsia" w:ascii="Times New Roman" w:hAnsi="Times New Roman"/>
        </w:rPr>
        <w:t>、</w:t>
      </w:r>
      <w:r>
        <w:rPr>
          <w:rFonts w:ascii="Times New Roman" w:hAnsi="Times New Roman"/>
        </w:rPr>
        <w:t>招标（采购）文件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ascii="Times New Roman" w:hAnsi="Times New Roman"/>
        </w:rPr>
      </w:pPr>
      <w:r>
        <w:rPr>
          <w:rFonts w:ascii="Times New Roman" w:hAnsi="Times New Roman"/>
        </w:rPr>
        <w:t>9.2 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w:t>
      </w:r>
      <w:r>
        <w:rPr>
          <w:rFonts w:hint="eastAsia" w:ascii="Times New Roman" w:hAnsi="Times New Roman"/>
        </w:rPr>
        <w:t>赔付</w:t>
      </w:r>
      <w:r>
        <w:rPr>
          <w:rFonts w:ascii="Times New Roman" w:hAnsi="Times New Roman"/>
        </w:rPr>
        <w:t>。</w:t>
      </w:r>
    </w:p>
    <w:p>
      <w:pPr>
        <w:topLinePunct/>
        <w:autoSpaceDE w:val="0"/>
        <w:autoSpaceDN w:val="0"/>
        <w:spacing w:line="360" w:lineRule="auto"/>
        <w:ind w:firstLine="480" w:firstLineChars="200"/>
        <w:rPr>
          <w:rFonts w:ascii="Times New Roman" w:hAnsi="Times New Roman"/>
        </w:rPr>
      </w:pPr>
      <w:r>
        <w:rPr>
          <w:rFonts w:ascii="Times New Roman" w:hAnsi="Times New Roman"/>
        </w:rPr>
        <w:t>9.3 除应支付甲方违约金等外，甲方有权根据合同或有关部门出具的检验证书向乙方提出索赔。</w:t>
      </w:r>
    </w:p>
    <w:p>
      <w:pPr>
        <w:topLinePunct/>
        <w:autoSpaceDE w:val="0"/>
        <w:autoSpaceDN w:val="0"/>
        <w:spacing w:line="360" w:lineRule="auto"/>
        <w:ind w:firstLine="480" w:firstLineChars="200"/>
        <w:rPr>
          <w:rFonts w:ascii="Times New Roman" w:hAnsi="Times New Roman"/>
        </w:rPr>
      </w:pPr>
      <w:r>
        <w:rPr>
          <w:rFonts w:ascii="Times New Roman" w:hAnsi="Times New Roman"/>
        </w:rPr>
        <w:t>9.4 如果乙方对差异负有责任而甲方提出索赔，乙方同意按照下列方式解决索赔事宜：</w:t>
      </w:r>
    </w:p>
    <w:p>
      <w:pPr>
        <w:topLinePunct/>
        <w:autoSpaceDE w:val="0"/>
        <w:autoSpaceDN w:val="0"/>
        <w:spacing w:line="360" w:lineRule="auto"/>
        <w:ind w:firstLine="480" w:firstLineChars="200"/>
        <w:rPr>
          <w:rFonts w:ascii="Times New Roman" w:hAnsi="Times New Roman"/>
        </w:rPr>
      </w:pPr>
      <w:r>
        <w:rPr>
          <w:rFonts w:ascii="Times New Roman" w:hAnsi="Times New Roman"/>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opLinePunct/>
        <w:autoSpaceDE w:val="0"/>
        <w:autoSpaceDN w:val="0"/>
        <w:spacing w:line="360" w:lineRule="auto"/>
        <w:ind w:firstLine="480" w:firstLineChars="200"/>
        <w:rPr>
          <w:rFonts w:ascii="Times New Roman" w:hAnsi="Times New Roman"/>
        </w:rPr>
      </w:pPr>
      <w:r>
        <w:rPr>
          <w:rFonts w:hint="eastAsia" w:ascii="Times New Roman" w:hAnsi="Times New Roman"/>
        </w:rPr>
        <w:t>9.5 乙方不得以任何不正当行为谋取不当利益，包括但不限于“围猎”甲方税务人员行为（指以获取不正当利益为目的，采取馈赠礼品礼金、邀请娱乐旅游消费、提供便利条件等非正常交往手段“围猎”相关税务人员及其亲属），否则将承担相应的法律责任，并接受甲方相关处罚。</w:t>
      </w:r>
    </w:p>
    <w:p>
      <w:pPr>
        <w:topLinePunct/>
        <w:autoSpaceDE w:val="0"/>
        <w:autoSpaceDN w:val="0"/>
        <w:spacing w:line="360" w:lineRule="auto"/>
        <w:ind w:firstLine="480" w:firstLineChars="200"/>
        <w:rPr>
          <w:rFonts w:ascii="Times New Roman" w:hAnsi="Times New Roman"/>
        </w:rPr>
      </w:pPr>
      <w:r>
        <w:rPr>
          <w:rFonts w:ascii="Times New Roman" w:hAnsi="Times New Roman"/>
        </w:rPr>
        <w:t>9.</w:t>
      </w:r>
      <w:r>
        <w:rPr>
          <w:rFonts w:hint="eastAsia" w:ascii="Times New Roman" w:hAnsi="Times New Roman"/>
        </w:rPr>
        <w:t>6</w:t>
      </w:r>
      <w:r>
        <w:rPr>
          <w:rFonts w:ascii="Times New Roman" w:hAnsi="Times New Roman"/>
        </w:rPr>
        <w:t xml:space="preserve"> 对于本协议未约定的、招标（采购）文件中约定的违约处理条款，按招标（采购）文件相关约定执行；对本协议与招标（采购）文件约定不同的违约处理条款，以招标（采购）文件约定为准。</w:t>
      </w:r>
    </w:p>
    <w:p>
      <w:pPr>
        <w:spacing w:line="360" w:lineRule="auto"/>
        <w:ind w:firstLine="482" w:firstLineChars="200"/>
        <w:rPr>
          <w:rFonts w:ascii="Times New Roman" w:hAnsi="Times New Roman"/>
          <w:b/>
        </w:rPr>
      </w:pPr>
      <w:r>
        <w:rPr>
          <w:rFonts w:ascii="Times New Roman" w:hAnsi="Times New Roman"/>
          <w:b/>
        </w:rPr>
        <w:t>10. 不可抗力</w:t>
      </w:r>
    </w:p>
    <w:p>
      <w:pPr>
        <w:spacing w:line="360" w:lineRule="auto"/>
        <w:ind w:firstLine="480" w:firstLineChars="200"/>
        <w:rPr>
          <w:rFonts w:ascii="Times New Roman" w:hAnsi="Times New Roman"/>
        </w:rPr>
      </w:pPr>
      <w:r>
        <w:rPr>
          <w:rFonts w:ascii="Times New Roman" w:hAnsi="Times New Roman"/>
        </w:rPr>
        <w:t>10.1 本条所述的“不可抗力”系指双方不可预见、不可避免、不可克服的客观情况，但不包括双方的违约或疏忽。这些事件包括但不限于：战争、严重火灾、洪水、台风、地震等。</w:t>
      </w:r>
    </w:p>
    <w:p>
      <w:pPr>
        <w:spacing w:line="360" w:lineRule="auto"/>
        <w:ind w:firstLine="480" w:firstLineChars="200"/>
        <w:rPr>
          <w:rFonts w:ascii="Times New Roman" w:hAnsi="Times New Roman"/>
        </w:rPr>
      </w:pPr>
      <w:r>
        <w:rPr>
          <w:rFonts w:ascii="Times New Roman" w:hAnsi="Times New Roman"/>
        </w:rPr>
        <w:t>10.2 如果乙方因不可抗力而导致合同实施延误或不能履行合同义务，不应承担误期赔偿或终止合同的责任。</w:t>
      </w:r>
    </w:p>
    <w:p>
      <w:pPr>
        <w:spacing w:line="360" w:lineRule="auto"/>
        <w:ind w:firstLine="480" w:firstLineChars="200"/>
        <w:rPr>
          <w:rFonts w:ascii="Times New Roman" w:hAnsi="Times New Roman"/>
        </w:rPr>
      </w:pPr>
      <w:r>
        <w:rPr>
          <w:rFonts w:ascii="Times New Roman" w:hAnsi="Times New Roman"/>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80" w:firstLineChars="200"/>
        <w:rPr>
          <w:rFonts w:ascii="Times New Roman" w:hAnsi="Times New Roman"/>
        </w:rPr>
      </w:pPr>
      <w:r>
        <w:rPr>
          <w:rFonts w:ascii="Times New Roman" w:hAnsi="Times New Roman"/>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82" w:firstLineChars="200"/>
        <w:rPr>
          <w:rFonts w:ascii="Times New Roman" w:hAnsi="Times New Roman"/>
          <w:b/>
        </w:rPr>
      </w:pPr>
      <w:r>
        <w:rPr>
          <w:rFonts w:ascii="Times New Roman" w:hAnsi="Times New Roman"/>
          <w:b/>
        </w:rPr>
        <w:t>11. 争端的解决</w:t>
      </w:r>
    </w:p>
    <w:p>
      <w:pPr>
        <w:spacing w:line="360" w:lineRule="auto"/>
        <w:ind w:firstLine="480" w:firstLineChars="200"/>
        <w:rPr>
          <w:rFonts w:ascii="Times New Roman" w:hAnsi="Times New Roman"/>
        </w:rPr>
      </w:pPr>
      <w:r>
        <w:rPr>
          <w:rFonts w:ascii="Times New Roman" w:hAnsi="Times New Roman"/>
        </w:rPr>
        <w:t>11.1 甲乙双方应首先通过友好协商解决在执行本合同中所发生的或与本合同有关的一切</w:t>
      </w:r>
      <w:r>
        <w:rPr>
          <w:rFonts w:hint="eastAsia" w:ascii="Times New Roman" w:hAnsi="Times New Roman"/>
        </w:rPr>
        <w:t>争议</w:t>
      </w:r>
      <w:r>
        <w:rPr>
          <w:rFonts w:ascii="Times New Roman" w:hAnsi="Times New Roman"/>
        </w:rPr>
        <w:t>。如从协商开始</w:t>
      </w:r>
      <w:r>
        <w:rPr>
          <w:rFonts w:ascii="Times New Roman" w:hAnsi="Times New Roman"/>
          <w:u w:val="single"/>
        </w:rPr>
        <w:t xml:space="preserve"> </w:t>
      </w:r>
      <w:r>
        <w:rPr>
          <w:rFonts w:hint="eastAsia" w:ascii="Times New Roman" w:hAnsi="Times New Roman"/>
          <w:u w:val="single"/>
        </w:rPr>
        <w:t>30</w:t>
      </w:r>
      <w:r>
        <w:rPr>
          <w:rFonts w:ascii="Times New Roman" w:hAnsi="Times New Roman"/>
          <w:u w:val="single"/>
        </w:rPr>
        <w:t xml:space="preserve"> </w:t>
      </w:r>
      <w:r>
        <w:rPr>
          <w:rFonts w:ascii="Times New Roman" w:hAnsi="Times New Roman"/>
        </w:rPr>
        <w:t>天内仍不能解决，可以按合同约定的方式提起仲裁。</w:t>
      </w:r>
    </w:p>
    <w:p>
      <w:pPr>
        <w:spacing w:line="360" w:lineRule="auto"/>
        <w:ind w:left="274" w:leftChars="114" w:firstLine="240" w:firstLineChars="100"/>
        <w:rPr>
          <w:rFonts w:ascii="Times New Roman" w:hAnsi="Times New Roman"/>
        </w:rPr>
      </w:pPr>
      <w:r>
        <w:rPr>
          <w:rFonts w:ascii="Times New Roman" w:hAnsi="Times New Roman"/>
        </w:rPr>
        <w:t>11.2</w:t>
      </w:r>
      <w:r>
        <w:rPr>
          <w:rFonts w:hint="eastAsia" w:ascii="Times New Roman" w:hAnsi="Times New Roman"/>
        </w:rPr>
        <w:t xml:space="preserve"> </w:t>
      </w:r>
      <w:r>
        <w:rPr>
          <w:rFonts w:ascii="Times New Roman" w:hAnsi="Times New Roman"/>
        </w:rPr>
        <w:t>仲裁应向</w:t>
      </w:r>
      <w:r>
        <w:rPr>
          <w:rFonts w:ascii="Times New Roman" w:hAnsi="Times New Roman"/>
          <w:u w:val="single"/>
        </w:rPr>
        <w:t xml:space="preserve"> </w:t>
      </w:r>
      <w:r>
        <w:rPr>
          <w:rFonts w:hint="eastAsia" w:ascii="Times New Roman" w:hAnsi="Times New Roman"/>
          <w:u w:val="single"/>
        </w:rPr>
        <w:t>汕头</w:t>
      </w:r>
      <w:r>
        <w:rPr>
          <w:rFonts w:ascii="Times New Roman" w:hAnsi="Times New Roman"/>
          <w:u w:val="single"/>
        </w:rPr>
        <w:t xml:space="preserve"> </w:t>
      </w:r>
      <w:r>
        <w:rPr>
          <w:rFonts w:ascii="Times New Roman" w:hAnsi="Times New Roman"/>
        </w:rPr>
        <w:t>仲裁委员会申请仲裁。</w:t>
      </w:r>
    </w:p>
    <w:p>
      <w:pPr>
        <w:spacing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3</w:t>
      </w:r>
      <w:r>
        <w:rPr>
          <w:rFonts w:ascii="Times New Roman" w:hAnsi="Times New Roman"/>
        </w:rPr>
        <w:t xml:space="preserve"> 仲裁裁决应为最终裁决，对双方均具有约束力。</w:t>
      </w:r>
    </w:p>
    <w:p>
      <w:pPr>
        <w:spacing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4</w:t>
      </w:r>
      <w:r>
        <w:rPr>
          <w:rFonts w:ascii="Times New Roman" w:hAnsi="Times New Roman"/>
        </w:rPr>
        <w:t xml:space="preserve"> 仲裁费除仲裁机关另有裁决外应由败诉方负担。</w:t>
      </w:r>
    </w:p>
    <w:p>
      <w:pPr>
        <w:spacing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5</w:t>
      </w:r>
      <w:r>
        <w:rPr>
          <w:rFonts w:ascii="Times New Roman" w:hAnsi="Times New Roman"/>
        </w:rPr>
        <w:t>在仲裁期间，除正在进行仲裁部分外，本合同的其它部分应继续执行。</w:t>
      </w:r>
    </w:p>
    <w:p>
      <w:pPr>
        <w:spacing w:line="360" w:lineRule="auto"/>
        <w:ind w:firstLine="482" w:firstLineChars="200"/>
        <w:rPr>
          <w:rFonts w:ascii="Times New Roman" w:hAnsi="Times New Roman"/>
          <w:b/>
        </w:rPr>
      </w:pPr>
      <w:r>
        <w:rPr>
          <w:rFonts w:ascii="Times New Roman" w:hAnsi="Times New Roman"/>
          <w:b/>
        </w:rPr>
        <w:t>12. 违约终止合同</w:t>
      </w:r>
    </w:p>
    <w:p>
      <w:pPr>
        <w:topLinePunct/>
        <w:autoSpaceDE w:val="0"/>
        <w:autoSpaceDN w:val="0"/>
        <w:spacing w:line="360" w:lineRule="auto"/>
        <w:ind w:firstLine="480" w:firstLineChars="200"/>
        <w:rPr>
          <w:rFonts w:ascii="Times New Roman" w:hAnsi="Times New Roman"/>
        </w:rPr>
      </w:pPr>
      <w:r>
        <w:rPr>
          <w:rFonts w:ascii="Times New Roman" w:hAnsi="Times New Roman"/>
        </w:rPr>
        <w:t>12.1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topLinePunct/>
        <w:autoSpaceDE w:val="0"/>
        <w:autoSpaceDN w:val="0"/>
        <w:spacing w:line="360" w:lineRule="auto"/>
        <w:ind w:firstLine="480" w:firstLineChars="200"/>
        <w:rPr>
          <w:rFonts w:ascii="Times New Roman" w:hAnsi="Times New Roman"/>
        </w:rPr>
      </w:pPr>
      <w:r>
        <w:rPr>
          <w:rFonts w:ascii="Times New Roman" w:hAnsi="Times New Roman"/>
        </w:rPr>
        <w:t>12.1.1 乙方不履行合同义务或者履行合同义务不符合合同约定累计达两次的；</w:t>
      </w:r>
    </w:p>
    <w:p>
      <w:pPr>
        <w:topLinePunct/>
        <w:autoSpaceDE w:val="0"/>
        <w:autoSpaceDN w:val="0"/>
        <w:spacing w:line="360" w:lineRule="auto"/>
        <w:ind w:firstLine="480" w:firstLineChars="200"/>
        <w:rPr>
          <w:rFonts w:ascii="Times New Roman" w:hAnsi="Times New Roman"/>
        </w:rPr>
      </w:pPr>
      <w:r>
        <w:rPr>
          <w:rFonts w:ascii="Times New Roman" w:hAnsi="Times New Roman"/>
        </w:rPr>
        <w:t>12.1.2 如果乙方未能在合同规定的期限或甲方同意延长的期限内提供服务，迟延累计达20日的；</w:t>
      </w:r>
    </w:p>
    <w:p>
      <w:pPr>
        <w:topLinePunct/>
        <w:autoSpaceDE w:val="0"/>
        <w:autoSpaceDN w:val="0"/>
        <w:spacing w:line="360" w:lineRule="auto"/>
        <w:ind w:firstLine="480" w:firstLineChars="200"/>
        <w:rPr>
          <w:rFonts w:ascii="Times New Roman" w:hAnsi="Times New Roman"/>
        </w:rPr>
      </w:pPr>
      <w:r>
        <w:rPr>
          <w:rFonts w:ascii="Times New Roman" w:hAnsi="Times New Roman"/>
        </w:rPr>
        <w:t>12.1.3 因乙方人员自身技术能力、经验不足等问题造成甲方发生重大紧急故障，带来重大影响和损失的；</w:t>
      </w:r>
    </w:p>
    <w:p>
      <w:pPr>
        <w:topLinePunct/>
        <w:autoSpaceDE w:val="0"/>
        <w:autoSpaceDN w:val="0"/>
        <w:spacing w:line="360" w:lineRule="auto"/>
        <w:ind w:firstLine="480" w:firstLineChars="200"/>
        <w:rPr>
          <w:rFonts w:ascii="Times New Roman" w:hAnsi="Times New Roman"/>
        </w:rPr>
      </w:pPr>
      <w:r>
        <w:rPr>
          <w:rFonts w:ascii="Times New Roman" w:hAnsi="Times New Roman"/>
        </w:rPr>
        <w:t>12.1.4 乙方对重大紧急故障没有及时响应，或不能在规定时间内解决处理故障、恢复正常运行的；</w:t>
      </w:r>
    </w:p>
    <w:p>
      <w:pPr>
        <w:topLinePunct/>
        <w:autoSpaceDE w:val="0"/>
        <w:autoSpaceDN w:val="0"/>
        <w:spacing w:line="360" w:lineRule="auto"/>
        <w:ind w:firstLine="480" w:firstLineChars="200"/>
        <w:rPr>
          <w:rFonts w:ascii="Times New Roman" w:hAnsi="Times New Roman"/>
        </w:rPr>
      </w:pPr>
      <w:r>
        <w:rPr>
          <w:rFonts w:ascii="Times New Roman" w:hAnsi="Times New Roman"/>
        </w:rPr>
        <w:t>12.1.5 乙方不能满足本项目技术需求的管理要求和规范，且经两次整改无明显改进的；</w:t>
      </w:r>
    </w:p>
    <w:p>
      <w:pPr>
        <w:topLinePunct/>
        <w:autoSpaceDE w:val="0"/>
        <w:autoSpaceDN w:val="0"/>
        <w:spacing w:line="360" w:lineRule="auto"/>
        <w:ind w:firstLine="480" w:firstLineChars="200"/>
        <w:rPr>
          <w:rFonts w:ascii="Times New Roman" w:hAnsi="Times New Roman"/>
        </w:rPr>
      </w:pPr>
      <w:r>
        <w:rPr>
          <w:rFonts w:ascii="Times New Roman" w:hAnsi="Times New Roman"/>
        </w:rPr>
        <w:t>12.1.6 乙方利用本项目实施过程中所产生的成果（包括但不限于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topLinePunct/>
        <w:autoSpaceDE w:val="0"/>
        <w:autoSpaceDN w:val="0"/>
        <w:spacing w:line="360" w:lineRule="auto"/>
        <w:ind w:firstLine="480" w:firstLineChars="200"/>
        <w:rPr>
          <w:rFonts w:ascii="Times New Roman" w:hAnsi="Times New Roman"/>
        </w:rPr>
      </w:pPr>
      <w:r>
        <w:rPr>
          <w:rFonts w:ascii="Times New Roman" w:hAnsi="Times New Roman"/>
        </w:rPr>
        <w:t>12.1.7 乙方在本项目实施过程中发生违反网络安全规定行为造成不良后果的。</w:t>
      </w:r>
    </w:p>
    <w:p>
      <w:pPr>
        <w:topLinePunct/>
        <w:autoSpaceDE w:val="0"/>
        <w:autoSpaceDN w:val="0"/>
        <w:spacing w:line="360" w:lineRule="auto"/>
        <w:ind w:firstLine="480" w:firstLineChars="200"/>
        <w:rPr>
          <w:rFonts w:ascii="Times New Roman" w:hAnsi="Times New Roman"/>
        </w:rPr>
      </w:pPr>
      <w:r>
        <w:rPr>
          <w:rFonts w:ascii="Times New Roman" w:hAnsi="Times New Roman"/>
        </w:rPr>
        <w:t>12.1.8 乙方提供的服务侵犯甲方、第三方知识产权等合法权益的；</w:t>
      </w:r>
    </w:p>
    <w:p>
      <w:pPr>
        <w:topLinePunct/>
        <w:autoSpaceDE w:val="0"/>
        <w:autoSpaceDN w:val="0"/>
        <w:spacing w:line="360" w:lineRule="auto"/>
        <w:ind w:firstLine="480" w:firstLineChars="200"/>
        <w:rPr>
          <w:rFonts w:ascii="Times New Roman" w:hAnsi="Times New Roman"/>
        </w:rPr>
      </w:pPr>
      <w:r>
        <w:rPr>
          <w:rFonts w:ascii="Times New Roman" w:hAnsi="Times New Roman"/>
        </w:rPr>
        <w:t>12.1.9 乙方或乙方人员造成甲方或第三方经济损失而拒不赔偿的；</w:t>
      </w:r>
    </w:p>
    <w:p>
      <w:pPr>
        <w:topLinePunct/>
        <w:autoSpaceDE w:val="0"/>
        <w:autoSpaceDN w:val="0"/>
        <w:spacing w:line="360" w:lineRule="auto"/>
        <w:ind w:firstLine="480" w:firstLineChars="200"/>
        <w:rPr>
          <w:rFonts w:ascii="Times New Roman" w:hAnsi="Times New Roman"/>
        </w:rPr>
      </w:pPr>
      <w:r>
        <w:rPr>
          <w:rFonts w:ascii="Times New Roman" w:hAnsi="Times New Roman"/>
        </w:rPr>
        <w:t>12.1.10 乙方转让其应履行的合同义务，或未经甲方同意采取分包方式履行合同的；</w:t>
      </w:r>
    </w:p>
    <w:p>
      <w:pPr>
        <w:topLinePunct/>
        <w:autoSpaceDE w:val="0"/>
        <w:autoSpaceDN w:val="0"/>
        <w:spacing w:line="360" w:lineRule="auto"/>
        <w:ind w:firstLine="480" w:firstLineChars="200"/>
        <w:rPr>
          <w:rFonts w:ascii="Times New Roman" w:hAnsi="Times New Roman" w:eastAsia="仿宋"/>
        </w:rPr>
      </w:pPr>
      <w:r>
        <w:rPr>
          <w:rFonts w:hint="eastAsia" w:ascii="Times New Roman" w:hAnsi="Times New Roman"/>
        </w:rPr>
        <w:t>12.1.11 乙方在本合同履行过程中存在“围猎”甲方税务人员行为的。</w:t>
      </w:r>
    </w:p>
    <w:p>
      <w:pPr>
        <w:topLinePunct/>
        <w:autoSpaceDE w:val="0"/>
        <w:autoSpaceDN w:val="0"/>
        <w:spacing w:line="360" w:lineRule="auto"/>
        <w:ind w:firstLine="480" w:firstLineChars="200"/>
        <w:rPr>
          <w:rFonts w:ascii="Times New Roman" w:hAnsi="Times New Roman"/>
        </w:rPr>
      </w:pPr>
      <w:r>
        <w:rPr>
          <w:rFonts w:hint="eastAsia" w:ascii="Times New Roman" w:hAnsi="Times New Roman"/>
        </w:rPr>
        <w:t xml:space="preserve">12.1.12 </w:t>
      </w:r>
      <w:r>
        <w:rPr>
          <w:rFonts w:ascii="Times New Roman" w:hAnsi="Times New Roman"/>
        </w:rPr>
        <w:t>乙方有其他严重违约行为的。</w:t>
      </w:r>
    </w:p>
    <w:p>
      <w:pPr>
        <w:topLinePunct/>
        <w:autoSpaceDE w:val="0"/>
        <w:autoSpaceDN w:val="0"/>
        <w:spacing w:line="360" w:lineRule="auto"/>
        <w:ind w:firstLine="480" w:firstLineChars="200"/>
        <w:rPr>
          <w:rFonts w:ascii="Times New Roman" w:hAnsi="Times New Roman"/>
        </w:rPr>
      </w:pPr>
      <w:r>
        <w:rPr>
          <w:rFonts w:ascii="Times New Roman" w:hAnsi="Times New Roman"/>
        </w:rPr>
        <w:t>12.</w:t>
      </w:r>
      <w:r>
        <w:rPr>
          <w:rFonts w:hint="eastAsia" w:ascii="Times New Roman" w:hAnsi="Times New Roman"/>
        </w:rPr>
        <w:t>2</w:t>
      </w:r>
      <w:r>
        <w:rPr>
          <w:rFonts w:ascii="Times New Roman" w:hAnsi="Times New Roman"/>
        </w:rPr>
        <w:t xml:space="preserve"> 如果甲方根据上述第12.1条的规定，解除了全部或部分合同，甲方可以适当的条件和方法</w:t>
      </w:r>
      <w:r>
        <w:rPr>
          <w:rFonts w:hint="eastAsia" w:ascii="Times New Roman" w:hAnsi="Times New Roman"/>
        </w:rPr>
        <w:t>向第三方</w:t>
      </w:r>
      <w:r>
        <w:rPr>
          <w:rFonts w:ascii="Times New Roman" w:hAnsi="Times New Roman"/>
        </w:rPr>
        <w:t>购买乙方未能提供的服务，乙方应对甲方购买类似服务所超出的费用负责。同时，乙方应继续执行合同中未解除的部分。</w:t>
      </w:r>
    </w:p>
    <w:p>
      <w:pPr>
        <w:spacing w:line="360" w:lineRule="auto"/>
        <w:ind w:firstLine="482" w:firstLineChars="200"/>
        <w:rPr>
          <w:rFonts w:ascii="Times New Roman" w:hAnsi="Times New Roman"/>
          <w:b/>
        </w:rPr>
      </w:pPr>
      <w:r>
        <w:rPr>
          <w:rFonts w:ascii="Times New Roman" w:hAnsi="Times New Roman"/>
          <w:b/>
        </w:rPr>
        <w:t>13. 破产终止合同</w:t>
      </w:r>
    </w:p>
    <w:p>
      <w:pPr>
        <w:spacing w:line="360" w:lineRule="auto"/>
        <w:ind w:firstLine="480" w:firstLineChars="200"/>
        <w:rPr>
          <w:rFonts w:ascii="Times New Roman" w:hAnsi="Times New Roman"/>
        </w:rPr>
      </w:pPr>
      <w:r>
        <w:rPr>
          <w:rFonts w:ascii="Times New Roman" w:hAnsi="Times New Roman"/>
        </w:rPr>
        <w:t>13.1 如果乙方破产或无清偿能力，甲方可在任何时候以书面形式通知乙方终止合同而不给乙方补偿。</w:t>
      </w:r>
    </w:p>
    <w:p>
      <w:pPr>
        <w:spacing w:line="360" w:lineRule="auto"/>
        <w:ind w:firstLine="480" w:firstLineChars="200"/>
        <w:rPr>
          <w:rFonts w:ascii="Times New Roman" w:hAnsi="Times New Roman"/>
        </w:rPr>
      </w:pPr>
      <w:r>
        <w:rPr>
          <w:rFonts w:ascii="Times New Roman" w:hAnsi="Times New Roman"/>
        </w:rPr>
        <w:t>13.2该终止合同将不损害或影响甲方已经采取或将要采取的任何行动或补救措施的权利。</w:t>
      </w:r>
    </w:p>
    <w:p>
      <w:pPr>
        <w:topLinePunct/>
        <w:autoSpaceDE w:val="0"/>
        <w:autoSpaceDN w:val="0"/>
        <w:spacing w:line="360" w:lineRule="auto"/>
        <w:ind w:firstLine="482" w:firstLineChars="200"/>
        <w:rPr>
          <w:rFonts w:ascii="Times New Roman" w:hAnsi="Times New Roman"/>
          <w:b/>
        </w:rPr>
      </w:pPr>
      <w:r>
        <w:rPr>
          <w:rFonts w:ascii="Times New Roman" w:hAnsi="Times New Roman"/>
          <w:b/>
        </w:rPr>
        <w:t>14. 其他情况的终止合同</w:t>
      </w:r>
    </w:p>
    <w:p>
      <w:pPr>
        <w:topLinePunct/>
        <w:autoSpaceDE w:val="0"/>
        <w:autoSpaceDN w:val="0"/>
        <w:spacing w:line="360" w:lineRule="auto"/>
        <w:ind w:firstLine="480" w:firstLineChars="200"/>
        <w:rPr>
          <w:rFonts w:ascii="Times New Roman" w:hAnsi="Times New Roman"/>
        </w:rPr>
      </w:pPr>
      <w:r>
        <w:rPr>
          <w:rFonts w:ascii="Times New Roman" w:hAnsi="Times New Roman"/>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80" w:firstLineChars="200"/>
        <w:rPr>
          <w:rFonts w:ascii="Times New Roman" w:hAnsi="Times New Roman"/>
        </w:rPr>
      </w:pPr>
      <w:r>
        <w:rPr>
          <w:rFonts w:ascii="Times New Roman" w:hAnsi="Times New Roman"/>
        </w:rPr>
        <w:t>14.2 在服务期内，由于甲方工作计划调整，推广使用新应用系统导致本项目相关服务停止的，甲方可以提出终止合同而不给予乙方任何补偿。</w:t>
      </w:r>
    </w:p>
    <w:p>
      <w:pPr>
        <w:tabs>
          <w:tab w:val="left" w:pos="700"/>
        </w:tabs>
        <w:spacing w:line="360" w:lineRule="auto"/>
        <w:ind w:firstLine="482" w:firstLineChars="200"/>
        <w:rPr>
          <w:rFonts w:ascii="Times New Roman" w:hAnsi="Times New Roman"/>
          <w:b/>
        </w:rPr>
      </w:pPr>
      <w:r>
        <w:rPr>
          <w:rFonts w:ascii="Times New Roman" w:hAnsi="Times New Roman"/>
          <w:b/>
        </w:rPr>
        <w:t>15. 合同修改或变更</w:t>
      </w:r>
    </w:p>
    <w:p>
      <w:pPr>
        <w:spacing w:line="360" w:lineRule="auto"/>
        <w:ind w:firstLine="482"/>
        <w:rPr>
          <w:rFonts w:ascii="Times New Roman" w:hAnsi="Times New Roman"/>
        </w:rPr>
      </w:pPr>
      <w:r>
        <w:rPr>
          <w:rFonts w:ascii="Times New Roman" w:hAnsi="Times New Roman"/>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80" w:firstLineChars="200"/>
        <w:rPr>
          <w:rFonts w:ascii="Times New Roman" w:hAnsi="Times New Roman"/>
          <w:b/>
        </w:rPr>
      </w:pPr>
      <w:r>
        <w:rPr>
          <w:rFonts w:ascii="Times New Roman" w:hAnsi="Times New Roman"/>
        </w:rPr>
        <w:t>15.2 除了双方签署书面修改或变更协议，并成为本合同不可分割的一部分的情况之外，本合同的条款不得有任何变化或修改。</w:t>
      </w:r>
    </w:p>
    <w:p>
      <w:pPr>
        <w:topLinePunct/>
        <w:autoSpaceDE w:val="0"/>
        <w:autoSpaceDN w:val="0"/>
        <w:spacing w:line="360" w:lineRule="auto"/>
        <w:ind w:firstLine="480" w:firstLineChars="200"/>
        <w:rPr>
          <w:rFonts w:ascii="Times New Roman" w:hAnsi="Times New Roman"/>
        </w:rPr>
      </w:pPr>
      <w:r>
        <w:rPr>
          <w:rFonts w:ascii="Times New Roman" w:hAnsi="Times New Roman"/>
        </w:rPr>
        <w:t>15.3 由于</w:t>
      </w:r>
      <w:r>
        <w:rPr>
          <w:rFonts w:hint="eastAsia" w:ascii="Times New Roman" w:hAnsi="Times New Roman"/>
        </w:rPr>
        <w:t>甲方</w:t>
      </w:r>
      <w:r>
        <w:rPr>
          <w:rFonts w:ascii="Times New Roman" w:hAnsi="Times New Roman"/>
        </w:rPr>
        <w:t>项目统一规划等原因导致本项目停止部分服务的，甲方将与乙方协商处理。</w:t>
      </w:r>
    </w:p>
    <w:p>
      <w:pPr>
        <w:spacing w:line="360" w:lineRule="auto"/>
        <w:ind w:firstLine="482" w:firstLineChars="200"/>
        <w:rPr>
          <w:rFonts w:ascii="Times New Roman" w:hAnsi="Times New Roman"/>
          <w:b/>
        </w:rPr>
      </w:pPr>
      <w:r>
        <w:rPr>
          <w:rFonts w:ascii="Times New Roman" w:hAnsi="Times New Roman"/>
          <w:b/>
        </w:rPr>
        <w:t>16. 转让和分包</w:t>
      </w:r>
    </w:p>
    <w:p>
      <w:pPr>
        <w:spacing w:line="360" w:lineRule="auto"/>
        <w:ind w:firstLine="480" w:firstLineChars="200"/>
        <w:rPr>
          <w:rFonts w:ascii="Times New Roman" w:hAnsi="Times New Roman"/>
        </w:rPr>
      </w:pPr>
      <w:r>
        <w:rPr>
          <w:rFonts w:ascii="Times New Roman" w:hAnsi="Times New Roman"/>
        </w:rPr>
        <w:t>16.1 除甲方事先书面同意外，乙方不得部分转让或全部转让其应履行的合同义务。</w:t>
      </w:r>
    </w:p>
    <w:p>
      <w:pPr>
        <w:spacing w:line="360" w:lineRule="auto"/>
        <w:ind w:firstLine="480" w:firstLineChars="200"/>
        <w:rPr>
          <w:rFonts w:ascii="Times New Roman" w:hAnsi="Times New Roman"/>
        </w:rPr>
      </w:pPr>
      <w:r>
        <w:rPr>
          <w:rFonts w:ascii="Times New Roman" w:hAnsi="Times New Roman"/>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82" w:firstLineChars="200"/>
        <w:rPr>
          <w:rFonts w:ascii="Times New Roman" w:hAnsi="Times New Roman"/>
          <w:b/>
        </w:rPr>
      </w:pPr>
      <w:r>
        <w:rPr>
          <w:rFonts w:ascii="Times New Roman" w:hAnsi="Times New Roman"/>
          <w:b/>
        </w:rPr>
        <w:t>17. 合同语言</w:t>
      </w:r>
    </w:p>
    <w:p>
      <w:pPr>
        <w:topLinePunct/>
        <w:autoSpaceDE w:val="0"/>
        <w:autoSpaceDN w:val="0"/>
        <w:spacing w:line="360" w:lineRule="auto"/>
        <w:ind w:firstLine="480" w:firstLineChars="200"/>
        <w:rPr>
          <w:rFonts w:ascii="Times New Roman" w:hAnsi="Times New Roman"/>
        </w:rPr>
      </w:pPr>
      <w:r>
        <w:rPr>
          <w:rFonts w:ascii="Times New Roman" w:hAnsi="Times New Roman"/>
        </w:rPr>
        <w:t>17.1 本合同语言为中文。</w:t>
      </w:r>
    </w:p>
    <w:p>
      <w:pPr>
        <w:spacing w:line="360" w:lineRule="auto"/>
        <w:ind w:firstLine="480" w:firstLineChars="200"/>
        <w:rPr>
          <w:rFonts w:ascii="Times New Roman" w:hAnsi="Times New Roman"/>
        </w:rPr>
      </w:pPr>
      <w:r>
        <w:rPr>
          <w:rFonts w:ascii="Times New Roman" w:hAnsi="Times New Roman"/>
        </w:rPr>
        <w:t>17.2 双方交换的与合同有关的信件和其他文件应用合同语言书写。</w:t>
      </w:r>
    </w:p>
    <w:p>
      <w:pPr>
        <w:spacing w:line="360" w:lineRule="auto"/>
        <w:ind w:firstLine="482" w:firstLineChars="200"/>
        <w:rPr>
          <w:rFonts w:ascii="Times New Roman" w:hAnsi="Times New Roman"/>
          <w:b/>
        </w:rPr>
      </w:pPr>
      <w:r>
        <w:rPr>
          <w:rFonts w:ascii="Times New Roman" w:hAnsi="Times New Roman"/>
          <w:b/>
        </w:rPr>
        <w:t>18. 适用法律</w:t>
      </w:r>
    </w:p>
    <w:p>
      <w:pPr>
        <w:spacing w:line="360" w:lineRule="auto"/>
        <w:ind w:firstLine="480" w:firstLineChars="200"/>
        <w:rPr>
          <w:rFonts w:ascii="Times New Roman" w:hAnsi="Times New Roman"/>
        </w:rPr>
      </w:pPr>
      <w:r>
        <w:rPr>
          <w:rFonts w:ascii="Times New Roman" w:hAnsi="Times New Roman"/>
        </w:rPr>
        <w:t>18.1 本合同按照中华人民共和国现行法律进行解释。</w:t>
      </w:r>
    </w:p>
    <w:p>
      <w:pPr>
        <w:spacing w:line="360" w:lineRule="auto"/>
        <w:ind w:firstLine="480" w:firstLineChars="200"/>
        <w:rPr>
          <w:rFonts w:ascii="Times New Roman" w:hAnsi="Times New Roman"/>
        </w:rPr>
      </w:pPr>
      <w:r>
        <w:rPr>
          <w:rFonts w:ascii="Times New Roman" w:hAnsi="Times New Roman"/>
        </w:rPr>
        <w:t>18.2 本合同的履行、违约责任和解决争议的方法等适用《中华人民共和国民法典（合同编）》。</w:t>
      </w:r>
    </w:p>
    <w:p>
      <w:pPr>
        <w:topLinePunct/>
        <w:autoSpaceDE w:val="0"/>
        <w:autoSpaceDN w:val="0"/>
        <w:spacing w:line="360" w:lineRule="auto"/>
        <w:ind w:firstLine="482" w:firstLineChars="200"/>
        <w:rPr>
          <w:rFonts w:ascii="Times New Roman" w:hAnsi="Times New Roman"/>
          <w:b/>
        </w:rPr>
      </w:pPr>
      <w:r>
        <w:rPr>
          <w:rFonts w:ascii="Times New Roman" w:hAnsi="Times New Roman"/>
          <w:b/>
        </w:rPr>
        <w:t>19. 税费</w:t>
      </w:r>
    </w:p>
    <w:p>
      <w:pPr>
        <w:topLinePunct/>
        <w:autoSpaceDE w:val="0"/>
        <w:autoSpaceDN w:val="0"/>
        <w:spacing w:line="360" w:lineRule="auto"/>
        <w:ind w:firstLine="480" w:firstLineChars="200"/>
        <w:rPr>
          <w:rFonts w:ascii="Times New Roman" w:hAnsi="Times New Roman"/>
        </w:rPr>
      </w:pPr>
      <w:r>
        <w:rPr>
          <w:rFonts w:ascii="Times New Roman" w:hAnsi="Times New Roman"/>
        </w:rPr>
        <w:t>19.1 乙方应依法缴纳的合同服务相关税费，均已包含于合同总金额中，甲方不再另行支付。</w:t>
      </w:r>
    </w:p>
    <w:p>
      <w:pPr>
        <w:tabs>
          <w:tab w:val="left" w:pos="700"/>
        </w:tabs>
        <w:spacing w:line="360" w:lineRule="auto"/>
        <w:ind w:firstLine="482" w:firstLineChars="200"/>
        <w:rPr>
          <w:rFonts w:ascii="Times New Roman" w:hAnsi="Times New Roman"/>
          <w:b/>
        </w:rPr>
      </w:pPr>
      <w:r>
        <w:rPr>
          <w:rFonts w:ascii="Times New Roman" w:hAnsi="Times New Roman"/>
          <w:b/>
        </w:rPr>
        <w:t>20. 合同生效</w:t>
      </w:r>
    </w:p>
    <w:p>
      <w:pPr>
        <w:spacing w:line="360" w:lineRule="auto"/>
        <w:ind w:firstLine="480" w:firstLineChars="200"/>
        <w:rPr>
          <w:rFonts w:ascii="Times New Roman" w:hAnsi="Times New Roman"/>
        </w:rPr>
      </w:pPr>
      <w:r>
        <w:rPr>
          <w:rFonts w:ascii="Times New Roman" w:hAnsi="Times New Roman"/>
        </w:rPr>
        <w:t>20.1 本合同一式</w:t>
      </w:r>
      <w:r>
        <w:rPr>
          <w:rFonts w:ascii="Times New Roman" w:hAnsi="Times New Roman"/>
          <w:u w:val="single"/>
        </w:rPr>
        <w:t xml:space="preserve">  </w:t>
      </w:r>
      <w:r>
        <w:rPr>
          <w:rFonts w:hint="eastAsia" w:ascii="Times New Roman" w:hAnsi="Times New Roman"/>
          <w:u w:val="single"/>
        </w:rPr>
        <w:t>肆</w:t>
      </w:r>
      <w:r>
        <w:rPr>
          <w:rFonts w:ascii="Times New Roman" w:hAnsi="Times New Roman"/>
          <w:u w:val="single"/>
        </w:rPr>
        <w:t xml:space="preserve"> </w:t>
      </w:r>
      <w:r>
        <w:rPr>
          <w:rFonts w:ascii="Times New Roman" w:hAnsi="Times New Roman"/>
        </w:rPr>
        <w:t>份，由甲乙双方法定代表人或被授权人签字并盖章后生效。</w:t>
      </w:r>
    </w:p>
    <w:p>
      <w:pPr>
        <w:rPr>
          <w:rFonts w:hint="eastAsia" w:ascii="宋体" w:hAnsi="宋体" w:cs="宋体"/>
        </w:rPr>
      </w:pPr>
    </w:p>
    <w:p>
      <w:pPr>
        <w:widowControl/>
        <w:jc w:val="left"/>
        <w:rPr>
          <w:rFonts w:hint="eastAsia" w:ascii="宋体" w:hAnsi="宋体" w:cs="宋体"/>
          <w:sz w:val="20"/>
        </w:rPr>
      </w:pPr>
    </w:p>
    <w:p>
      <w:pPr>
        <w:pStyle w:val="6"/>
        <w:spacing w:line="360" w:lineRule="auto"/>
        <w:jc w:val="center"/>
        <w:rPr>
          <w:rFonts w:hint="eastAsia" w:ascii="宋体" w:hAnsi="宋体" w:cs="宋体"/>
        </w:rPr>
      </w:pPr>
    </w:p>
    <w:p>
      <w:pPr>
        <w:rPr>
          <w:rFonts w:hint="eastAsia" w:ascii="宋体" w:hAnsi="宋体" w:cs="宋体"/>
        </w:rPr>
      </w:pPr>
    </w:p>
    <w:p>
      <w:pPr>
        <w:pStyle w:val="10"/>
        <w:rPr>
          <w:rFonts w:hint="eastAsia" w:ascii="宋体" w:hAnsi="宋体" w:cs="宋体"/>
        </w:rPr>
      </w:pPr>
    </w:p>
    <w:p>
      <w:pPr>
        <w:rPr>
          <w:rFonts w:hint="eastAsia" w:ascii="宋体" w:hAnsi="宋体" w:cs="宋体"/>
        </w:rPr>
      </w:pPr>
    </w:p>
    <w:p>
      <w:pPr>
        <w:pStyle w:val="10"/>
        <w:rPr>
          <w:rFonts w:hint="eastAsia" w:ascii="宋体" w:hAnsi="宋体" w:cs="宋体"/>
        </w:rPr>
      </w:pPr>
    </w:p>
    <w:p>
      <w:pPr>
        <w:rPr>
          <w:rFonts w:hint="eastAsia" w:ascii="宋体" w:hAnsi="宋体" w:cs="宋体"/>
        </w:rPr>
      </w:pPr>
    </w:p>
    <w:p>
      <w:pPr>
        <w:pStyle w:val="10"/>
        <w:rPr>
          <w:rFonts w:hint="eastAsia" w:ascii="宋体" w:hAnsi="宋体" w:cs="宋体"/>
        </w:rPr>
      </w:pPr>
    </w:p>
    <w:p>
      <w:pPr>
        <w:rPr>
          <w:rFonts w:hint="eastAsia" w:ascii="宋体" w:hAnsi="宋体" w:cs="宋体"/>
        </w:rPr>
      </w:pPr>
    </w:p>
    <w:p>
      <w:pPr>
        <w:pStyle w:val="10"/>
        <w:rPr>
          <w:rFonts w:hint="eastAsia" w:ascii="宋体" w:hAnsi="宋体" w:cs="宋体"/>
        </w:rPr>
      </w:pPr>
    </w:p>
    <w:p>
      <w:pPr>
        <w:rPr>
          <w:rFonts w:hint="eastAsia" w:ascii="宋体" w:hAnsi="宋体" w:cs="宋体"/>
        </w:rPr>
      </w:pPr>
    </w:p>
    <w:p>
      <w:pPr>
        <w:pStyle w:val="10"/>
        <w:rPr>
          <w:rFonts w:hint="eastAsia" w:ascii="宋体" w:hAnsi="宋体" w:cs="宋体"/>
        </w:rPr>
      </w:pPr>
    </w:p>
    <w:p>
      <w:pPr>
        <w:rPr>
          <w:rFonts w:hint="eastAsia" w:ascii="宋体" w:hAnsi="宋体" w:cs="宋体"/>
        </w:rPr>
      </w:pPr>
    </w:p>
    <w:p>
      <w:pPr>
        <w:pStyle w:val="6"/>
        <w:spacing w:line="360" w:lineRule="auto"/>
        <w:jc w:val="center"/>
        <w:rPr>
          <w:rFonts w:hint="eastAsia" w:ascii="宋体" w:hAnsi="宋体" w:cs="宋体"/>
        </w:rPr>
      </w:pPr>
    </w:p>
    <w:p>
      <w:pPr>
        <w:rPr>
          <w:rFonts w:hint="eastAsia" w:ascii="宋体" w:hAnsi="宋体" w:cs="宋体"/>
        </w:rPr>
      </w:pPr>
    </w:p>
    <w:p>
      <w:pPr>
        <w:pStyle w:val="10"/>
        <w:rPr>
          <w:rFonts w:hint="eastAsia" w:ascii="宋体" w:hAnsi="宋体" w:cs="宋体"/>
        </w:rPr>
      </w:pPr>
    </w:p>
    <w:p>
      <w:pPr>
        <w:rPr>
          <w:rFonts w:hint="eastAsia" w:ascii="宋体" w:hAnsi="宋体" w:cs="宋体"/>
        </w:rPr>
      </w:pPr>
    </w:p>
    <w:p>
      <w:pPr>
        <w:pStyle w:val="6"/>
        <w:spacing w:line="360" w:lineRule="auto"/>
        <w:jc w:val="center"/>
        <w:rPr>
          <w:rFonts w:hint="eastAsia" w:ascii="宋体" w:hAnsi="宋体" w:cs="宋体"/>
        </w:rPr>
      </w:pPr>
    </w:p>
    <w:p>
      <w:pPr>
        <w:pStyle w:val="6"/>
        <w:spacing w:line="360" w:lineRule="auto"/>
        <w:jc w:val="center"/>
        <w:rPr>
          <w:rFonts w:hint="eastAsia" w:ascii="宋体" w:hAnsi="宋体" w:cs="宋体"/>
        </w:rPr>
      </w:pPr>
    </w:p>
    <w:p>
      <w:pPr>
        <w:rPr>
          <w:rFonts w:hint="eastAsia" w:ascii="宋体" w:hAnsi="宋体" w:cs="宋体"/>
        </w:rPr>
      </w:pPr>
    </w:p>
    <w:p>
      <w:pPr>
        <w:pStyle w:val="2"/>
        <w:ind w:left="480" w:firstLine="482"/>
        <w:rPr>
          <w:rFonts w:hint="eastAsia"/>
        </w:rPr>
      </w:pPr>
    </w:p>
    <w:p>
      <w:pPr>
        <w:pStyle w:val="6"/>
        <w:spacing w:line="360" w:lineRule="auto"/>
        <w:jc w:val="center"/>
        <w:rPr>
          <w:rFonts w:hint="eastAsia" w:ascii="宋体" w:hAnsi="宋体" w:cs="宋体"/>
        </w:rPr>
      </w:pPr>
      <w:bookmarkStart w:id="224" w:name="_Toc15444"/>
      <w:r>
        <w:rPr>
          <w:rFonts w:hint="eastAsia" w:ascii="宋体" w:hAnsi="宋体" w:cs="宋体"/>
        </w:rPr>
        <w:t>第五章</w:t>
      </w:r>
      <w:bookmarkStart w:id="225" w:name="_Hlt98173571"/>
      <w:bookmarkEnd w:id="225"/>
      <w:r>
        <w:rPr>
          <w:rFonts w:hint="eastAsia" w:ascii="宋体" w:hAnsi="宋体" w:cs="宋体"/>
        </w:rPr>
        <w:t xml:space="preserve">  </w:t>
      </w:r>
      <w:bookmarkEnd w:id="221"/>
      <w:bookmarkEnd w:id="222"/>
      <w:r>
        <w:rPr>
          <w:rFonts w:hint="eastAsia" w:ascii="宋体" w:hAnsi="宋体" w:cs="宋体"/>
        </w:rPr>
        <w:t>投标文件格式</w:t>
      </w:r>
      <w:bookmarkEnd w:id="223"/>
      <w:bookmarkEnd w:id="224"/>
    </w:p>
    <w:p>
      <w:pPr>
        <w:spacing w:line="300" w:lineRule="auto"/>
        <w:rPr>
          <w:rFonts w:hint="eastAsia" w:ascii="宋体"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pStyle w:val="2"/>
        <w:ind w:left="480" w:firstLine="482"/>
        <w:rPr>
          <w:rFonts w:hint="eastAsia" w:cs="宋体"/>
          <w:lang w:val="zh-CN"/>
        </w:rPr>
      </w:pPr>
    </w:p>
    <w:p>
      <w:pPr>
        <w:pStyle w:val="5"/>
        <w:rPr>
          <w:lang w:val="zh-CN"/>
        </w:rPr>
      </w:pPr>
    </w:p>
    <w:p>
      <w:pPr>
        <w:rPr>
          <w:rFonts w:hint="eastAsia" w:ascii="宋体" w:hAnsi="宋体" w:cs="宋体"/>
          <w:lang w:val="zh-CN"/>
        </w:rPr>
      </w:pPr>
    </w:p>
    <w:p>
      <w:pPr>
        <w:pStyle w:val="5"/>
        <w:rPr>
          <w:rFonts w:hint="eastAsia" w:hAnsi="宋体" w:cs="宋体"/>
          <w:lang w:val="zh-CN"/>
        </w:rPr>
      </w:pPr>
    </w:p>
    <w:p>
      <w:pPr>
        <w:spacing w:line="300" w:lineRule="auto"/>
        <w:jc w:val="center"/>
        <w:rPr>
          <w:rFonts w:hint="eastAsia" w:ascii="宋体" w:hAnsi="宋体" w:cs="宋体"/>
          <w:b/>
          <w:bCs/>
          <w:sz w:val="48"/>
          <w:szCs w:val="48"/>
          <w:lang w:val="zh-CN"/>
        </w:rPr>
      </w:pPr>
      <w:r>
        <w:rPr>
          <w:rFonts w:hint="eastAsia" w:ascii="宋体" w:hAnsi="宋体" w:cs="宋体"/>
          <w:b/>
          <w:bCs/>
          <w:sz w:val="48"/>
          <w:szCs w:val="48"/>
          <w:lang w:val="zh-CN"/>
        </w:rPr>
        <w:t>经济部分</w:t>
      </w:r>
    </w:p>
    <w:p>
      <w:pPr>
        <w:keepNext/>
        <w:keepLines/>
        <w:tabs>
          <w:tab w:val="left" w:pos="525"/>
        </w:tabs>
        <w:spacing w:before="260" w:after="260" w:line="360" w:lineRule="auto"/>
        <w:ind w:left="525" w:hanging="525"/>
        <w:rPr>
          <w:rFonts w:hint="eastAsia" w:ascii="宋体" w:hAnsi="宋体" w:cs="宋体"/>
          <w:b/>
          <w:bCs/>
          <w:sz w:val="32"/>
          <w:szCs w:val="32"/>
          <w:lang w:val="zh-CN"/>
        </w:rPr>
      </w:pPr>
      <w:r>
        <w:rPr>
          <w:rFonts w:hint="eastAsia" w:ascii="宋体" w:hAnsi="宋体" w:cs="宋体"/>
          <w:b/>
          <w:bCs/>
          <w:sz w:val="32"/>
          <w:szCs w:val="32"/>
          <w:lang w:val="zh-CN"/>
        </w:rPr>
        <w:t>一、投标报价表</w:t>
      </w:r>
    </w:p>
    <w:p>
      <w:pPr>
        <w:spacing w:line="360" w:lineRule="auto"/>
        <w:jc w:val="center"/>
        <w:rPr>
          <w:rFonts w:hint="eastAsia" w:ascii="宋体" w:hAnsi="宋体" w:cs="宋体"/>
          <w:b/>
        </w:rPr>
      </w:pPr>
      <w:r>
        <w:rPr>
          <w:rFonts w:hint="eastAsia" w:ascii="宋体" w:hAnsi="宋体" w:cs="宋体"/>
          <w:b/>
        </w:rPr>
        <w:t>1.1报价总表</w:t>
      </w:r>
    </w:p>
    <w:p>
      <w:pPr>
        <w:pStyle w:val="59"/>
        <w:spacing w:line="360" w:lineRule="auto"/>
        <w:rPr>
          <w:rFonts w:hint="eastAsia" w:hAnsi="宋体" w:cs="宋体"/>
          <w:sz w:val="24"/>
          <w:szCs w:val="24"/>
          <w:lang w:val="zh-CN"/>
        </w:rPr>
      </w:pPr>
      <w:r>
        <w:rPr>
          <w:rFonts w:hint="eastAsia" w:hAnsi="宋体" w:cs="宋体"/>
          <w:sz w:val="24"/>
          <w:szCs w:val="24"/>
        </w:rPr>
        <w:t>项目编号：</w:t>
      </w:r>
      <w:r>
        <w:rPr>
          <w:rFonts w:hint="eastAsia" w:hAnsi="宋体" w:cs="宋体"/>
          <w:sz w:val="24"/>
          <w:szCs w:val="24"/>
          <w:u w:val="single"/>
        </w:rPr>
        <w:t xml:space="preserve">              </w:t>
      </w:r>
      <w:r>
        <w:rPr>
          <w:rFonts w:hint="eastAsia" w:hAnsi="宋体" w:cs="宋体"/>
          <w:sz w:val="24"/>
          <w:szCs w:val="24"/>
        </w:rPr>
        <w:t xml:space="preserve">   项目名称：</w:t>
      </w:r>
      <w:r>
        <w:rPr>
          <w:rFonts w:hint="eastAsia" w:hAnsi="宋体" w:cs="宋体"/>
          <w:sz w:val="24"/>
          <w:szCs w:val="24"/>
          <w:u w:val="single"/>
          <w:lang w:val="zh-CN"/>
        </w:rPr>
        <w:t xml:space="preserve">                  </w:t>
      </w:r>
      <w:r>
        <w:rPr>
          <w:rFonts w:hint="eastAsia" w:hAnsi="宋体" w:cs="宋体"/>
          <w:sz w:val="24"/>
          <w:szCs w:val="24"/>
          <w:lang w:val="zh-CN"/>
        </w:rPr>
        <w:t xml:space="preserve">   </w:t>
      </w:r>
    </w:p>
    <w:p>
      <w:pPr>
        <w:pStyle w:val="59"/>
        <w:spacing w:line="360" w:lineRule="auto"/>
        <w:rPr>
          <w:rFonts w:hint="eastAsia" w:hAnsi="宋体" w:cs="宋体"/>
        </w:rPr>
      </w:pPr>
    </w:p>
    <w:tbl>
      <w:tblPr>
        <w:tblStyle w:val="79"/>
        <w:tblW w:w="9747"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733"/>
        <w:gridCol w:w="5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4361" w:type="dxa"/>
            <w:gridSpan w:val="2"/>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宋体"/>
                <w:b/>
                <w:szCs w:val="21"/>
              </w:rPr>
            </w:pPr>
            <w:r>
              <w:rPr>
                <w:rFonts w:hint="eastAsia" w:ascii="宋体" w:hAnsi="宋体" w:cs="宋体"/>
                <w:b/>
                <w:szCs w:val="21"/>
              </w:rPr>
              <w:t>投标内容</w:t>
            </w:r>
          </w:p>
        </w:tc>
        <w:tc>
          <w:tcPr>
            <w:tcW w:w="5386"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cs="宋体"/>
                <w:b/>
                <w:szCs w:val="21"/>
              </w:rPr>
            </w:pPr>
            <w:r>
              <w:rPr>
                <w:rFonts w:hint="eastAsia" w:ascii="宋体" w:hAnsi="宋体" w:cs="宋体"/>
                <w:b/>
              </w:rPr>
              <w:t>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7" w:hRule="atLeast"/>
        </w:trPr>
        <w:tc>
          <w:tcPr>
            <w:tcW w:w="4361" w:type="dxa"/>
            <w:gridSpan w:val="2"/>
            <w:tcBorders>
              <w:top w:val="double" w:color="auto" w:sz="4" w:space="0"/>
            </w:tcBorders>
            <w:vAlign w:val="center"/>
          </w:tcPr>
          <w:p>
            <w:pPr>
              <w:adjustRightInd w:val="0"/>
              <w:snapToGrid w:val="0"/>
              <w:jc w:val="center"/>
              <w:rPr>
                <w:rFonts w:hint="eastAsia" w:ascii="宋体" w:hAnsi="宋体" w:cs="宋体"/>
                <w:bCs/>
                <w:szCs w:val="21"/>
              </w:rPr>
            </w:pPr>
            <w:r>
              <w:rPr>
                <w:rFonts w:hint="eastAsia" w:ascii="宋体" w:hAnsi="宋体" w:cs="宋体"/>
                <w:bCs/>
                <w:szCs w:val="21"/>
              </w:rPr>
              <w:t xml:space="preserve">国家税务总局汕头市金平区税务局2025-2027年物业管理服务采购项目 </w:t>
            </w:r>
          </w:p>
        </w:tc>
        <w:tc>
          <w:tcPr>
            <w:tcW w:w="5386" w:type="dxa"/>
            <w:tcBorders>
              <w:top w:val="double" w:color="auto" w:sz="4" w:space="0"/>
              <w:bottom w:val="double" w:color="auto" w:sz="4" w:space="0"/>
            </w:tcBorders>
            <w:vAlign w:val="center"/>
          </w:tcPr>
          <w:p>
            <w:pPr>
              <w:adjustRightInd w:val="0"/>
              <w:snapToGrid w:val="0"/>
              <w:rPr>
                <w:rFonts w:hint="eastAsia" w:ascii="宋体" w:hAnsi="宋体" w:cs="宋体"/>
                <w:bCs/>
                <w:szCs w:val="21"/>
              </w:rPr>
            </w:pPr>
          </w:p>
          <w:p>
            <w:pPr>
              <w:adjustRightInd w:val="0"/>
              <w:snapToGrid w:val="0"/>
              <w:jc w:val="center"/>
              <w:rPr>
                <w:rFonts w:hint="eastAsia" w:ascii="宋体" w:hAnsi="宋体" w:cs="宋体"/>
                <w:bCs/>
                <w:szCs w:val="21"/>
                <w:u w:val="single"/>
              </w:rPr>
            </w:pPr>
            <w:r>
              <w:rPr>
                <w:rFonts w:hint="eastAsia" w:ascii="宋体" w:hAnsi="宋体" w:cs="宋体"/>
                <w:b/>
                <w:szCs w:val="21"/>
              </w:rPr>
              <w:t>投标总价：</w:t>
            </w:r>
            <w:r>
              <w:rPr>
                <w:rFonts w:hint="eastAsia" w:ascii="宋体" w:hAnsi="宋体" w:cs="宋体"/>
                <w:bCs/>
                <w:szCs w:val="21"/>
                <w:u w:val="single"/>
              </w:rPr>
              <w:t xml:space="preserve">          元</w:t>
            </w:r>
          </w:p>
          <w:p>
            <w:pPr>
              <w:adjustRightInd w:val="0"/>
              <w:snapToGrid w:val="0"/>
              <w:rPr>
                <w:rFonts w:hint="eastAsia" w:ascii="宋体" w:hAnsi="宋体" w:cs="宋体"/>
                <w:bCs/>
                <w:szCs w:val="21"/>
              </w:rPr>
            </w:pPr>
          </w:p>
          <w:p>
            <w:pPr>
              <w:adjustRightInd w:val="0"/>
              <w:snapToGrid w:val="0"/>
              <w:rPr>
                <w:rFonts w:hint="eastAsia"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trPr>
        <w:tc>
          <w:tcPr>
            <w:tcW w:w="2628" w:type="dxa"/>
            <w:tcBorders>
              <w:top w:val="double" w:color="auto" w:sz="4" w:space="0"/>
              <w:bottom w:val="double" w:color="auto" w:sz="4" w:space="0"/>
            </w:tcBorders>
            <w:vAlign w:val="center"/>
          </w:tcPr>
          <w:p>
            <w:pPr>
              <w:adjustRightInd w:val="0"/>
              <w:snapToGrid w:val="0"/>
              <w:jc w:val="center"/>
              <w:rPr>
                <w:rFonts w:hint="eastAsia" w:ascii="宋体" w:hAnsi="宋体" w:cs="宋体"/>
                <w:b/>
                <w:szCs w:val="21"/>
              </w:rPr>
            </w:pPr>
            <w:r>
              <w:rPr>
                <w:rFonts w:hint="eastAsia" w:ascii="宋体" w:hAnsi="宋体" w:cs="宋体"/>
                <w:b/>
                <w:szCs w:val="21"/>
              </w:rPr>
              <w:t>服务期</w:t>
            </w:r>
          </w:p>
        </w:tc>
        <w:tc>
          <w:tcPr>
            <w:tcW w:w="7119" w:type="dxa"/>
            <w:gridSpan w:val="2"/>
            <w:tcBorders>
              <w:top w:val="double" w:color="auto" w:sz="4" w:space="0"/>
              <w:bottom w:val="double" w:color="auto" w:sz="4" w:space="0"/>
            </w:tcBorders>
            <w:vAlign w:val="center"/>
          </w:tcPr>
          <w:p>
            <w:pPr>
              <w:adjustRightInd w:val="0"/>
              <w:snapToGrid w:val="0"/>
              <w:jc w:val="center"/>
              <w:rPr>
                <w:rFonts w:hint="eastAsia" w:ascii="宋体" w:hAnsi="宋体" w:cs="宋体"/>
                <w:bCs/>
                <w:szCs w:val="21"/>
              </w:rPr>
            </w:pPr>
            <w:r>
              <w:rPr>
                <w:rFonts w:hint="eastAsia" w:ascii="宋体" w:hAnsi="宋体" w:cs="宋体"/>
                <w:bCs/>
                <w:szCs w:val="21"/>
              </w:rPr>
              <w:t>2年（2025年5月至2027年4月，具体时间以合同签订为准）。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9" w:hRule="atLeast"/>
        </w:trPr>
        <w:tc>
          <w:tcPr>
            <w:tcW w:w="2628" w:type="dxa"/>
            <w:tcBorders>
              <w:top w:val="double" w:color="auto" w:sz="4" w:space="0"/>
              <w:bottom w:val="single" w:color="auto" w:sz="12" w:space="0"/>
            </w:tcBorders>
            <w:vAlign w:val="center"/>
          </w:tcPr>
          <w:p>
            <w:pPr>
              <w:adjustRightInd w:val="0"/>
              <w:snapToGrid w:val="0"/>
              <w:jc w:val="center"/>
              <w:rPr>
                <w:rFonts w:hint="eastAsia" w:ascii="宋体" w:hAnsi="宋体" w:cs="宋体"/>
                <w:b/>
                <w:szCs w:val="21"/>
              </w:rPr>
            </w:pPr>
            <w:r>
              <w:rPr>
                <w:rFonts w:hint="eastAsia" w:ascii="宋体" w:hAnsi="宋体" w:cs="宋体"/>
                <w:b/>
                <w:szCs w:val="21"/>
              </w:rPr>
              <w:t>备注</w:t>
            </w:r>
          </w:p>
        </w:tc>
        <w:tc>
          <w:tcPr>
            <w:tcW w:w="7119" w:type="dxa"/>
            <w:gridSpan w:val="2"/>
            <w:tcBorders>
              <w:top w:val="double" w:color="auto" w:sz="4" w:space="0"/>
              <w:bottom w:val="single" w:color="auto" w:sz="12" w:space="0"/>
            </w:tcBorders>
            <w:vAlign w:val="center"/>
          </w:tcPr>
          <w:p>
            <w:pPr>
              <w:adjustRightInd w:val="0"/>
              <w:snapToGrid w:val="0"/>
              <w:jc w:val="left"/>
              <w:rPr>
                <w:rFonts w:hint="eastAsia" w:ascii="宋体" w:hAnsi="宋体" w:cs="宋体"/>
                <w:bCs/>
                <w:szCs w:val="21"/>
              </w:rPr>
            </w:pPr>
          </w:p>
        </w:tc>
      </w:tr>
    </w:tbl>
    <w:p>
      <w:pPr>
        <w:spacing w:line="360" w:lineRule="auto"/>
        <w:ind w:left="5040"/>
        <w:rPr>
          <w:rFonts w:hint="eastAsia" w:ascii="宋体" w:hAnsi="宋体" w:cs="宋体"/>
          <w:lang w:val="zh-CN"/>
        </w:rPr>
      </w:pPr>
    </w:p>
    <w:p>
      <w:pPr>
        <w:spacing w:line="360" w:lineRule="auto"/>
        <w:ind w:left="5040"/>
        <w:rPr>
          <w:rFonts w:hint="eastAsia" w:ascii="宋体" w:hAnsi="宋体" w:cs="宋体"/>
          <w:lang w:val="zh-CN"/>
        </w:rPr>
      </w:pPr>
      <w:r>
        <w:rPr>
          <w:rFonts w:hint="eastAsia" w:ascii="宋体" w:hAnsi="宋体" w:cs="宋体"/>
          <w:lang w:val="zh-CN"/>
        </w:rPr>
        <w:t>投标人：（投标人公章）</w:t>
      </w:r>
    </w:p>
    <w:p>
      <w:pPr>
        <w:spacing w:line="360" w:lineRule="auto"/>
        <w:ind w:left="5040"/>
        <w:rPr>
          <w:rFonts w:hint="eastAsia" w:ascii="宋体" w:hAnsi="宋体" w:cs="宋体"/>
          <w:lang w:val="zh-CN"/>
        </w:rPr>
      </w:pPr>
      <w:r>
        <w:rPr>
          <w:rFonts w:hint="eastAsia" w:ascii="宋体" w:hAnsi="宋体" w:cs="宋体"/>
          <w:lang w:val="zh-CN"/>
        </w:rPr>
        <w:t xml:space="preserve">法定代表人或其授权代表签名： </w:t>
      </w:r>
    </w:p>
    <w:p>
      <w:pPr>
        <w:spacing w:line="360" w:lineRule="auto"/>
        <w:ind w:left="5040"/>
        <w:rPr>
          <w:rFonts w:hint="eastAsia" w:ascii="宋体" w:hAnsi="宋体" w:cs="宋体"/>
          <w:lang w:val="zh-CN"/>
        </w:rPr>
      </w:pPr>
      <w:r>
        <w:rPr>
          <w:rFonts w:hint="eastAsia" w:ascii="宋体" w:hAnsi="宋体" w:cs="宋体"/>
          <w:lang w:val="zh-CN"/>
        </w:rPr>
        <w:t xml:space="preserve">日期 ：      年   月   日       </w:t>
      </w:r>
    </w:p>
    <w:p>
      <w:pPr>
        <w:spacing w:line="360" w:lineRule="auto"/>
        <w:ind w:left="5040"/>
        <w:rPr>
          <w:rFonts w:hint="eastAsia" w:ascii="宋体" w:hAnsi="宋体" w:cs="宋体"/>
          <w:lang w:val="zh-CN"/>
        </w:rPr>
      </w:pPr>
    </w:p>
    <w:p>
      <w:pPr>
        <w:spacing w:line="360" w:lineRule="auto"/>
        <w:ind w:left="5040"/>
        <w:rPr>
          <w:rFonts w:hint="eastAsia" w:ascii="宋体" w:hAnsi="宋体" w:cs="宋体"/>
          <w:lang w:val="zh-CN"/>
        </w:rPr>
      </w:pPr>
    </w:p>
    <w:p>
      <w:pPr>
        <w:spacing w:line="360" w:lineRule="auto"/>
        <w:ind w:left="5040"/>
        <w:rPr>
          <w:rFonts w:hint="eastAsia" w:ascii="宋体" w:hAnsi="宋体" w:cs="宋体"/>
          <w:lang w:val="zh-CN"/>
        </w:rPr>
      </w:pPr>
    </w:p>
    <w:p>
      <w:pPr>
        <w:spacing w:line="360" w:lineRule="auto"/>
        <w:ind w:left="5040"/>
        <w:rPr>
          <w:rFonts w:hint="eastAsia" w:ascii="宋体" w:hAnsi="宋体" w:cs="宋体"/>
          <w:lang w:val="zh-CN"/>
        </w:rPr>
      </w:pPr>
    </w:p>
    <w:p>
      <w:pPr>
        <w:pStyle w:val="2"/>
        <w:ind w:left="480" w:firstLine="482"/>
        <w:rPr>
          <w:rFonts w:hint="eastAsia" w:cs="宋体"/>
          <w:lang w:val="zh-CN"/>
        </w:rPr>
      </w:pPr>
    </w:p>
    <w:p>
      <w:pPr>
        <w:pStyle w:val="5"/>
        <w:rPr>
          <w:lang w:val="zh-CN"/>
        </w:rPr>
      </w:pPr>
    </w:p>
    <w:p>
      <w:pPr>
        <w:rPr>
          <w:lang w:val="zh-CN"/>
        </w:rPr>
      </w:pPr>
    </w:p>
    <w:p>
      <w:pPr>
        <w:pStyle w:val="2"/>
        <w:ind w:left="480" w:firstLine="482"/>
        <w:rPr>
          <w:rFonts w:hint="eastAsia"/>
          <w:lang w:val="zh-CN"/>
        </w:rPr>
      </w:pPr>
    </w:p>
    <w:p>
      <w:pPr>
        <w:spacing w:line="360" w:lineRule="auto"/>
        <w:jc w:val="center"/>
        <w:rPr>
          <w:rFonts w:hint="eastAsia" w:ascii="宋体" w:hAnsi="宋体" w:cs="宋体"/>
          <w:b/>
        </w:rPr>
      </w:pPr>
    </w:p>
    <w:p>
      <w:pPr>
        <w:spacing w:line="360" w:lineRule="auto"/>
        <w:jc w:val="center"/>
        <w:rPr>
          <w:rFonts w:hint="eastAsia" w:ascii="宋体" w:hAnsi="宋体" w:cs="宋体"/>
          <w:b/>
        </w:rPr>
      </w:pPr>
      <w:r>
        <w:rPr>
          <w:rFonts w:hint="eastAsia" w:ascii="宋体" w:hAnsi="宋体" w:cs="宋体"/>
          <w:b/>
        </w:rPr>
        <w:t>1.2分项报价</w:t>
      </w:r>
    </w:p>
    <w:p>
      <w:pPr>
        <w:pStyle w:val="59"/>
        <w:spacing w:line="360" w:lineRule="auto"/>
        <w:rPr>
          <w:rFonts w:hint="eastAsia" w:hAnsi="宋体" w:cs="宋体"/>
          <w:sz w:val="24"/>
          <w:szCs w:val="24"/>
          <w:lang w:val="zh-CN"/>
        </w:rPr>
      </w:pPr>
      <w:r>
        <w:rPr>
          <w:rFonts w:hint="eastAsia" w:hAnsi="宋体" w:cs="宋体"/>
          <w:sz w:val="24"/>
          <w:szCs w:val="24"/>
        </w:rPr>
        <w:t>项目编号：</w:t>
      </w:r>
      <w:r>
        <w:rPr>
          <w:rFonts w:hint="eastAsia" w:hAnsi="宋体" w:cs="宋体"/>
          <w:sz w:val="24"/>
          <w:szCs w:val="24"/>
          <w:u w:val="single"/>
        </w:rPr>
        <w:t xml:space="preserve">              </w:t>
      </w:r>
      <w:r>
        <w:rPr>
          <w:rFonts w:hint="eastAsia" w:hAnsi="宋体" w:cs="宋体"/>
          <w:sz w:val="24"/>
          <w:szCs w:val="24"/>
        </w:rPr>
        <w:t xml:space="preserve">   项目名称：</w:t>
      </w:r>
      <w:r>
        <w:rPr>
          <w:rFonts w:hint="eastAsia" w:hAnsi="宋体" w:cs="宋体"/>
          <w:sz w:val="24"/>
          <w:szCs w:val="24"/>
          <w:u w:val="single"/>
          <w:lang w:val="zh-CN"/>
        </w:rPr>
        <w:t xml:space="preserve">                  </w:t>
      </w:r>
      <w:r>
        <w:rPr>
          <w:rFonts w:hint="eastAsia" w:hAnsi="宋体" w:cs="宋体"/>
          <w:sz w:val="24"/>
          <w:szCs w:val="24"/>
          <w:lang w:val="zh-CN"/>
        </w:rPr>
        <w:t xml:space="preserve">   </w:t>
      </w:r>
    </w:p>
    <w:p>
      <w:pPr>
        <w:pStyle w:val="9"/>
        <w:keepNext w:val="0"/>
        <w:spacing w:before="0" w:after="0" w:line="360" w:lineRule="auto"/>
        <w:rPr>
          <w:rFonts w:hint="eastAsia" w:ascii="仿宋_GB2312" w:hAnsi="仿宋_GB2312" w:eastAsia="仿宋_GB2312" w:cs="仿宋_GB2312"/>
          <w:bCs/>
          <w:sz w:val="24"/>
          <w:szCs w:val="24"/>
        </w:rPr>
      </w:pPr>
    </w:p>
    <w:tbl>
      <w:tblPr>
        <w:tblStyle w:val="79"/>
        <w:tblW w:w="8536" w:type="dxa"/>
        <w:tblCellSpacing w:w="0" w:type="dxa"/>
        <w:tblInd w:w="224" w:type="dxa"/>
        <w:tblLayout w:type="fixed"/>
        <w:tblCellMar>
          <w:top w:w="15" w:type="dxa"/>
          <w:left w:w="15" w:type="dxa"/>
          <w:bottom w:w="15" w:type="dxa"/>
          <w:right w:w="15" w:type="dxa"/>
        </w:tblCellMar>
      </w:tblPr>
      <w:tblGrid>
        <w:gridCol w:w="793"/>
        <w:gridCol w:w="988"/>
        <w:gridCol w:w="1422"/>
        <w:gridCol w:w="864"/>
        <w:gridCol w:w="683"/>
        <w:gridCol w:w="966"/>
        <w:gridCol w:w="1124"/>
        <w:gridCol w:w="1085"/>
        <w:gridCol w:w="611"/>
      </w:tblGrid>
      <w:tr>
        <w:tblPrEx>
          <w:tblLayout w:type="fixed"/>
          <w:tblCellMar>
            <w:top w:w="15" w:type="dxa"/>
            <w:left w:w="15" w:type="dxa"/>
            <w:bottom w:w="15" w:type="dxa"/>
            <w:right w:w="15" w:type="dxa"/>
          </w:tblCellMar>
        </w:tblPrEx>
        <w:trPr>
          <w:trHeight w:val="920" w:hRule="atLeast"/>
          <w:tblCellSpacing w:w="0" w:type="dxa"/>
        </w:trPr>
        <w:tc>
          <w:tcPr>
            <w:tcW w:w="793" w:type="dxa"/>
            <w:tcBorders>
              <w:top w:val="single" w:color="000000" w:sz="8" w:space="0"/>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序号</w:t>
            </w:r>
          </w:p>
        </w:tc>
        <w:tc>
          <w:tcPr>
            <w:tcW w:w="988"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服务内容</w:t>
            </w:r>
          </w:p>
        </w:tc>
        <w:tc>
          <w:tcPr>
            <w:tcW w:w="1422"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费用类别</w:t>
            </w:r>
          </w:p>
        </w:tc>
        <w:tc>
          <w:tcPr>
            <w:tcW w:w="86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服务岗位</w:t>
            </w:r>
          </w:p>
        </w:tc>
        <w:tc>
          <w:tcPr>
            <w:tcW w:w="683"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人员数量</w:t>
            </w:r>
          </w:p>
        </w:tc>
        <w:tc>
          <w:tcPr>
            <w:tcW w:w="966"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工作</w:t>
            </w:r>
            <w:r>
              <w:rPr>
                <w:rFonts w:ascii="宋体" w:hAnsi="宋体" w:cs="宋体"/>
                <w:color w:val="000000"/>
                <w:szCs w:val="24"/>
              </w:rPr>
              <w:br w:type="textWrapping"/>
            </w:r>
            <w:r>
              <w:rPr>
                <w:rFonts w:ascii="宋体" w:hAnsi="宋体" w:cs="宋体"/>
                <w:color w:val="000000"/>
                <w:szCs w:val="24"/>
              </w:rPr>
              <w:t>时间</w:t>
            </w:r>
            <w:r>
              <w:rPr>
                <w:rFonts w:ascii="宋体" w:hAnsi="宋体" w:cs="宋体"/>
                <w:color w:val="000000"/>
                <w:szCs w:val="24"/>
              </w:rPr>
              <w:br w:type="textWrapping"/>
            </w:r>
            <w:r>
              <w:rPr>
                <w:rFonts w:ascii="宋体" w:hAnsi="宋体" w:cs="宋体"/>
                <w:color w:val="000000"/>
                <w:szCs w:val="24"/>
              </w:rPr>
              <w:t>（月）</w:t>
            </w:r>
          </w:p>
        </w:tc>
        <w:tc>
          <w:tcPr>
            <w:tcW w:w="1124"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单价</w:t>
            </w:r>
            <w:r>
              <w:rPr>
                <w:rFonts w:ascii="宋体" w:hAnsi="宋体" w:cs="宋体"/>
                <w:color w:val="000000"/>
                <w:szCs w:val="24"/>
              </w:rPr>
              <w:br w:type="textWrapping"/>
            </w:r>
            <w:r>
              <w:rPr>
                <w:rFonts w:ascii="宋体" w:hAnsi="宋体" w:cs="宋体"/>
                <w:color w:val="000000"/>
                <w:szCs w:val="24"/>
              </w:rPr>
              <w:t>（元/人/月、元/月）</w:t>
            </w:r>
          </w:p>
        </w:tc>
        <w:tc>
          <w:tcPr>
            <w:tcW w:w="1085"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小计</w:t>
            </w:r>
            <w:r>
              <w:rPr>
                <w:rFonts w:ascii="宋体" w:hAnsi="宋体" w:cs="宋体"/>
                <w:color w:val="000000"/>
                <w:szCs w:val="24"/>
              </w:rPr>
              <w:br w:type="textWrapping"/>
            </w:r>
            <w:r>
              <w:rPr>
                <w:rFonts w:ascii="宋体" w:hAnsi="宋体" w:cs="宋体"/>
                <w:color w:val="000000"/>
                <w:szCs w:val="24"/>
              </w:rPr>
              <w:t>（元）</w:t>
            </w:r>
          </w:p>
        </w:tc>
        <w:tc>
          <w:tcPr>
            <w:tcW w:w="611"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备注</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1</w:t>
            </w:r>
          </w:p>
        </w:tc>
        <w:tc>
          <w:tcPr>
            <w:tcW w:w="988"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基础服务</w:t>
            </w:r>
          </w:p>
        </w:tc>
        <w:tc>
          <w:tcPr>
            <w:tcW w:w="1422" w:type="dxa"/>
            <w:vMerge w:val="restart"/>
            <w:tcBorders>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人员费用</w:t>
            </w: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业务主管</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1</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w:t>
            </w:r>
          </w:p>
        </w:tc>
        <w:tc>
          <w:tcPr>
            <w:tcW w:w="988" w:type="dxa"/>
            <w:vMerge w:val="continue"/>
            <w:tcBorders>
              <w:bottom w:val="single" w:color="000000" w:sz="8" w:space="0"/>
              <w:right w:val="single" w:color="000000" w:sz="8" w:space="0"/>
            </w:tcBorders>
            <w:vAlign w:val="center"/>
          </w:tcPr>
          <w:p>
            <w:pPr>
              <w:rPr>
                <w:rFonts w:hint="eastAsia" w:ascii="宋体" w:hAnsi="宋体" w:cs="宋体"/>
                <w:color w:val="000000"/>
                <w:szCs w:val="24"/>
              </w:rPr>
            </w:pP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项目内务助理</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1</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3</w:t>
            </w:r>
          </w:p>
        </w:tc>
        <w:tc>
          <w:tcPr>
            <w:tcW w:w="9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公用设施设备维护服务</w:t>
            </w: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水电工</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5</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4</w:t>
            </w:r>
          </w:p>
        </w:tc>
        <w:tc>
          <w:tcPr>
            <w:tcW w:w="988" w:type="dxa"/>
            <w:vMerge w:val="restart"/>
            <w:tcBorders>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保洁服务</w:t>
            </w: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保洁班长</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5</w:t>
            </w:r>
          </w:p>
        </w:tc>
        <w:tc>
          <w:tcPr>
            <w:tcW w:w="988" w:type="dxa"/>
            <w:vMerge w:val="continue"/>
            <w:tcBorders>
              <w:right w:val="single" w:color="000000" w:sz="8" w:space="0"/>
            </w:tcBorders>
            <w:vAlign w:val="center"/>
          </w:tcPr>
          <w:p>
            <w:pPr>
              <w:rPr>
                <w:rFonts w:hint="eastAsia" w:ascii="宋体" w:hAnsi="宋体" w:cs="宋体"/>
                <w:color w:val="000000"/>
                <w:szCs w:val="24"/>
              </w:rPr>
            </w:pP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保洁</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6</w:t>
            </w:r>
          </w:p>
        </w:tc>
        <w:tc>
          <w:tcPr>
            <w:tcW w:w="988"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绿化服务</w:t>
            </w: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绿化员</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1</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7</w:t>
            </w:r>
          </w:p>
        </w:tc>
        <w:tc>
          <w:tcPr>
            <w:tcW w:w="988" w:type="dxa"/>
            <w:vMerge w:val="restart"/>
            <w:tcBorders>
              <w:bottom w:val="nil"/>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保安服务</w:t>
            </w: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保安队长</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8</w:t>
            </w:r>
          </w:p>
        </w:tc>
        <w:tc>
          <w:tcPr>
            <w:tcW w:w="988" w:type="dxa"/>
            <w:vMerge w:val="continue"/>
            <w:tcBorders>
              <w:bottom w:val="single" w:color="000000" w:sz="8" w:space="0"/>
              <w:right w:val="single" w:color="000000" w:sz="8" w:space="0"/>
            </w:tcBorders>
            <w:vAlign w:val="center"/>
          </w:tcPr>
          <w:p>
            <w:pPr>
              <w:rPr>
                <w:rFonts w:hint="eastAsia" w:ascii="宋体" w:hAnsi="宋体" w:cs="宋体"/>
                <w:color w:val="000000"/>
                <w:szCs w:val="24"/>
              </w:rPr>
            </w:pP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保安队员</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33</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9</w:t>
            </w:r>
          </w:p>
        </w:tc>
        <w:tc>
          <w:tcPr>
            <w:tcW w:w="988"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会议服务</w:t>
            </w:r>
          </w:p>
        </w:tc>
        <w:tc>
          <w:tcPr>
            <w:tcW w:w="1422" w:type="dxa"/>
            <w:vMerge w:val="continue"/>
            <w:tcBorders>
              <w:right w:val="single" w:color="000000" w:sz="8" w:space="0"/>
            </w:tcBorders>
            <w:vAlign w:val="center"/>
          </w:tcPr>
          <w:p>
            <w:pPr>
              <w:rPr>
                <w:rFonts w:hint="eastAsia" w:ascii="宋体" w:hAnsi="宋体" w:cs="宋体"/>
                <w:color w:val="000000"/>
                <w:szCs w:val="24"/>
              </w:rPr>
            </w:pP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会务员</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10</w:t>
            </w:r>
          </w:p>
        </w:tc>
        <w:tc>
          <w:tcPr>
            <w:tcW w:w="988" w:type="dxa"/>
            <w:vMerge w:val="restart"/>
            <w:tcBorders>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保洁服务</w:t>
            </w:r>
          </w:p>
        </w:tc>
        <w:tc>
          <w:tcPr>
            <w:tcW w:w="1422"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垃圾清运费用</w:t>
            </w: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11</w:t>
            </w:r>
          </w:p>
        </w:tc>
        <w:tc>
          <w:tcPr>
            <w:tcW w:w="988" w:type="dxa"/>
            <w:vMerge w:val="continue"/>
            <w:tcBorders>
              <w:right w:val="single" w:color="000000" w:sz="8" w:space="0"/>
            </w:tcBorders>
            <w:vAlign w:val="center"/>
          </w:tcPr>
          <w:p>
            <w:pPr>
              <w:rPr>
                <w:rFonts w:hint="eastAsia" w:ascii="宋体" w:hAnsi="宋体" w:cs="宋体"/>
                <w:color w:val="000000"/>
                <w:szCs w:val="24"/>
              </w:rPr>
            </w:pPr>
          </w:p>
        </w:tc>
        <w:tc>
          <w:tcPr>
            <w:tcW w:w="142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油、粪池下水道清通费用</w:t>
            </w: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12</w:t>
            </w:r>
          </w:p>
        </w:tc>
        <w:tc>
          <w:tcPr>
            <w:tcW w:w="988" w:type="dxa"/>
            <w:vMerge w:val="continue"/>
            <w:tcBorders>
              <w:right w:val="single" w:color="000000" w:sz="8" w:space="0"/>
            </w:tcBorders>
            <w:vAlign w:val="center"/>
          </w:tcPr>
          <w:p>
            <w:pPr>
              <w:rPr>
                <w:rFonts w:hint="eastAsia" w:ascii="宋体" w:hAnsi="宋体" w:cs="宋体"/>
                <w:color w:val="000000"/>
                <w:szCs w:val="24"/>
              </w:rPr>
            </w:pPr>
          </w:p>
        </w:tc>
        <w:tc>
          <w:tcPr>
            <w:tcW w:w="142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中标人须为本项目配备的物品费用</w:t>
            </w: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24</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793" w:type="dxa"/>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988" w:type="dxa"/>
            <w:tcBorders>
              <w:top w:val="single" w:color="000000" w:sz="8" w:space="0"/>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422"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86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r>
        <w:tblPrEx>
          <w:tblLayout w:type="fixed"/>
          <w:tblCellMar>
            <w:top w:w="15" w:type="dxa"/>
            <w:left w:w="15" w:type="dxa"/>
            <w:bottom w:w="15" w:type="dxa"/>
            <w:right w:w="15" w:type="dxa"/>
          </w:tblCellMar>
        </w:tblPrEx>
        <w:trPr>
          <w:trHeight w:val="500" w:hRule="atLeast"/>
          <w:tblCellSpacing w:w="0" w:type="dxa"/>
        </w:trPr>
        <w:tc>
          <w:tcPr>
            <w:tcW w:w="4067" w:type="dxa"/>
            <w:gridSpan w:val="4"/>
            <w:tcBorders>
              <w:left w:val="single" w:color="000000" w:sz="8" w:space="0"/>
              <w:bottom w:val="single" w:color="000000" w:sz="8" w:space="0"/>
              <w:right w:val="single" w:color="000000" w:sz="8" w:space="0"/>
            </w:tcBorders>
            <w:tcMar>
              <w:top w:w="0" w:type="dxa"/>
              <w:left w:w="11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合计</w:t>
            </w:r>
          </w:p>
        </w:tc>
        <w:tc>
          <w:tcPr>
            <w:tcW w:w="683"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966"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1124"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textAlignment w:val="center"/>
              <w:rPr>
                <w:rFonts w:ascii="Times New Roman" w:hAnsi="Times New Roman" w:eastAsia="Times New Roman"/>
                <w:color w:val="000000"/>
                <w:szCs w:val="24"/>
              </w:rPr>
            </w:pPr>
            <w:r>
              <w:rPr>
                <w:rFonts w:ascii="宋体" w:hAnsi="宋体" w:cs="宋体"/>
                <w:color w:val="000000"/>
                <w:szCs w:val="24"/>
              </w:rPr>
              <w:t>/</w:t>
            </w:r>
          </w:p>
        </w:tc>
        <w:tc>
          <w:tcPr>
            <w:tcW w:w="1085"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c>
          <w:tcPr>
            <w:tcW w:w="611" w:type="dxa"/>
            <w:tcBorders>
              <w:bottom w:val="single" w:color="000000" w:sz="8" w:space="0"/>
              <w:right w:val="single" w:color="000000" w:sz="8" w:space="0"/>
            </w:tcBorders>
            <w:tcMar>
              <w:top w:w="0" w:type="dxa"/>
              <w:left w:w="108" w:type="dxa"/>
              <w:bottom w:w="0" w:type="dxa"/>
              <w:right w:w="118" w:type="dxa"/>
            </w:tcMar>
            <w:vAlign w:val="center"/>
          </w:tcPr>
          <w:p>
            <w:pPr>
              <w:pStyle w:val="936"/>
              <w:jc w:val="center"/>
              <w:rPr>
                <w:rFonts w:ascii="Times New Roman" w:hAnsi="Times New Roman" w:eastAsia="Times New Roman"/>
                <w:color w:val="000000"/>
                <w:szCs w:val="24"/>
              </w:rPr>
            </w:pPr>
            <w:r>
              <w:rPr>
                <w:rFonts w:ascii="宋体" w:hAnsi="宋体" w:cs="宋体"/>
                <w:color w:val="000000"/>
                <w:szCs w:val="24"/>
              </w:rPr>
              <w:t> </w:t>
            </w:r>
          </w:p>
        </w:tc>
      </w:tr>
    </w:tbl>
    <w:p>
      <w:pPr>
        <w:pStyle w:val="938"/>
        <w:spacing w:line="360" w:lineRule="auto"/>
        <w:rPr>
          <w:rFonts w:hint="eastAsia" w:ascii="宋体" w:hAnsi="宋体" w:cs="宋体"/>
          <w:szCs w:val="24"/>
        </w:rPr>
      </w:pPr>
    </w:p>
    <w:p>
      <w:pPr>
        <w:pStyle w:val="938"/>
        <w:spacing w:line="360" w:lineRule="auto"/>
        <w:rPr>
          <w:rFonts w:ascii="Times New Roman" w:hAnsi="Times New Roman" w:eastAsia="Times New Roman"/>
          <w:szCs w:val="24"/>
        </w:rPr>
      </w:pPr>
      <w:r>
        <w:rPr>
          <w:rFonts w:ascii="宋体" w:hAnsi="宋体" w:cs="宋体"/>
          <w:szCs w:val="24"/>
        </w:rPr>
        <w:t>特别说明:</w:t>
      </w:r>
    </w:p>
    <w:p>
      <w:pPr>
        <w:pStyle w:val="938"/>
        <w:spacing w:line="360" w:lineRule="auto"/>
        <w:rPr>
          <w:rFonts w:ascii="Times New Roman" w:hAnsi="Times New Roman" w:eastAsia="Times New Roman"/>
          <w:szCs w:val="24"/>
        </w:rPr>
      </w:pPr>
      <w:r>
        <w:rPr>
          <w:rFonts w:ascii="宋体" w:hAnsi="宋体" w:cs="宋体"/>
          <w:szCs w:val="24"/>
        </w:rPr>
        <w:t>1.本项目总价及分项报价均不接受任何形式的赠送、“零”报价和折扣报价。</w:t>
      </w:r>
    </w:p>
    <w:p>
      <w:pPr>
        <w:pStyle w:val="938"/>
        <w:spacing w:line="360" w:lineRule="auto"/>
        <w:rPr>
          <w:rFonts w:ascii="Times New Roman" w:hAnsi="Times New Roman" w:eastAsia="Times New Roman"/>
          <w:szCs w:val="24"/>
        </w:rPr>
      </w:pPr>
      <w:r>
        <w:rPr>
          <w:rFonts w:ascii="宋体" w:hAnsi="宋体" w:cs="宋体"/>
          <w:szCs w:val="24"/>
        </w:rPr>
        <w:t>2.本表中费用类别为人员费用的项目，小计=人员数量×工作时间×单价；费用类别非人员费用的项目，小计=工作时间×单价。</w:t>
      </w:r>
    </w:p>
    <w:p>
      <w:pPr>
        <w:pStyle w:val="938"/>
        <w:spacing w:line="360" w:lineRule="auto"/>
        <w:rPr>
          <w:rFonts w:ascii="Times New Roman" w:hAnsi="Times New Roman" w:eastAsia="Times New Roman"/>
          <w:szCs w:val="24"/>
        </w:rPr>
      </w:pPr>
      <w:r>
        <w:rPr>
          <w:rFonts w:ascii="宋体" w:hAnsi="宋体" w:cs="宋体"/>
          <w:szCs w:val="24"/>
        </w:rPr>
        <w:t>3.本表中“小计数额的合计数”应等于《开标一览表》中的“投标报价”。</w:t>
      </w:r>
    </w:p>
    <w:p>
      <w:pPr>
        <w:pStyle w:val="938"/>
        <w:spacing w:line="360" w:lineRule="auto"/>
        <w:rPr>
          <w:rFonts w:ascii="Times New Roman" w:hAnsi="Times New Roman" w:eastAsia="Times New Roman"/>
          <w:szCs w:val="24"/>
        </w:rPr>
      </w:pPr>
      <w:r>
        <w:rPr>
          <w:rFonts w:ascii="宋体" w:hAnsi="宋体" w:cs="宋体"/>
          <w:szCs w:val="24"/>
        </w:rPr>
        <w:t>4.中标人须为本项目配备的物品详见需求书8.3.2.1。</w:t>
      </w:r>
    </w:p>
    <w:p>
      <w:pPr>
        <w:pStyle w:val="938"/>
        <w:spacing w:line="360" w:lineRule="auto"/>
        <w:rPr>
          <w:rFonts w:ascii="Times New Roman" w:hAnsi="Times New Roman" w:eastAsia="Times New Roman"/>
          <w:szCs w:val="24"/>
        </w:rPr>
      </w:pPr>
      <w:r>
        <w:rPr>
          <w:rFonts w:ascii="宋体" w:hAnsi="宋体" w:cs="宋体"/>
          <w:szCs w:val="24"/>
        </w:rPr>
        <w:t>5.本表可扩展。</w:t>
      </w:r>
    </w:p>
    <w:p>
      <w:pPr>
        <w:spacing w:line="360" w:lineRule="auto"/>
        <w:ind w:firstLine="561"/>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rPr>
          <w:rFonts w:hint="eastAsia" w:ascii="仿宋_GB2312" w:hAnsi="仿宋_GB2312" w:eastAsia="仿宋_GB2312" w:cs="仿宋_GB2312"/>
          <w:sz w:val="24"/>
          <w:szCs w:val="24"/>
        </w:rPr>
      </w:pPr>
    </w:p>
    <w:p>
      <w:pPr>
        <w:rPr>
          <w:rFonts w:hint="eastAsia" w:ascii="仿宋_GB2312" w:hAnsi="仿宋_GB2312" w:eastAsia="仿宋_GB2312" w:cs="仿宋_GB2312"/>
          <w:szCs w:val="24"/>
        </w:rPr>
      </w:pPr>
    </w:p>
    <w:p>
      <w:pPr>
        <w:pStyle w:val="2"/>
        <w:ind w:left="480" w:firstLine="482"/>
        <w:rPr>
          <w:rFonts w:hint="eastAsia" w:ascii="仿宋_GB2312" w:hAnsi="仿宋_GB2312" w:eastAsia="仿宋_GB2312" w:cs="仿宋_GB2312"/>
        </w:rPr>
      </w:pPr>
    </w:p>
    <w:p>
      <w:pPr>
        <w:pStyle w:val="5"/>
      </w:pPr>
    </w:p>
    <w:p>
      <w:pPr>
        <w:pStyle w:val="2"/>
        <w:ind w:left="480" w:firstLine="482"/>
        <w:rPr>
          <w:rFonts w:hint="eastAsia"/>
        </w:rPr>
      </w:pPr>
    </w:p>
    <w:p>
      <w:pPr>
        <w:keepNext/>
        <w:keepLines/>
        <w:tabs>
          <w:tab w:val="left" w:pos="525"/>
        </w:tabs>
        <w:spacing w:before="260" w:after="260" w:line="360" w:lineRule="auto"/>
        <w:ind w:left="525" w:hanging="525"/>
        <w:rPr>
          <w:rFonts w:hint="eastAsia" w:ascii="宋体" w:hAnsi="宋体" w:cs="宋体"/>
          <w:lang w:val="zh-CN"/>
        </w:rPr>
      </w:pPr>
      <w:r>
        <w:rPr>
          <w:rFonts w:hint="eastAsia" w:ascii="宋体" w:hAnsi="宋体" w:cs="宋体"/>
          <w:b/>
          <w:bCs/>
          <w:sz w:val="32"/>
          <w:szCs w:val="32"/>
        </w:rPr>
        <w:t>二</w:t>
      </w:r>
      <w:r>
        <w:rPr>
          <w:rFonts w:hint="eastAsia" w:ascii="宋体" w:hAnsi="宋体" w:cs="宋体"/>
          <w:b/>
          <w:bCs/>
          <w:sz w:val="32"/>
          <w:szCs w:val="32"/>
          <w:lang w:val="zh-CN"/>
        </w:rPr>
        <w:t>、中小企业声明函格式</w:t>
      </w:r>
    </w:p>
    <w:p>
      <w:pPr>
        <w:pStyle w:val="12"/>
        <w:spacing w:line="360" w:lineRule="auto"/>
        <w:ind w:firstLine="0"/>
        <w:rPr>
          <w:rFonts w:hint="eastAsia" w:ascii="宋体" w:hAnsi="宋体" w:cs="宋体"/>
          <w:b/>
          <w:bCs/>
        </w:rPr>
      </w:pPr>
      <w:r>
        <w:rPr>
          <w:rFonts w:hint="eastAsia" w:ascii="宋体" w:hAnsi="宋体" w:cs="宋体"/>
          <w:b/>
          <w:bCs/>
        </w:rPr>
        <w:t>注：</w:t>
      </w:r>
      <w:r>
        <w:rPr>
          <w:rFonts w:hint="eastAsia" w:ascii="宋体" w:hAnsi="宋体" w:cs="宋体"/>
          <w:b/>
          <w:bCs/>
          <w:kern w:val="2"/>
          <w:sz w:val="21"/>
          <w:szCs w:val="21"/>
        </w:rPr>
        <w:t>本项目属于专门面向小微企业采购的项目。供应商须为符合本项目采购标的对应相关行业（物业管理）划分标准的小微企业（监狱企业、残疾人福利单位视同小型、微型企业）</w:t>
      </w:r>
    </w:p>
    <w:p>
      <w:pPr>
        <w:pStyle w:val="12"/>
        <w:ind w:firstLine="0"/>
        <w:rPr>
          <w:rFonts w:hint="eastAsia" w:ascii="宋体" w:hAnsi="宋体" w:cs="宋体"/>
        </w:rPr>
      </w:pPr>
    </w:p>
    <w:p>
      <w:pPr>
        <w:autoSpaceDE w:val="0"/>
        <w:autoSpaceDN w:val="0"/>
        <w:adjustRightInd w:val="0"/>
        <w:snapToGrid w:val="0"/>
        <w:spacing w:line="360" w:lineRule="auto"/>
        <w:jc w:val="center"/>
        <w:rPr>
          <w:rFonts w:hint="eastAsia" w:ascii="宋体" w:hAnsi="宋体" w:cs="宋体"/>
          <w:b/>
          <w:bCs/>
          <w:sz w:val="36"/>
          <w:szCs w:val="36"/>
        </w:rPr>
      </w:pPr>
      <w:r>
        <w:rPr>
          <w:rFonts w:hint="eastAsia" w:ascii="宋体" w:hAnsi="宋体" w:cs="宋体"/>
          <w:b/>
          <w:bCs/>
          <w:sz w:val="36"/>
          <w:szCs w:val="36"/>
        </w:rPr>
        <w:t>中小企业声明函</w:t>
      </w:r>
    </w:p>
    <w:p>
      <w:pPr>
        <w:autoSpaceDE w:val="0"/>
        <w:autoSpaceDN w:val="0"/>
        <w:adjustRightInd w:val="0"/>
        <w:snapToGrid w:val="0"/>
        <w:spacing w:line="360" w:lineRule="auto"/>
        <w:rPr>
          <w:rFonts w:hint="eastAsia" w:ascii="宋体" w:hAnsi="宋体" w:cs="宋体"/>
        </w:rPr>
      </w:pPr>
    </w:p>
    <w:p>
      <w:pPr>
        <w:autoSpaceDE w:val="0"/>
        <w:autoSpaceDN w:val="0"/>
        <w:adjustRightInd w:val="0"/>
        <w:snapToGrid w:val="0"/>
        <w:spacing w:line="360" w:lineRule="auto"/>
        <w:ind w:firstLine="480" w:firstLineChars="200"/>
        <w:rPr>
          <w:rFonts w:hint="eastAsia" w:ascii="宋体" w:hAnsi="宋体" w:cs="宋体"/>
        </w:rPr>
      </w:pPr>
      <w:r>
        <w:rPr>
          <w:rFonts w:hint="eastAsia" w:ascii="宋体" w:hAnsi="宋体" w:cs="宋体"/>
        </w:rPr>
        <w:t>本公司郑重声明，根据《政府采购促进中小企业发展管理办法》（财库[2020]46号）的规定。本公司参加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pStyle w:val="61"/>
        <w:spacing w:line="360" w:lineRule="auto"/>
        <w:ind w:firstLine="420"/>
        <w:jc w:val="both"/>
        <w:rPr>
          <w:rFonts w:hint="eastAsia" w:ascii="宋体" w:hAnsi="宋体" w:cs="宋体"/>
        </w:rPr>
      </w:pPr>
      <w:r>
        <w:rPr>
          <w:rFonts w:hint="eastAsia" w:ascii="宋体" w:hAnsi="宋体" w:cs="宋体"/>
          <w:shd w:val="clear" w:color="auto" w:fill="FFFFFF"/>
        </w:rPr>
        <w:t>1.</w:t>
      </w:r>
      <w:r>
        <w:rPr>
          <w:rFonts w:hint="eastAsia" w:ascii="宋体" w:hAnsi="宋体" w:cs="宋体"/>
          <w:u w:val="single"/>
          <w:shd w:val="clear" w:color="auto" w:fill="FFFFFF"/>
        </w:rPr>
        <w:t>（标的名称）</w:t>
      </w:r>
      <w:r>
        <w:rPr>
          <w:rFonts w:hint="eastAsia" w:ascii="宋体" w:hAnsi="宋体" w:cs="宋体"/>
          <w:shd w:val="clear" w:color="auto" w:fill="FFFFFF"/>
        </w:rPr>
        <w:t>，属于（</w:t>
      </w:r>
      <w:r>
        <w:rPr>
          <w:rFonts w:hint="eastAsia" w:ascii="宋体" w:hAnsi="宋体" w:cs="宋体"/>
          <w:u w:val="single"/>
          <w:shd w:val="clear" w:color="auto" w:fill="FFFFFF"/>
        </w:rPr>
        <w:t xml:space="preserve">  物业管理  </w:t>
      </w:r>
      <w:r>
        <w:rPr>
          <w:rFonts w:hint="eastAsia" w:ascii="宋体" w:hAnsi="宋体" w:cs="宋体"/>
          <w:shd w:val="clear" w:color="auto" w:fill="FFFFFF"/>
        </w:rPr>
        <w:t>）；承建（承接）企业为（</w:t>
      </w:r>
      <w:r>
        <w:rPr>
          <w:rFonts w:hint="eastAsia" w:ascii="宋体" w:hAnsi="宋体" w:cs="宋体"/>
          <w:u w:val="single"/>
          <w:shd w:val="clear" w:color="auto" w:fill="FFFFFF"/>
        </w:rPr>
        <w:t>企业名称</w:t>
      </w:r>
      <w:r>
        <w:rPr>
          <w:rFonts w:hint="eastAsia" w:ascii="宋体" w:hAnsi="宋体" w:cs="宋体"/>
          <w:shd w:val="clear" w:color="auto" w:fill="FFFFFF"/>
        </w:rPr>
        <w:t>），从业人员</w:t>
      </w:r>
      <w:r>
        <w:rPr>
          <w:rFonts w:hint="eastAsia" w:ascii="宋体" w:hAnsi="宋体" w:cs="宋体"/>
          <w:u w:val="single"/>
          <w:shd w:val="clear" w:color="auto" w:fill="FFFFFF"/>
        </w:rPr>
        <w:t xml:space="preserve">      </w:t>
      </w:r>
      <w:r>
        <w:rPr>
          <w:rFonts w:hint="eastAsia" w:ascii="宋体" w:hAnsi="宋体" w:cs="宋体"/>
          <w:shd w:val="clear" w:color="auto" w:fill="FFFFFF"/>
        </w:rPr>
        <w:t>人，营业收入为</w:t>
      </w:r>
      <w:r>
        <w:rPr>
          <w:rFonts w:hint="eastAsia" w:ascii="宋体" w:hAnsi="宋体" w:cs="宋体"/>
          <w:u w:val="single"/>
          <w:shd w:val="clear" w:color="auto" w:fill="FFFFFF"/>
        </w:rPr>
        <w:t xml:space="preserve">     </w:t>
      </w:r>
      <w:r>
        <w:rPr>
          <w:rFonts w:hint="eastAsia" w:ascii="宋体" w:hAnsi="宋体" w:cs="宋体"/>
          <w:shd w:val="clear" w:color="auto" w:fill="FFFFFF"/>
        </w:rPr>
        <w:t>万元，资产总额为</w:t>
      </w:r>
      <w:r>
        <w:rPr>
          <w:rFonts w:hint="eastAsia" w:ascii="宋体" w:hAnsi="宋体" w:cs="宋体"/>
          <w:u w:val="single"/>
          <w:shd w:val="clear" w:color="auto" w:fill="FFFFFF"/>
        </w:rPr>
        <w:t xml:space="preserve">     </w:t>
      </w:r>
      <w:r>
        <w:rPr>
          <w:rFonts w:hint="eastAsia" w:ascii="宋体" w:hAnsi="宋体" w:cs="宋体"/>
          <w:shd w:val="clear" w:color="auto" w:fill="FFFFFF"/>
        </w:rPr>
        <w:t>万元；属于</w:t>
      </w:r>
      <w:r>
        <w:rPr>
          <w:rFonts w:hint="eastAsia" w:ascii="宋体" w:hAnsi="宋体" w:cs="宋体"/>
          <w:u w:val="single"/>
          <w:shd w:val="clear" w:color="auto" w:fill="FFFFFF"/>
        </w:rPr>
        <w:t xml:space="preserve">    </w:t>
      </w:r>
      <w:r>
        <w:rPr>
          <w:rFonts w:hint="eastAsia" w:ascii="宋体" w:hAnsi="宋体" w:cs="宋体"/>
          <w:shd w:val="clear" w:color="auto" w:fill="FFFFFF"/>
        </w:rPr>
        <w:t>（中型企业、小型企业、微型企业）；</w:t>
      </w:r>
    </w:p>
    <w:p>
      <w:pPr>
        <w:pStyle w:val="61"/>
        <w:spacing w:line="360" w:lineRule="auto"/>
        <w:ind w:firstLine="420"/>
        <w:jc w:val="both"/>
        <w:rPr>
          <w:rFonts w:hint="eastAsia" w:ascii="宋体" w:hAnsi="宋体" w:cs="宋体"/>
        </w:rPr>
      </w:pPr>
      <w:r>
        <w:rPr>
          <w:rFonts w:hint="eastAsia" w:ascii="宋体" w:hAnsi="宋体" w:cs="宋体"/>
          <w:shd w:val="clear" w:color="auto" w:fill="FFFFFF"/>
        </w:rPr>
        <w:t>以上企业，不属于大企业的分支机构，不存在控股股东为大企业的情形，也不存在与大企业的负责人为同一人的情形。</w:t>
      </w:r>
    </w:p>
    <w:p>
      <w:pPr>
        <w:pStyle w:val="61"/>
        <w:spacing w:line="360" w:lineRule="auto"/>
        <w:ind w:firstLine="420"/>
        <w:jc w:val="both"/>
        <w:rPr>
          <w:rFonts w:hint="eastAsia" w:ascii="宋体" w:hAnsi="宋体" w:cs="宋体"/>
        </w:rPr>
      </w:pPr>
      <w:r>
        <w:rPr>
          <w:rFonts w:hint="eastAsia" w:ascii="宋体" w:hAnsi="宋体" w:cs="宋体"/>
          <w:shd w:val="clear" w:color="auto" w:fill="FFFFFF"/>
        </w:rPr>
        <w:t>本企业对上述声明内容的真实性负责。如有虚假，将依法承担相应责任。</w:t>
      </w:r>
    </w:p>
    <w:p>
      <w:pPr>
        <w:pStyle w:val="61"/>
        <w:spacing w:line="360" w:lineRule="auto"/>
        <w:ind w:firstLine="179"/>
        <w:jc w:val="both"/>
        <w:rPr>
          <w:rFonts w:hint="eastAsia" w:ascii="宋体" w:hAnsi="宋体" w:cs="宋体"/>
        </w:rPr>
      </w:pPr>
      <w:r>
        <w:rPr>
          <w:rFonts w:hint="eastAsia" w:ascii="宋体" w:hAnsi="宋体" w:cs="宋体"/>
          <w:shd w:val="clear" w:color="auto" w:fill="FFFFFF"/>
        </w:rPr>
        <w:t>注：从业人员、营业收入、资产总额填报上一年度数据，无上一年度数据的新成立企业可不填报。</w:t>
      </w:r>
    </w:p>
    <w:p>
      <w:pPr>
        <w:spacing w:line="360" w:lineRule="auto"/>
        <w:ind w:firstLine="480"/>
        <w:rPr>
          <w:rFonts w:hint="eastAsia" w:ascii="宋体" w:hAnsi="宋体" w:cs="宋体"/>
          <w:szCs w:val="21"/>
        </w:rPr>
      </w:pPr>
    </w:p>
    <w:p>
      <w:pPr>
        <w:pStyle w:val="59"/>
        <w:rPr>
          <w:rFonts w:hint="eastAsia" w:hAnsi="宋体" w:cs="宋体"/>
          <w:kern w:val="2"/>
          <w:sz w:val="24"/>
          <w:szCs w:val="24"/>
        </w:rPr>
      </w:pPr>
    </w:p>
    <w:p>
      <w:pPr>
        <w:autoSpaceDE w:val="0"/>
        <w:autoSpaceDN w:val="0"/>
        <w:adjustRightInd w:val="0"/>
        <w:snapToGrid w:val="0"/>
        <w:spacing w:line="360" w:lineRule="auto"/>
        <w:ind w:firstLine="3840" w:firstLineChars="1600"/>
        <w:jc w:val="left"/>
        <w:rPr>
          <w:rFonts w:hint="eastAsia" w:ascii="宋体" w:hAnsi="宋体" w:cs="宋体"/>
          <w:szCs w:val="24"/>
        </w:rPr>
      </w:pPr>
      <w:r>
        <w:rPr>
          <w:rFonts w:hint="eastAsia" w:ascii="宋体" w:hAnsi="宋体" w:cs="宋体"/>
          <w:szCs w:val="24"/>
        </w:rPr>
        <w:t>投标人：（投标人公章）</w:t>
      </w:r>
    </w:p>
    <w:p>
      <w:pPr>
        <w:autoSpaceDE w:val="0"/>
        <w:autoSpaceDN w:val="0"/>
        <w:adjustRightInd w:val="0"/>
        <w:snapToGrid w:val="0"/>
        <w:spacing w:line="360" w:lineRule="auto"/>
        <w:ind w:firstLine="3840" w:firstLineChars="1600"/>
        <w:jc w:val="left"/>
        <w:rPr>
          <w:rFonts w:hint="eastAsia" w:ascii="宋体" w:hAnsi="宋体" w:cs="宋体"/>
          <w:szCs w:val="24"/>
        </w:rPr>
      </w:pPr>
      <w:r>
        <w:rPr>
          <w:rFonts w:hint="eastAsia" w:ascii="宋体" w:hAnsi="宋体" w:cs="宋体"/>
          <w:szCs w:val="24"/>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cs="宋体"/>
          <w:szCs w:val="24"/>
        </w:rPr>
      </w:pPr>
      <w:r>
        <w:rPr>
          <w:rFonts w:hint="eastAsia" w:ascii="宋体" w:hAnsi="宋体" w:cs="宋体"/>
          <w:szCs w:val="24"/>
        </w:rPr>
        <w:t>日　期：</w:t>
      </w:r>
    </w:p>
    <w:p>
      <w:pPr>
        <w:autoSpaceDE w:val="0"/>
        <w:autoSpaceDN w:val="0"/>
        <w:adjustRightInd w:val="0"/>
        <w:snapToGrid w:val="0"/>
        <w:spacing w:line="360" w:lineRule="auto"/>
        <w:jc w:val="left"/>
        <w:rPr>
          <w:rFonts w:hint="eastAsia" w:ascii="宋体" w:hAnsi="宋体" w:cs="宋体"/>
          <w:szCs w:val="24"/>
        </w:rPr>
      </w:pPr>
    </w:p>
    <w:p>
      <w:pPr>
        <w:keepNext/>
        <w:keepLines/>
        <w:tabs>
          <w:tab w:val="left" w:pos="525"/>
        </w:tabs>
        <w:spacing w:before="260" w:after="260" w:line="360" w:lineRule="auto"/>
        <w:ind w:left="525" w:hanging="525"/>
        <w:rPr>
          <w:rFonts w:hint="eastAsia" w:ascii="宋体" w:hAnsi="宋体" w:cs="宋体"/>
          <w:szCs w:val="21"/>
        </w:rPr>
      </w:pPr>
      <w:r>
        <w:rPr>
          <w:rFonts w:hint="eastAsia" w:ascii="宋体" w:hAnsi="宋体" w:cs="宋体"/>
          <w:szCs w:val="24"/>
        </w:rPr>
        <w:br w:type="page"/>
      </w:r>
      <w:bookmarkStart w:id="226" w:name="_Toc500229398"/>
      <w:r>
        <w:rPr>
          <w:rFonts w:hint="eastAsia" w:ascii="宋体" w:hAnsi="宋体" w:cs="宋体"/>
          <w:b/>
          <w:bCs/>
          <w:sz w:val="32"/>
          <w:szCs w:val="32"/>
        </w:rPr>
        <w:t>三</w:t>
      </w:r>
      <w:r>
        <w:rPr>
          <w:rFonts w:hint="eastAsia" w:ascii="宋体" w:hAnsi="宋体" w:cs="宋体"/>
          <w:b/>
          <w:bCs/>
          <w:sz w:val="32"/>
          <w:szCs w:val="32"/>
          <w:lang w:val="zh-CN"/>
        </w:rPr>
        <w:t>、监狱企业声明函</w:t>
      </w:r>
      <w:bookmarkEnd w:id="226"/>
      <w:r>
        <w:rPr>
          <w:rFonts w:hint="eastAsia" w:ascii="宋体" w:hAnsi="宋体" w:cs="宋体"/>
          <w:b/>
          <w:bCs/>
          <w:sz w:val="32"/>
          <w:szCs w:val="32"/>
          <w:lang w:val="zh-CN"/>
        </w:rPr>
        <w:t>（</w:t>
      </w:r>
      <w:r>
        <w:rPr>
          <w:rFonts w:hint="eastAsia" w:ascii="宋体" w:hAnsi="宋体" w:cs="宋体"/>
          <w:b/>
          <w:bCs/>
          <w:sz w:val="32"/>
          <w:szCs w:val="32"/>
        </w:rPr>
        <w:t>如有</w:t>
      </w:r>
      <w:r>
        <w:rPr>
          <w:rFonts w:hint="eastAsia" w:ascii="宋体" w:hAnsi="宋体" w:cs="宋体"/>
          <w:b/>
          <w:bCs/>
          <w:sz w:val="32"/>
          <w:szCs w:val="32"/>
          <w:lang w:val="zh-CN"/>
        </w:rPr>
        <w:t>）</w:t>
      </w:r>
    </w:p>
    <w:p>
      <w:pPr>
        <w:adjustRightInd w:val="0"/>
        <w:snapToGrid w:val="0"/>
        <w:spacing w:line="360" w:lineRule="auto"/>
        <w:jc w:val="left"/>
        <w:rPr>
          <w:rFonts w:hint="eastAsia" w:ascii="宋体" w:hAnsi="宋体" w:cs="宋体"/>
        </w:rPr>
      </w:pPr>
    </w:p>
    <w:p>
      <w:pPr>
        <w:autoSpaceDE w:val="0"/>
        <w:autoSpaceDN w:val="0"/>
        <w:adjustRightInd w:val="0"/>
        <w:snapToGrid w:val="0"/>
        <w:spacing w:line="360" w:lineRule="auto"/>
        <w:jc w:val="center"/>
        <w:rPr>
          <w:rFonts w:hint="eastAsia" w:ascii="宋体" w:hAnsi="宋体" w:cs="宋体"/>
          <w:b/>
          <w:bCs/>
          <w:sz w:val="36"/>
          <w:szCs w:val="36"/>
        </w:rPr>
      </w:pPr>
      <w:r>
        <w:rPr>
          <w:rFonts w:hint="eastAsia" w:ascii="宋体" w:hAnsi="宋体" w:cs="宋体"/>
          <w:b/>
          <w:bCs/>
          <w:sz w:val="36"/>
          <w:szCs w:val="36"/>
        </w:rPr>
        <w:t>监狱企业声明函</w:t>
      </w:r>
    </w:p>
    <w:p>
      <w:pPr>
        <w:autoSpaceDE w:val="0"/>
        <w:autoSpaceDN w:val="0"/>
        <w:adjustRightInd w:val="0"/>
        <w:snapToGrid w:val="0"/>
        <w:spacing w:line="360" w:lineRule="auto"/>
        <w:jc w:val="left"/>
        <w:rPr>
          <w:rFonts w:hint="eastAsia" w:ascii="宋体" w:hAnsi="宋体" w:cs="宋体"/>
        </w:rPr>
      </w:pPr>
    </w:p>
    <w:p>
      <w:pPr>
        <w:pStyle w:val="61"/>
        <w:shd w:val="clear" w:color="auto" w:fill="FFFFFF"/>
        <w:spacing w:line="360" w:lineRule="auto"/>
        <w:ind w:firstLine="420"/>
        <w:jc w:val="both"/>
        <w:rPr>
          <w:rFonts w:hint="eastAsia" w:ascii="宋体" w:hAnsi="宋体" w:cs="宋体"/>
          <w:shd w:val="clear" w:color="auto" w:fill="FFFFFF"/>
        </w:rPr>
      </w:pPr>
      <w:r>
        <w:rPr>
          <w:rFonts w:hint="eastAsia" w:ascii="宋体" w:hAnsi="宋体" w:cs="宋体"/>
          <w:shd w:val="clear" w:color="auto" w:fill="FFFFFF"/>
        </w:rPr>
        <w:t>本公司郑重声明，根据《关于政府采购支持监狱企业发展有关问题的通知》（财库[2014]68号）的规定，本公司为监狱企业。即，本公司同时满足以下条件：</w:t>
      </w:r>
    </w:p>
    <w:p>
      <w:pPr>
        <w:pStyle w:val="61"/>
        <w:shd w:val="clear" w:color="auto" w:fill="FFFFFF"/>
        <w:spacing w:line="360" w:lineRule="auto"/>
        <w:ind w:firstLine="420"/>
        <w:jc w:val="both"/>
        <w:rPr>
          <w:rFonts w:hint="eastAsia" w:ascii="宋体" w:hAnsi="宋体" w:cs="宋体"/>
          <w:shd w:val="clear" w:color="auto" w:fill="FFFFFF"/>
        </w:rPr>
      </w:pPr>
      <w:r>
        <w:rPr>
          <w:rFonts w:hint="eastAsia" w:ascii="宋体" w:hAnsi="宋体" w:cs="宋体"/>
          <w:shd w:val="clear" w:color="auto" w:fill="FFFFFF"/>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61"/>
        <w:shd w:val="clear" w:color="auto" w:fill="FFFFFF"/>
        <w:spacing w:line="360" w:lineRule="auto"/>
        <w:ind w:firstLine="420"/>
        <w:jc w:val="both"/>
        <w:rPr>
          <w:rFonts w:hint="eastAsia" w:ascii="宋体" w:hAnsi="宋体" w:cs="宋体"/>
          <w:shd w:val="clear" w:color="auto" w:fill="FFFFFF"/>
        </w:rPr>
      </w:pPr>
      <w:r>
        <w:rPr>
          <w:rFonts w:hint="eastAsia" w:ascii="宋体" w:hAnsi="宋体" w:cs="宋体"/>
          <w:shd w:val="clear" w:color="auto" w:fill="FFFFFF"/>
        </w:rPr>
        <w:t xml:space="preserve">2.本公司参加 </w:t>
      </w:r>
      <w:r>
        <w:rPr>
          <w:rFonts w:hint="eastAsia" w:ascii="宋体" w:hAnsi="宋体" w:cs="宋体"/>
          <w:u w:val="single"/>
          <w:shd w:val="clear" w:color="auto" w:fill="FFFFFF"/>
        </w:rPr>
        <w:t xml:space="preserve">                          </w:t>
      </w:r>
      <w:r>
        <w:rPr>
          <w:rFonts w:hint="eastAsia" w:ascii="宋体" w:hAnsi="宋体" w:cs="宋体"/>
          <w:shd w:val="clear" w:color="auto" w:fill="FFFFFF"/>
        </w:rPr>
        <w:t>项目（项目编号：            ）采购活动时提供的是本企业的产品（包括由本企业承担的工程和提供的服务），或者提供的是其他监狱企业制造的产品。</w:t>
      </w:r>
    </w:p>
    <w:p>
      <w:pPr>
        <w:pStyle w:val="61"/>
        <w:shd w:val="clear" w:color="auto" w:fill="FFFFFF"/>
        <w:spacing w:line="360" w:lineRule="auto"/>
        <w:ind w:firstLine="420"/>
        <w:jc w:val="both"/>
        <w:rPr>
          <w:rFonts w:hint="eastAsia" w:ascii="宋体" w:hAnsi="宋体" w:cs="宋体"/>
          <w:shd w:val="clear" w:color="auto" w:fill="FFFFFF"/>
        </w:rPr>
      </w:pPr>
      <w:r>
        <w:rPr>
          <w:rFonts w:hint="eastAsia" w:ascii="宋体" w:hAnsi="宋体" w:cs="宋体"/>
          <w:shd w:val="clear" w:color="auto" w:fill="FFFFFF"/>
        </w:rPr>
        <w:t>本公司对上述声明的真实性负责。如有虚假，将依法承担相应责任。</w:t>
      </w:r>
    </w:p>
    <w:p>
      <w:pPr>
        <w:pStyle w:val="61"/>
        <w:shd w:val="clear" w:color="auto" w:fill="FFFFFF"/>
        <w:spacing w:line="360" w:lineRule="auto"/>
        <w:ind w:firstLine="420"/>
        <w:jc w:val="both"/>
        <w:rPr>
          <w:rFonts w:hint="eastAsia" w:ascii="宋体" w:hAnsi="宋体" w:cs="宋体"/>
          <w:shd w:val="clear" w:color="auto" w:fill="FFFFFF"/>
        </w:rPr>
      </w:pPr>
    </w:p>
    <w:p>
      <w:pPr>
        <w:pStyle w:val="61"/>
        <w:shd w:val="clear" w:color="auto" w:fill="FFFFFF"/>
        <w:spacing w:line="360" w:lineRule="auto"/>
        <w:ind w:firstLine="420"/>
        <w:jc w:val="both"/>
        <w:rPr>
          <w:rFonts w:hint="eastAsia" w:ascii="宋体" w:hAnsi="宋体" w:cs="宋体"/>
          <w:shd w:val="clear" w:color="auto" w:fill="FFFFFF"/>
        </w:rPr>
      </w:pPr>
      <w:r>
        <w:rPr>
          <w:rFonts w:hint="eastAsia" w:ascii="宋体" w:hAnsi="宋体" w:cs="宋体"/>
          <w:shd w:val="clear" w:color="auto" w:fill="FFFFFF"/>
        </w:rPr>
        <w:t>附件：省级以上监狱管理局、戒毒管理局(含新疆生产建设兵团)出具的属于监狱企业的证明文件</w:t>
      </w:r>
    </w:p>
    <w:p>
      <w:pPr>
        <w:adjustRightInd w:val="0"/>
        <w:snapToGrid w:val="0"/>
        <w:spacing w:line="360" w:lineRule="auto"/>
        <w:jc w:val="left"/>
        <w:rPr>
          <w:rFonts w:hint="eastAsia" w:ascii="宋体" w:hAnsi="宋体" w:cs="宋体"/>
        </w:rPr>
      </w:pPr>
    </w:p>
    <w:p>
      <w:pPr>
        <w:autoSpaceDE w:val="0"/>
        <w:autoSpaceDN w:val="0"/>
        <w:adjustRightInd w:val="0"/>
        <w:snapToGrid w:val="0"/>
        <w:spacing w:line="360" w:lineRule="auto"/>
        <w:jc w:val="left"/>
        <w:rPr>
          <w:rFonts w:hint="eastAsia" w:ascii="宋体" w:hAnsi="宋体" w:cs="宋体"/>
        </w:rPr>
      </w:pPr>
    </w:p>
    <w:p>
      <w:pPr>
        <w:autoSpaceDE w:val="0"/>
        <w:autoSpaceDN w:val="0"/>
        <w:adjustRightInd w:val="0"/>
        <w:snapToGrid w:val="0"/>
        <w:spacing w:line="360" w:lineRule="auto"/>
        <w:ind w:firstLine="3840" w:firstLineChars="1600"/>
        <w:jc w:val="left"/>
        <w:rPr>
          <w:rFonts w:hint="eastAsia" w:ascii="宋体" w:hAnsi="宋体" w:cs="宋体"/>
        </w:rPr>
      </w:pPr>
      <w:r>
        <w:rPr>
          <w:rFonts w:hint="eastAsia" w:ascii="宋体" w:hAnsi="宋体" w:cs="宋体"/>
        </w:rPr>
        <w:t>投标人：（投标人公章）</w:t>
      </w:r>
    </w:p>
    <w:p>
      <w:pPr>
        <w:autoSpaceDE w:val="0"/>
        <w:autoSpaceDN w:val="0"/>
        <w:adjustRightInd w:val="0"/>
        <w:snapToGrid w:val="0"/>
        <w:spacing w:line="360" w:lineRule="auto"/>
        <w:ind w:firstLine="3840" w:firstLineChars="1600"/>
        <w:jc w:val="left"/>
        <w:rPr>
          <w:rFonts w:hint="eastAsia" w:ascii="宋体" w:hAnsi="宋体" w:cs="宋体"/>
        </w:rPr>
      </w:pPr>
      <w:r>
        <w:rPr>
          <w:rFonts w:hint="eastAsia" w:ascii="宋体" w:hAnsi="宋体" w:cs="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cs="宋体"/>
        </w:rPr>
      </w:pPr>
      <w:r>
        <w:rPr>
          <w:rFonts w:hint="eastAsia" w:ascii="宋体" w:hAnsi="宋体" w:cs="宋体"/>
        </w:rPr>
        <w:t>日　期：</w:t>
      </w:r>
    </w:p>
    <w:p>
      <w:pPr>
        <w:autoSpaceDE w:val="0"/>
        <w:autoSpaceDN w:val="0"/>
        <w:adjustRightInd w:val="0"/>
        <w:snapToGrid w:val="0"/>
        <w:spacing w:line="360" w:lineRule="auto"/>
        <w:jc w:val="left"/>
        <w:rPr>
          <w:rFonts w:hint="eastAsia" w:ascii="宋体" w:hAnsi="宋体" w:cs="宋体"/>
        </w:rPr>
      </w:pPr>
    </w:p>
    <w:p>
      <w:pPr>
        <w:keepNext/>
        <w:keepLines/>
        <w:tabs>
          <w:tab w:val="left" w:pos="525"/>
        </w:tabs>
        <w:spacing w:before="260" w:after="260" w:line="360" w:lineRule="auto"/>
        <w:ind w:left="525" w:hanging="525"/>
        <w:rPr>
          <w:rFonts w:hint="eastAsia" w:ascii="宋体" w:hAnsi="宋体" w:cs="宋体"/>
          <w:szCs w:val="21"/>
        </w:rPr>
      </w:pPr>
      <w:r>
        <w:rPr>
          <w:rFonts w:hint="eastAsia" w:ascii="宋体" w:hAnsi="宋体" w:cs="宋体"/>
          <w:szCs w:val="21"/>
        </w:rPr>
        <w:br w:type="page"/>
      </w:r>
      <w:bookmarkStart w:id="227" w:name="_Toc500229399"/>
      <w:r>
        <w:rPr>
          <w:rFonts w:hint="eastAsia" w:ascii="宋体" w:hAnsi="宋体" w:cs="宋体"/>
          <w:b/>
          <w:bCs/>
          <w:sz w:val="32"/>
          <w:szCs w:val="32"/>
        </w:rPr>
        <w:t>四</w:t>
      </w:r>
      <w:r>
        <w:rPr>
          <w:rFonts w:hint="eastAsia" w:ascii="宋体" w:hAnsi="宋体" w:cs="宋体"/>
          <w:b/>
          <w:bCs/>
          <w:sz w:val="32"/>
          <w:szCs w:val="32"/>
          <w:lang w:val="zh-CN"/>
        </w:rPr>
        <w:t>、残疾人福利性单位声明函</w:t>
      </w:r>
      <w:bookmarkEnd w:id="227"/>
      <w:r>
        <w:rPr>
          <w:rFonts w:hint="eastAsia" w:ascii="宋体" w:hAnsi="宋体" w:cs="宋体"/>
          <w:b/>
          <w:bCs/>
          <w:sz w:val="32"/>
          <w:szCs w:val="32"/>
          <w:lang w:val="zh-CN"/>
        </w:rPr>
        <w:t>（</w:t>
      </w:r>
      <w:r>
        <w:rPr>
          <w:rFonts w:hint="eastAsia" w:ascii="宋体" w:hAnsi="宋体" w:cs="宋体"/>
          <w:b/>
          <w:bCs/>
          <w:sz w:val="32"/>
          <w:szCs w:val="32"/>
        </w:rPr>
        <w:t>如有</w:t>
      </w:r>
      <w:r>
        <w:rPr>
          <w:rFonts w:hint="eastAsia" w:ascii="宋体" w:hAnsi="宋体" w:cs="宋体"/>
          <w:b/>
          <w:bCs/>
          <w:sz w:val="32"/>
          <w:szCs w:val="32"/>
          <w:lang w:val="zh-CN"/>
        </w:rPr>
        <w:t>）</w:t>
      </w:r>
    </w:p>
    <w:p>
      <w:pPr>
        <w:adjustRightInd w:val="0"/>
        <w:snapToGrid w:val="0"/>
        <w:spacing w:line="360" w:lineRule="auto"/>
        <w:jc w:val="left"/>
        <w:rPr>
          <w:rFonts w:hint="eastAsia" w:ascii="宋体" w:hAnsi="宋体" w:cs="宋体"/>
        </w:rPr>
      </w:pPr>
    </w:p>
    <w:p>
      <w:pPr>
        <w:autoSpaceDE w:val="0"/>
        <w:autoSpaceDN w:val="0"/>
        <w:adjustRightInd w:val="0"/>
        <w:snapToGrid w:val="0"/>
        <w:spacing w:line="360" w:lineRule="auto"/>
        <w:jc w:val="center"/>
        <w:rPr>
          <w:rFonts w:hint="eastAsia" w:ascii="宋体" w:hAnsi="宋体" w:cs="宋体"/>
          <w:b/>
          <w:bCs/>
          <w:sz w:val="36"/>
          <w:szCs w:val="36"/>
        </w:rPr>
      </w:pPr>
      <w:r>
        <w:rPr>
          <w:rFonts w:hint="eastAsia" w:ascii="宋体" w:hAnsi="宋体" w:cs="宋体"/>
          <w:b/>
          <w:bCs/>
          <w:sz w:val="36"/>
          <w:szCs w:val="36"/>
        </w:rPr>
        <w:t>残疾人福利性单位声明函</w:t>
      </w:r>
    </w:p>
    <w:p>
      <w:pPr>
        <w:autoSpaceDE w:val="0"/>
        <w:autoSpaceDN w:val="0"/>
        <w:adjustRightInd w:val="0"/>
        <w:snapToGrid w:val="0"/>
        <w:spacing w:line="360" w:lineRule="auto"/>
        <w:jc w:val="left"/>
        <w:rPr>
          <w:rFonts w:hint="eastAsia" w:ascii="宋体" w:hAnsi="宋体" w:cs="宋体"/>
        </w:rPr>
      </w:pPr>
    </w:p>
    <w:p>
      <w:pPr>
        <w:autoSpaceDE w:val="0"/>
        <w:autoSpaceDN w:val="0"/>
        <w:adjustRightInd w:val="0"/>
        <w:snapToGrid w:val="0"/>
        <w:spacing w:line="360" w:lineRule="auto"/>
        <w:ind w:firstLine="480" w:firstLineChars="200"/>
        <w:rPr>
          <w:rFonts w:hint="eastAsia" w:ascii="宋体" w:hAnsi="宋体" w:cs="宋体"/>
          <w:szCs w:val="24"/>
        </w:rPr>
      </w:pPr>
      <w:r>
        <w:rPr>
          <w:rFonts w:hint="eastAsia" w:ascii="宋体" w:hAnsi="宋体" w:cs="宋体"/>
          <w:szCs w:val="24"/>
        </w:rPr>
        <w:t>本单位郑重声明，根据《关于促进残疾人就业政府采购政策的通知》（财库[2017]141号）的规定，本单位为残疾人福利性单位。即，本单位同时满足以下条件：</w:t>
      </w:r>
    </w:p>
    <w:p>
      <w:pPr>
        <w:autoSpaceDE w:val="0"/>
        <w:autoSpaceDN w:val="0"/>
        <w:adjustRightInd w:val="0"/>
        <w:snapToGrid w:val="0"/>
        <w:spacing w:line="360" w:lineRule="auto"/>
        <w:ind w:firstLine="480" w:firstLineChars="200"/>
        <w:jc w:val="left"/>
        <w:rPr>
          <w:rFonts w:hint="eastAsia" w:ascii="宋体" w:hAnsi="宋体" w:cs="宋体"/>
          <w:szCs w:val="24"/>
        </w:rPr>
      </w:pPr>
      <w:r>
        <w:rPr>
          <w:rFonts w:hint="eastAsia" w:ascii="宋体" w:hAnsi="宋体" w:cs="宋体"/>
          <w:szCs w:val="24"/>
        </w:rPr>
        <w:t>1.安置的残疾人占本单位在职职工人数的比例不低于25%（含25%），并且安置的残疾人人数不少于10人（含10人）；</w:t>
      </w:r>
    </w:p>
    <w:p>
      <w:pPr>
        <w:autoSpaceDE w:val="0"/>
        <w:autoSpaceDN w:val="0"/>
        <w:adjustRightInd w:val="0"/>
        <w:snapToGrid w:val="0"/>
        <w:spacing w:line="360" w:lineRule="auto"/>
        <w:ind w:firstLine="480" w:firstLineChars="200"/>
        <w:jc w:val="left"/>
        <w:rPr>
          <w:rFonts w:hint="eastAsia" w:ascii="宋体" w:hAnsi="宋体" w:cs="宋体"/>
          <w:szCs w:val="24"/>
        </w:rPr>
      </w:pPr>
      <w:r>
        <w:rPr>
          <w:rFonts w:hint="eastAsia" w:ascii="宋体" w:hAnsi="宋体" w:cs="宋体"/>
          <w:szCs w:val="24"/>
        </w:rPr>
        <w:t>2.本单位依法与安置的每位残疾人签订了一年以上（含一年）的劳动合同或服务协议；</w:t>
      </w:r>
    </w:p>
    <w:p>
      <w:pPr>
        <w:autoSpaceDE w:val="0"/>
        <w:autoSpaceDN w:val="0"/>
        <w:adjustRightInd w:val="0"/>
        <w:snapToGrid w:val="0"/>
        <w:spacing w:line="360" w:lineRule="auto"/>
        <w:ind w:firstLine="480" w:firstLineChars="200"/>
        <w:jc w:val="left"/>
        <w:rPr>
          <w:rFonts w:hint="eastAsia" w:ascii="宋体" w:hAnsi="宋体" w:cs="宋体"/>
          <w:szCs w:val="24"/>
        </w:rPr>
      </w:pPr>
      <w:r>
        <w:rPr>
          <w:rFonts w:hint="eastAsia" w:ascii="宋体" w:hAnsi="宋体" w:cs="宋体"/>
          <w:szCs w:val="24"/>
        </w:rPr>
        <w:t>3.本单位为安置的每位残疾人按月足额缴纳了基本养老保险、基本医疗保险、失业保险、工伤保险和生育保险等社会保险费；</w:t>
      </w:r>
    </w:p>
    <w:p>
      <w:pPr>
        <w:autoSpaceDE w:val="0"/>
        <w:autoSpaceDN w:val="0"/>
        <w:adjustRightInd w:val="0"/>
        <w:snapToGrid w:val="0"/>
        <w:spacing w:line="360" w:lineRule="auto"/>
        <w:ind w:firstLine="480" w:firstLineChars="200"/>
        <w:jc w:val="left"/>
        <w:rPr>
          <w:rFonts w:hint="eastAsia" w:ascii="宋体" w:hAnsi="宋体" w:cs="宋体"/>
          <w:szCs w:val="24"/>
        </w:rPr>
      </w:pPr>
      <w:r>
        <w:rPr>
          <w:rFonts w:hint="eastAsia" w:ascii="宋体" w:hAnsi="宋体" w:cs="宋体"/>
          <w:szCs w:val="24"/>
        </w:rPr>
        <w:t>4.本单位通过银行等金融机构向安置的每位残疾人，按月支付了不低于单位所在区县适用的经省级人民政府批准的月最低工资标准的工资；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ind w:firstLine="480" w:firstLineChars="200"/>
        <w:jc w:val="left"/>
        <w:rPr>
          <w:rFonts w:hint="eastAsia" w:ascii="宋体" w:hAnsi="宋体" w:cs="宋体"/>
          <w:szCs w:val="24"/>
        </w:rPr>
      </w:pPr>
      <w:r>
        <w:rPr>
          <w:rFonts w:hint="eastAsia" w:ascii="宋体" w:hAnsi="宋体" w:cs="宋体"/>
          <w:szCs w:val="24"/>
        </w:rPr>
        <w:t>5.本单位参加</w:t>
      </w:r>
      <w:r>
        <w:rPr>
          <w:rFonts w:hint="eastAsia" w:ascii="宋体" w:hAnsi="宋体" w:cs="宋体"/>
          <w:szCs w:val="24"/>
          <w:u w:val="single"/>
        </w:rPr>
        <w:t xml:space="preserve">                           </w:t>
      </w:r>
      <w:r>
        <w:rPr>
          <w:rFonts w:hint="eastAsia" w:ascii="宋体" w:hAnsi="宋体" w:cs="宋体"/>
          <w:szCs w:val="24"/>
        </w:rPr>
        <w:t>项目（项目编号：</w:t>
      </w:r>
      <w:r>
        <w:rPr>
          <w:rFonts w:hint="eastAsia" w:ascii="宋体" w:hAnsi="宋体" w:cs="宋体"/>
          <w:szCs w:val="24"/>
          <w:u w:val="single"/>
        </w:rPr>
        <w:t xml:space="preserve">            </w:t>
      </w:r>
      <w:r>
        <w:rPr>
          <w:rFonts w:hint="eastAsia" w:ascii="宋体" w:hAnsi="宋体" w:cs="宋体"/>
          <w:szCs w:val="24"/>
        </w:rPr>
        <w:t>）采购活动时提供的是本单位的产品（包括由本单位承担的工程和提供的服务），或者提供的是其他残疾人福利性单位制造的产品。</w:t>
      </w:r>
    </w:p>
    <w:p>
      <w:pPr>
        <w:autoSpaceDE w:val="0"/>
        <w:autoSpaceDN w:val="0"/>
        <w:adjustRightInd w:val="0"/>
        <w:snapToGrid w:val="0"/>
        <w:spacing w:line="360" w:lineRule="auto"/>
        <w:ind w:firstLine="480" w:firstLineChars="200"/>
        <w:jc w:val="left"/>
        <w:rPr>
          <w:rFonts w:hint="eastAsia" w:ascii="宋体" w:hAnsi="宋体" w:cs="宋体"/>
          <w:szCs w:val="24"/>
        </w:rPr>
      </w:pPr>
      <w:r>
        <w:rPr>
          <w:rFonts w:hint="eastAsia" w:ascii="宋体" w:hAnsi="宋体" w:cs="宋体"/>
          <w:szCs w:val="24"/>
        </w:rPr>
        <w:t>本公司对上述声明的真实性负责。如有虚假，将依法承担相应责任。</w:t>
      </w:r>
    </w:p>
    <w:p>
      <w:pPr>
        <w:autoSpaceDE w:val="0"/>
        <w:autoSpaceDN w:val="0"/>
        <w:adjustRightInd w:val="0"/>
        <w:snapToGrid w:val="0"/>
        <w:spacing w:line="360" w:lineRule="auto"/>
        <w:jc w:val="left"/>
        <w:rPr>
          <w:rFonts w:hint="eastAsia" w:ascii="宋体" w:hAnsi="宋体" w:cs="宋体"/>
          <w:szCs w:val="24"/>
        </w:rPr>
      </w:pPr>
    </w:p>
    <w:p>
      <w:pPr>
        <w:autoSpaceDE w:val="0"/>
        <w:autoSpaceDN w:val="0"/>
        <w:adjustRightInd w:val="0"/>
        <w:snapToGrid w:val="0"/>
        <w:spacing w:line="360" w:lineRule="auto"/>
        <w:ind w:firstLine="480" w:firstLineChars="200"/>
        <w:jc w:val="left"/>
        <w:rPr>
          <w:rFonts w:hint="eastAsia" w:ascii="宋体" w:hAnsi="宋体" w:cs="宋体"/>
          <w:szCs w:val="24"/>
        </w:rPr>
      </w:pPr>
      <w:r>
        <w:rPr>
          <w:rFonts w:hint="eastAsia" w:ascii="宋体" w:hAnsi="宋体" w:cs="宋体"/>
          <w:szCs w:val="24"/>
        </w:rPr>
        <w:t>附件：近三个月依法为安置残疾人缴纳社会保障资金的证明文件</w:t>
      </w:r>
    </w:p>
    <w:p>
      <w:pPr>
        <w:autoSpaceDE w:val="0"/>
        <w:autoSpaceDN w:val="0"/>
        <w:adjustRightInd w:val="0"/>
        <w:snapToGrid w:val="0"/>
        <w:spacing w:line="360" w:lineRule="auto"/>
        <w:jc w:val="left"/>
        <w:rPr>
          <w:rFonts w:hint="eastAsia" w:ascii="宋体" w:hAnsi="宋体" w:cs="宋体"/>
        </w:rPr>
      </w:pPr>
    </w:p>
    <w:p>
      <w:pPr>
        <w:autoSpaceDE w:val="0"/>
        <w:autoSpaceDN w:val="0"/>
        <w:adjustRightInd w:val="0"/>
        <w:snapToGrid w:val="0"/>
        <w:spacing w:line="360" w:lineRule="auto"/>
        <w:jc w:val="left"/>
        <w:rPr>
          <w:rFonts w:hint="eastAsia" w:ascii="宋体" w:hAnsi="宋体" w:cs="宋体"/>
        </w:rPr>
      </w:pPr>
    </w:p>
    <w:p>
      <w:pPr>
        <w:autoSpaceDE w:val="0"/>
        <w:autoSpaceDN w:val="0"/>
        <w:adjustRightInd w:val="0"/>
        <w:snapToGrid w:val="0"/>
        <w:spacing w:line="360" w:lineRule="auto"/>
        <w:ind w:firstLine="3840" w:firstLineChars="1600"/>
        <w:jc w:val="left"/>
        <w:rPr>
          <w:rFonts w:hint="eastAsia" w:ascii="宋体" w:hAnsi="宋体" w:cs="宋体"/>
        </w:rPr>
      </w:pPr>
      <w:r>
        <w:rPr>
          <w:rFonts w:hint="eastAsia" w:ascii="宋体" w:hAnsi="宋体" w:cs="宋体"/>
        </w:rPr>
        <w:t>投标人：（投标人公章）</w:t>
      </w:r>
    </w:p>
    <w:p>
      <w:pPr>
        <w:autoSpaceDE w:val="0"/>
        <w:autoSpaceDN w:val="0"/>
        <w:adjustRightInd w:val="0"/>
        <w:snapToGrid w:val="0"/>
        <w:spacing w:line="360" w:lineRule="auto"/>
        <w:ind w:firstLine="3840" w:firstLineChars="1600"/>
        <w:jc w:val="left"/>
        <w:rPr>
          <w:rFonts w:hint="eastAsia" w:ascii="宋体" w:hAnsi="宋体" w:cs="宋体"/>
        </w:rPr>
      </w:pPr>
      <w:r>
        <w:rPr>
          <w:rFonts w:hint="eastAsia" w:ascii="宋体" w:hAnsi="宋体" w:cs="宋体"/>
        </w:rPr>
        <w:t>法定代表人或其授权代表签名：</w:t>
      </w:r>
    </w:p>
    <w:p>
      <w:pPr>
        <w:autoSpaceDE w:val="0"/>
        <w:autoSpaceDN w:val="0"/>
        <w:adjustRightInd w:val="0"/>
        <w:snapToGrid w:val="0"/>
        <w:spacing w:line="360" w:lineRule="auto"/>
        <w:ind w:firstLine="3840" w:firstLineChars="1600"/>
        <w:jc w:val="left"/>
        <w:rPr>
          <w:rFonts w:hint="eastAsia" w:ascii="宋体" w:hAnsi="宋体" w:cs="宋体"/>
        </w:rPr>
      </w:pPr>
      <w:r>
        <w:rPr>
          <w:rFonts w:hint="eastAsia" w:ascii="宋体" w:hAnsi="宋体" w:cs="宋体"/>
        </w:rPr>
        <w:t>日　期：</w:t>
      </w:r>
    </w:p>
    <w:p>
      <w:pPr>
        <w:autoSpaceDE w:val="0"/>
        <w:autoSpaceDN w:val="0"/>
        <w:adjustRightInd w:val="0"/>
        <w:snapToGrid w:val="0"/>
        <w:spacing w:line="360" w:lineRule="auto"/>
        <w:jc w:val="left"/>
        <w:rPr>
          <w:rFonts w:hint="eastAsia" w:ascii="宋体"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keepNext/>
        <w:keepLines/>
        <w:tabs>
          <w:tab w:val="left" w:pos="525"/>
        </w:tabs>
        <w:spacing w:before="260" w:after="260" w:line="360" w:lineRule="auto"/>
        <w:rPr>
          <w:rFonts w:hint="eastAsia" w:ascii="宋体" w:hAnsi="宋体" w:cs="宋体"/>
          <w:b/>
          <w:bCs/>
          <w:szCs w:val="32"/>
        </w:rPr>
      </w:pPr>
      <w:bookmarkStart w:id="228" w:name="_Toc500229400"/>
      <w:r>
        <w:rPr>
          <w:rFonts w:hint="eastAsia" w:ascii="宋体" w:hAnsi="宋体" w:cs="宋体"/>
          <w:b/>
          <w:bCs/>
          <w:sz w:val="32"/>
          <w:szCs w:val="32"/>
        </w:rPr>
        <w:t>五</w:t>
      </w:r>
      <w:r>
        <w:rPr>
          <w:rFonts w:hint="eastAsia" w:ascii="宋体" w:hAnsi="宋体" w:cs="宋体"/>
          <w:b/>
          <w:bCs/>
          <w:sz w:val="32"/>
          <w:szCs w:val="32"/>
          <w:lang w:val="zh-CN"/>
        </w:rPr>
        <w:t>、政策适用性说明格式</w:t>
      </w:r>
      <w:bookmarkEnd w:id="228"/>
      <w:r>
        <w:rPr>
          <w:rFonts w:hint="eastAsia" w:ascii="宋体" w:hAnsi="宋体" w:cs="宋体"/>
          <w:b/>
          <w:bCs/>
          <w:sz w:val="32"/>
          <w:szCs w:val="32"/>
          <w:lang w:val="zh-CN"/>
        </w:rPr>
        <w:t>（</w:t>
      </w:r>
      <w:r>
        <w:rPr>
          <w:rFonts w:hint="eastAsia" w:ascii="宋体" w:hAnsi="宋体" w:cs="宋体"/>
          <w:b/>
          <w:bCs/>
          <w:sz w:val="32"/>
          <w:szCs w:val="32"/>
        </w:rPr>
        <w:t>如有</w:t>
      </w:r>
      <w:r>
        <w:rPr>
          <w:rFonts w:hint="eastAsia" w:ascii="宋体" w:hAnsi="宋体" w:cs="宋体"/>
          <w:b/>
          <w:bCs/>
          <w:sz w:val="32"/>
          <w:szCs w:val="32"/>
          <w:lang w:val="zh-CN"/>
        </w:rPr>
        <w:t>）</w:t>
      </w:r>
    </w:p>
    <w:p>
      <w:pPr>
        <w:autoSpaceDE w:val="0"/>
        <w:autoSpaceDN w:val="0"/>
        <w:adjustRightInd w:val="0"/>
        <w:snapToGrid w:val="0"/>
        <w:spacing w:line="360" w:lineRule="auto"/>
        <w:jc w:val="center"/>
        <w:rPr>
          <w:rFonts w:hint="eastAsia" w:ascii="宋体" w:hAnsi="宋体" w:cs="宋体"/>
          <w:b/>
          <w:bCs/>
          <w:sz w:val="28"/>
          <w:szCs w:val="28"/>
        </w:rPr>
      </w:pPr>
      <w:r>
        <w:rPr>
          <w:rFonts w:hint="eastAsia" w:ascii="宋体" w:hAnsi="宋体" w:cs="宋体"/>
          <w:b/>
          <w:bCs/>
          <w:sz w:val="28"/>
          <w:szCs w:val="28"/>
        </w:rPr>
        <w:t>政策适用性说明</w:t>
      </w:r>
    </w:p>
    <w:p>
      <w:pPr>
        <w:autoSpaceDE w:val="0"/>
        <w:autoSpaceDN w:val="0"/>
        <w:adjustRightInd w:val="0"/>
        <w:snapToGrid w:val="0"/>
        <w:spacing w:line="360" w:lineRule="auto"/>
        <w:ind w:firstLine="480" w:firstLineChars="200"/>
        <w:jc w:val="left"/>
        <w:rPr>
          <w:rFonts w:hint="eastAsia" w:ascii="宋体" w:hAnsi="宋体" w:cs="宋体"/>
          <w:szCs w:val="21"/>
        </w:rPr>
      </w:pPr>
      <w:r>
        <w:rPr>
          <w:rFonts w:hint="eastAsia" w:ascii="宋体" w:hAnsi="宋体" w:cs="宋体"/>
          <w:szCs w:val="21"/>
        </w:rPr>
        <w:t>按照政府采购的有关政策要求，在本项目的技术方案中，我单位采用了符合政策的节能产品、环保标志产品，主要产品与核心技术介绍说明如下：</w:t>
      </w:r>
    </w:p>
    <w:tbl>
      <w:tblPr>
        <w:tblStyle w:val="79"/>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68"/>
        <w:gridCol w:w="2095"/>
        <w:gridCol w:w="166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761" w:type="dxa"/>
            <w:vAlign w:val="center"/>
          </w:tcPr>
          <w:p>
            <w:pPr>
              <w:tabs>
                <w:tab w:val="left" w:pos="1260"/>
              </w:tabs>
              <w:jc w:val="center"/>
              <w:rPr>
                <w:rFonts w:hint="eastAsia" w:ascii="宋体" w:hAnsi="宋体" w:cs="宋体"/>
                <w:b/>
                <w:sz w:val="22"/>
                <w:lang w:val="en-GB"/>
              </w:rPr>
            </w:pPr>
            <w:r>
              <w:rPr>
                <w:rFonts w:hint="eastAsia" w:ascii="宋体" w:hAnsi="宋体" w:cs="宋体"/>
                <w:b/>
                <w:sz w:val="22"/>
                <w:lang w:val="en-GB"/>
              </w:rPr>
              <w:t>类别</w:t>
            </w:r>
          </w:p>
        </w:tc>
        <w:tc>
          <w:tcPr>
            <w:tcW w:w="2668" w:type="dxa"/>
            <w:vAlign w:val="center"/>
          </w:tcPr>
          <w:p>
            <w:pPr>
              <w:tabs>
                <w:tab w:val="left" w:pos="1260"/>
              </w:tabs>
              <w:jc w:val="center"/>
              <w:rPr>
                <w:rFonts w:hint="eastAsia" w:ascii="宋体" w:hAnsi="宋体" w:cs="宋体"/>
                <w:b/>
                <w:sz w:val="22"/>
                <w:lang w:val="en-GB"/>
              </w:rPr>
            </w:pPr>
            <w:r>
              <w:rPr>
                <w:rFonts w:hint="eastAsia" w:ascii="宋体" w:hAnsi="宋体" w:cs="宋体"/>
                <w:b/>
                <w:sz w:val="22"/>
                <w:lang w:val="en-GB"/>
              </w:rPr>
              <w:t>主要产品/技术名称</w:t>
            </w:r>
          </w:p>
          <w:p>
            <w:pPr>
              <w:tabs>
                <w:tab w:val="left" w:pos="1260"/>
              </w:tabs>
              <w:jc w:val="center"/>
              <w:rPr>
                <w:rFonts w:hint="eastAsia" w:ascii="宋体" w:hAnsi="宋体" w:cs="宋体"/>
                <w:b/>
                <w:sz w:val="22"/>
                <w:lang w:val="en-GB"/>
              </w:rPr>
            </w:pPr>
            <w:r>
              <w:rPr>
                <w:rFonts w:hint="eastAsia" w:ascii="宋体" w:hAnsi="宋体" w:cs="宋体"/>
                <w:b/>
                <w:sz w:val="22"/>
                <w:lang w:val="en-GB"/>
              </w:rPr>
              <w:t>（规格型号、注册商标）</w:t>
            </w:r>
          </w:p>
        </w:tc>
        <w:tc>
          <w:tcPr>
            <w:tcW w:w="2095" w:type="dxa"/>
            <w:vAlign w:val="center"/>
          </w:tcPr>
          <w:p>
            <w:pPr>
              <w:tabs>
                <w:tab w:val="left" w:pos="1260"/>
              </w:tabs>
              <w:jc w:val="center"/>
              <w:rPr>
                <w:rFonts w:hint="eastAsia" w:ascii="宋体" w:hAnsi="宋体" w:cs="宋体"/>
                <w:b/>
                <w:sz w:val="22"/>
                <w:lang w:val="en-GB"/>
              </w:rPr>
            </w:pPr>
            <w:r>
              <w:rPr>
                <w:rFonts w:hint="eastAsia" w:ascii="宋体" w:hAnsi="宋体" w:cs="宋体"/>
                <w:b/>
                <w:sz w:val="22"/>
                <w:lang w:val="en-GB"/>
              </w:rPr>
              <w:t>制造商/开发商</w:t>
            </w:r>
          </w:p>
        </w:tc>
        <w:tc>
          <w:tcPr>
            <w:tcW w:w="1663" w:type="dxa"/>
            <w:vAlign w:val="center"/>
          </w:tcPr>
          <w:p>
            <w:pPr>
              <w:tabs>
                <w:tab w:val="left" w:pos="1260"/>
              </w:tabs>
              <w:jc w:val="center"/>
              <w:rPr>
                <w:rFonts w:hint="eastAsia" w:ascii="宋体" w:hAnsi="宋体" w:cs="宋体"/>
                <w:b/>
                <w:sz w:val="22"/>
                <w:lang w:val="en-GB"/>
              </w:rPr>
            </w:pPr>
            <w:r>
              <w:rPr>
                <w:rFonts w:hint="eastAsia" w:ascii="宋体" w:hAnsi="宋体" w:cs="宋体"/>
                <w:b/>
                <w:sz w:val="22"/>
                <w:lang w:val="en-GB"/>
              </w:rPr>
              <w:t>认证证书编号</w:t>
            </w:r>
          </w:p>
        </w:tc>
        <w:tc>
          <w:tcPr>
            <w:tcW w:w="1651" w:type="dxa"/>
            <w:vAlign w:val="center"/>
          </w:tcPr>
          <w:p>
            <w:pPr>
              <w:tabs>
                <w:tab w:val="left" w:pos="1260"/>
              </w:tabs>
              <w:jc w:val="center"/>
              <w:rPr>
                <w:rFonts w:hint="eastAsia" w:ascii="宋体" w:hAnsi="宋体" w:cs="宋体"/>
                <w:b/>
                <w:sz w:val="22"/>
                <w:lang w:val="en-GB"/>
              </w:rPr>
            </w:pPr>
            <w:r>
              <w:rPr>
                <w:rFonts w:hint="eastAsia" w:ascii="宋体" w:hAnsi="宋体" w:cs="宋体"/>
                <w:b/>
                <w:sz w:val="22"/>
                <w:lang w:val="en-GB"/>
              </w:rPr>
              <w:t>该产品报价占总报价比重</w:t>
            </w:r>
          </w:p>
          <w:p>
            <w:pPr>
              <w:tabs>
                <w:tab w:val="left" w:pos="1260"/>
              </w:tabs>
              <w:jc w:val="center"/>
              <w:rPr>
                <w:rFonts w:hint="eastAsia" w:ascii="宋体" w:hAnsi="宋体" w:cs="宋体"/>
                <w:b/>
                <w:sz w:val="22"/>
                <w:lang w:val="en-GB"/>
              </w:rPr>
            </w:pPr>
            <w:r>
              <w:rPr>
                <w:rFonts w:hint="eastAsia" w:ascii="宋体" w:hAnsi="宋体" w:cs="宋体"/>
                <w:b/>
                <w:sz w:val="22"/>
                <w:lang w:val="en-GB"/>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cs="宋体"/>
                <w:sz w:val="22"/>
                <w:lang w:val="en-GB"/>
              </w:rPr>
            </w:pPr>
            <w:r>
              <w:rPr>
                <w:rFonts w:hint="eastAsia" w:ascii="宋体" w:hAnsi="宋体" w:cs="宋体"/>
                <w:sz w:val="22"/>
                <w:lang w:val="en-GB"/>
              </w:rPr>
              <w:t>节能</w:t>
            </w:r>
          </w:p>
          <w:p>
            <w:pPr>
              <w:tabs>
                <w:tab w:val="left" w:pos="1260"/>
              </w:tabs>
              <w:jc w:val="center"/>
              <w:rPr>
                <w:rFonts w:hint="eastAsia" w:ascii="宋体" w:hAnsi="宋体" w:cs="宋体"/>
                <w:sz w:val="22"/>
                <w:lang w:val="en-GB"/>
              </w:rPr>
            </w:pPr>
            <w:r>
              <w:rPr>
                <w:rFonts w:hint="eastAsia" w:ascii="宋体" w:hAnsi="宋体" w:cs="宋体"/>
                <w:sz w:val="22"/>
                <w:lang w:val="en-GB"/>
              </w:rPr>
              <w:t>产品</w:t>
            </w:r>
          </w:p>
        </w:tc>
        <w:tc>
          <w:tcPr>
            <w:tcW w:w="2668" w:type="dxa"/>
            <w:vAlign w:val="center"/>
          </w:tcPr>
          <w:p>
            <w:pPr>
              <w:tabs>
                <w:tab w:val="left" w:pos="1260"/>
              </w:tabs>
              <w:jc w:val="center"/>
              <w:rPr>
                <w:rFonts w:hint="eastAsia" w:ascii="宋体" w:hAnsi="宋体" w:cs="宋体"/>
                <w:sz w:val="22"/>
                <w:lang w:val="en-GB"/>
              </w:rPr>
            </w:pPr>
          </w:p>
        </w:tc>
        <w:tc>
          <w:tcPr>
            <w:tcW w:w="2095" w:type="dxa"/>
            <w:vAlign w:val="center"/>
          </w:tcPr>
          <w:p>
            <w:pPr>
              <w:tabs>
                <w:tab w:val="left" w:pos="1260"/>
              </w:tabs>
              <w:jc w:val="center"/>
              <w:rPr>
                <w:rFonts w:hint="eastAsia" w:ascii="宋体" w:hAnsi="宋体" w:cs="宋体"/>
                <w:sz w:val="22"/>
                <w:lang w:val="en-GB"/>
              </w:rPr>
            </w:pPr>
          </w:p>
        </w:tc>
        <w:tc>
          <w:tcPr>
            <w:tcW w:w="1663" w:type="dxa"/>
            <w:vAlign w:val="center"/>
          </w:tcPr>
          <w:p>
            <w:pPr>
              <w:tabs>
                <w:tab w:val="left" w:pos="1260"/>
              </w:tabs>
              <w:jc w:val="center"/>
              <w:rPr>
                <w:rFonts w:hint="eastAsia" w:ascii="宋体" w:hAnsi="宋体" w:cs="宋体"/>
                <w:sz w:val="22"/>
                <w:lang w:val="en-GB"/>
              </w:rPr>
            </w:pPr>
          </w:p>
        </w:tc>
        <w:tc>
          <w:tcPr>
            <w:tcW w:w="1651" w:type="dxa"/>
            <w:vAlign w:val="center"/>
          </w:tcPr>
          <w:p>
            <w:pPr>
              <w:tabs>
                <w:tab w:val="left" w:pos="1260"/>
              </w:tabs>
              <w:jc w:val="center"/>
              <w:rPr>
                <w:rFonts w:hint="eastAsia" w:ascii="宋体" w:hAnsi="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cs="宋体"/>
                <w:sz w:val="22"/>
                <w:lang w:val="en-GB"/>
              </w:rPr>
            </w:pPr>
          </w:p>
        </w:tc>
        <w:tc>
          <w:tcPr>
            <w:tcW w:w="2668" w:type="dxa"/>
            <w:vAlign w:val="center"/>
          </w:tcPr>
          <w:p>
            <w:pPr>
              <w:tabs>
                <w:tab w:val="left" w:pos="1260"/>
              </w:tabs>
              <w:jc w:val="center"/>
              <w:rPr>
                <w:rFonts w:hint="eastAsia" w:ascii="宋体" w:hAnsi="宋体" w:cs="宋体"/>
                <w:sz w:val="22"/>
                <w:lang w:val="en-GB"/>
              </w:rPr>
            </w:pPr>
          </w:p>
        </w:tc>
        <w:tc>
          <w:tcPr>
            <w:tcW w:w="2095" w:type="dxa"/>
            <w:vAlign w:val="center"/>
          </w:tcPr>
          <w:p>
            <w:pPr>
              <w:tabs>
                <w:tab w:val="left" w:pos="1260"/>
              </w:tabs>
              <w:jc w:val="center"/>
              <w:rPr>
                <w:rFonts w:hint="eastAsia" w:ascii="宋体" w:hAnsi="宋体" w:cs="宋体"/>
                <w:sz w:val="22"/>
                <w:lang w:val="en-GB"/>
              </w:rPr>
            </w:pPr>
          </w:p>
        </w:tc>
        <w:tc>
          <w:tcPr>
            <w:tcW w:w="1663" w:type="dxa"/>
            <w:vAlign w:val="center"/>
          </w:tcPr>
          <w:p>
            <w:pPr>
              <w:tabs>
                <w:tab w:val="left" w:pos="1260"/>
              </w:tabs>
              <w:jc w:val="center"/>
              <w:rPr>
                <w:rFonts w:hint="eastAsia" w:ascii="宋体" w:hAnsi="宋体" w:cs="宋体"/>
                <w:sz w:val="22"/>
                <w:lang w:val="en-GB"/>
              </w:rPr>
            </w:pPr>
          </w:p>
        </w:tc>
        <w:tc>
          <w:tcPr>
            <w:tcW w:w="1651" w:type="dxa"/>
            <w:vAlign w:val="center"/>
          </w:tcPr>
          <w:p>
            <w:pPr>
              <w:tabs>
                <w:tab w:val="left" w:pos="1260"/>
              </w:tabs>
              <w:jc w:val="center"/>
              <w:rPr>
                <w:rFonts w:hint="eastAsia" w:ascii="宋体" w:hAnsi="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cs="宋体"/>
                <w:sz w:val="22"/>
                <w:lang w:val="en-GB"/>
              </w:rPr>
            </w:pPr>
          </w:p>
        </w:tc>
        <w:tc>
          <w:tcPr>
            <w:tcW w:w="2668" w:type="dxa"/>
            <w:vAlign w:val="center"/>
          </w:tcPr>
          <w:p>
            <w:pPr>
              <w:tabs>
                <w:tab w:val="left" w:pos="1260"/>
              </w:tabs>
              <w:jc w:val="center"/>
              <w:rPr>
                <w:rFonts w:hint="eastAsia" w:ascii="宋体" w:hAnsi="宋体" w:cs="宋体"/>
                <w:sz w:val="22"/>
                <w:lang w:val="en-GB"/>
              </w:rPr>
            </w:pPr>
          </w:p>
        </w:tc>
        <w:tc>
          <w:tcPr>
            <w:tcW w:w="2095" w:type="dxa"/>
            <w:vAlign w:val="center"/>
          </w:tcPr>
          <w:p>
            <w:pPr>
              <w:tabs>
                <w:tab w:val="left" w:pos="1260"/>
              </w:tabs>
              <w:jc w:val="center"/>
              <w:rPr>
                <w:rFonts w:hint="eastAsia" w:ascii="宋体" w:hAnsi="宋体" w:cs="宋体"/>
                <w:sz w:val="22"/>
                <w:lang w:val="en-GB"/>
              </w:rPr>
            </w:pPr>
          </w:p>
        </w:tc>
        <w:tc>
          <w:tcPr>
            <w:tcW w:w="1663" w:type="dxa"/>
            <w:vAlign w:val="center"/>
          </w:tcPr>
          <w:p>
            <w:pPr>
              <w:tabs>
                <w:tab w:val="left" w:pos="1260"/>
              </w:tabs>
              <w:jc w:val="center"/>
              <w:rPr>
                <w:rFonts w:hint="eastAsia" w:ascii="宋体" w:hAnsi="宋体" w:cs="宋体"/>
                <w:sz w:val="22"/>
                <w:lang w:val="en-GB"/>
              </w:rPr>
            </w:pPr>
          </w:p>
        </w:tc>
        <w:tc>
          <w:tcPr>
            <w:tcW w:w="1651" w:type="dxa"/>
            <w:vAlign w:val="center"/>
          </w:tcPr>
          <w:p>
            <w:pPr>
              <w:tabs>
                <w:tab w:val="left" w:pos="1260"/>
              </w:tabs>
              <w:jc w:val="center"/>
              <w:rPr>
                <w:rFonts w:hint="eastAsia" w:ascii="宋体" w:hAnsi="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61" w:type="dxa"/>
            <w:vMerge w:val="restart"/>
            <w:vAlign w:val="center"/>
          </w:tcPr>
          <w:p>
            <w:pPr>
              <w:tabs>
                <w:tab w:val="left" w:pos="1260"/>
              </w:tabs>
              <w:jc w:val="center"/>
              <w:rPr>
                <w:rFonts w:hint="eastAsia" w:ascii="宋体" w:hAnsi="宋体" w:cs="宋体"/>
                <w:sz w:val="22"/>
                <w:lang w:val="en-GB"/>
              </w:rPr>
            </w:pPr>
            <w:r>
              <w:rPr>
                <w:rFonts w:hint="eastAsia" w:ascii="宋体" w:hAnsi="宋体" w:cs="宋体"/>
                <w:sz w:val="22"/>
                <w:lang w:val="en-GB"/>
              </w:rPr>
              <w:t>环保</w:t>
            </w:r>
          </w:p>
          <w:p>
            <w:pPr>
              <w:tabs>
                <w:tab w:val="left" w:pos="1260"/>
              </w:tabs>
              <w:jc w:val="center"/>
              <w:rPr>
                <w:rFonts w:hint="eastAsia" w:ascii="宋体" w:hAnsi="宋体" w:cs="宋体"/>
                <w:sz w:val="22"/>
                <w:lang w:val="en-GB"/>
              </w:rPr>
            </w:pPr>
            <w:r>
              <w:rPr>
                <w:rFonts w:hint="eastAsia" w:ascii="宋体" w:hAnsi="宋体" w:cs="宋体"/>
                <w:sz w:val="22"/>
                <w:lang w:val="en-GB"/>
              </w:rPr>
              <w:t>标志</w:t>
            </w:r>
          </w:p>
          <w:p>
            <w:pPr>
              <w:tabs>
                <w:tab w:val="left" w:pos="1260"/>
              </w:tabs>
              <w:jc w:val="center"/>
              <w:rPr>
                <w:rFonts w:hint="eastAsia" w:ascii="宋体" w:hAnsi="宋体" w:cs="宋体"/>
                <w:sz w:val="22"/>
                <w:lang w:val="en-GB"/>
              </w:rPr>
            </w:pPr>
            <w:r>
              <w:rPr>
                <w:rFonts w:hint="eastAsia" w:ascii="宋体" w:hAnsi="宋体" w:cs="宋体"/>
                <w:sz w:val="22"/>
                <w:lang w:val="en-GB"/>
              </w:rPr>
              <w:t>产品</w:t>
            </w:r>
          </w:p>
        </w:tc>
        <w:tc>
          <w:tcPr>
            <w:tcW w:w="2668" w:type="dxa"/>
            <w:vAlign w:val="center"/>
          </w:tcPr>
          <w:p>
            <w:pPr>
              <w:tabs>
                <w:tab w:val="left" w:pos="1260"/>
              </w:tabs>
              <w:jc w:val="center"/>
              <w:rPr>
                <w:rFonts w:hint="eastAsia" w:ascii="宋体" w:hAnsi="宋体" w:cs="宋体"/>
                <w:sz w:val="22"/>
                <w:lang w:val="en-GB"/>
              </w:rPr>
            </w:pPr>
          </w:p>
        </w:tc>
        <w:tc>
          <w:tcPr>
            <w:tcW w:w="2095" w:type="dxa"/>
            <w:vAlign w:val="center"/>
          </w:tcPr>
          <w:p>
            <w:pPr>
              <w:tabs>
                <w:tab w:val="left" w:pos="1260"/>
              </w:tabs>
              <w:jc w:val="center"/>
              <w:rPr>
                <w:rFonts w:hint="eastAsia" w:ascii="宋体" w:hAnsi="宋体" w:cs="宋体"/>
                <w:sz w:val="22"/>
                <w:lang w:val="en-GB"/>
              </w:rPr>
            </w:pPr>
          </w:p>
        </w:tc>
        <w:tc>
          <w:tcPr>
            <w:tcW w:w="1663" w:type="dxa"/>
            <w:vAlign w:val="center"/>
          </w:tcPr>
          <w:p>
            <w:pPr>
              <w:tabs>
                <w:tab w:val="left" w:pos="1260"/>
              </w:tabs>
              <w:jc w:val="center"/>
              <w:rPr>
                <w:rFonts w:hint="eastAsia" w:ascii="宋体" w:hAnsi="宋体" w:cs="宋体"/>
                <w:sz w:val="22"/>
                <w:lang w:val="en-GB"/>
              </w:rPr>
            </w:pPr>
          </w:p>
        </w:tc>
        <w:tc>
          <w:tcPr>
            <w:tcW w:w="1651" w:type="dxa"/>
            <w:vAlign w:val="center"/>
          </w:tcPr>
          <w:p>
            <w:pPr>
              <w:tabs>
                <w:tab w:val="left" w:pos="1260"/>
              </w:tabs>
              <w:jc w:val="center"/>
              <w:rPr>
                <w:rFonts w:hint="eastAsia" w:ascii="宋体" w:hAnsi="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cs="宋体"/>
                <w:sz w:val="22"/>
                <w:lang w:val="en-GB"/>
              </w:rPr>
            </w:pPr>
          </w:p>
        </w:tc>
        <w:tc>
          <w:tcPr>
            <w:tcW w:w="2668" w:type="dxa"/>
            <w:vAlign w:val="center"/>
          </w:tcPr>
          <w:p>
            <w:pPr>
              <w:tabs>
                <w:tab w:val="left" w:pos="1260"/>
              </w:tabs>
              <w:jc w:val="center"/>
              <w:rPr>
                <w:rFonts w:hint="eastAsia" w:ascii="宋体" w:hAnsi="宋体" w:cs="宋体"/>
                <w:sz w:val="22"/>
                <w:lang w:val="en-GB"/>
              </w:rPr>
            </w:pPr>
          </w:p>
        </w:tc>
        <w:tc>
          <w:tcPr>
            <w:tcW w:w="2095" w:type="dxa"/>
            <w:vAlign w:val="center"/>
          </w:tcPr>
          <w:p>
            <w:pPr>
              <w:tabs>
                <w:tab w:val="left" w:pos="1260"/>
              </w:tabs>
              <w:jc w:val="center"/>
              <w:rPr>
                <w:rFonts w:hint="eastAsia" w:ascii="宋体" w:hAnsi="宋体" w:cs="宋体"/>
                <w:sz w:val="22"/>
                <w:lang w:val="en-GB"/>
              </w:rPr>
            </w:pPr>
          </w:p>
        </w:tc>
        <w:tc>
          <w:tcPr>
            <w:tcW w:w="1663" w:type="dxa"/>
            <w:vAlign w:val="center"/>
          </w:tcPr>
          <w:p>
            <w:pPr>
              <w:tabs>
                <w:tab w:val="left" w:pos="1260"/>
              </w:tabs>
              <w:jc w:val="center"/>
              <w:rPr>
                <w:rFonts w:hint="eastAsia" w:ascii="宋体" w:hAnsi="宋体" w:cs="宋体"/>
                <w:sz w:val="22"/>
                <w:lang w:val="en-GB"/>
              </w:rPr>
            </w:pPr>
          </w:p>
        </w:tc>
        <w:tc>
          <w:tcPr>
            <w:tcW w:w="1651" w:type="dxa"/>
            <w:vAlign w:val="center"/>
          </w:tcPr>
          <w:p>
            <w:pPr>
              <w:tabs>
                <w:tab w:val="left" w:pos="1260"/>
              </w:tabs>
              <w:jc w:val="center"/>
              <w:rPr>
                <w:rFonts w:hint="eastAsia" w:ascii="宋体" w:hAnsi="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61" w:type="dxa"/>
            <w:vMerge w:val="continue"/>
            <w:vAlign w:val="center"/>
          </w:tcPr>
          <w:p>
            <w:pPr>
              <w:tabs>
                <w:tab w:val="left" w:pos="1260"/>
              </w:tabs>
              <w:jc w:val="center"/>
              <w:rPr>
                <w:rFonts w:hint="eastAsia" w:ascii="宋体" w:hAnsi="宋体" w:cs="宋体"/>
                <w:sz w:val="22"/>
                <w:lang w:val="en-GB"/>
              </w:rPr>
            </w:pPr>
          </w:p>
        </w:tc>
        <w:tc>
          <w:tcPr>
            <w:tcW w:w="2668" w:type="dxa"/>
            <w:vAlign w:val="center"/>
          </w:tcPr>
          <w:p>
            <w:pPr>
              <w:tabs>
                <w:tab w:val="left" w:pos="1260"/>
              </w:tabs>
              <w:jc w:val="center"/>
              <w:rPr>
                <w:rFonts w:hint="eastAsia" w:ascii="宋体" w:hAnsi="宋体" w:cs="宋体"/>
                <w:sz w:val="22"/>
                <w:lang w:val="en-GB"/>
              </w:rPr>
            </w:pPr>
          </w:p>
        </w:tc>
        <w:tc>
          <w:tcPr>
            <w:tcW w:w="2095" w:type="dxa"/>
            <w:vAlign w:val="center"/>
          </w:tcPr>
          <w:p>
            <w:pPr>
              <w:tabs>
                <w:tab w:val="left" w:pos="1260"/>
              </w:tabs>
              <w:jc w:val="center"/>
              <w:rPr>
                <w:rFonts w:hint="eastAsia" w:ascii="宋体" w:hAnsi="宋体" w:cs="宋体"/>
                <w:sz w:val="22"/>
                <w:lang w:val="en-GB"/>
              </w:rPr>
            </w:pPr>
          </w:p>
        </w:tc>
        <w:tc>
          <w:tcPr>
            <w:tcW w:w="1663" w:type="dxa"/>
            <w:vAlign w:val="center"/>
          </w:tcPr>
          <w:p>
            <w:pPr>
              <w:tabs>
                <w:tab w:val="left" w:pos="1260"/>
              </w:tabs>
              <w:jc w:val="center"/>
              <w:rPr>
                <w:rFonts w:hint="eastAsia" w:ascii="宋体" w:hAnsi="宋体" w:cs="宋体"/>
                <w:sz w:val="22"/>
                <w:lang w:val="en-GB"/>
              </w:rPr>
            </w:pPr>
          </w:p>
        </w:tc>
        <w:tc>
          <w:tcPr>
            <w:tcW w:w="1651" w:type="dxa"/>
            <w:vAlign w:val="center"/>
          </w:tcPr>
          <w:p>
            <w:pPr>
              <w:tabs>
                <w:tab w:val="left" w:pos="1260"/>
              </w:tabs>
              <w:jc w:val="center"/>
              <w:rPr>
                <w:rFonts w:hint="eastAsia" w:ascii="宋体" w:hAnsi="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61" w:type="dxa"/>
            <w:vAlign w:val="center"/>
          </w:tcPr>
          <w:p>
            <w:pPr>
              <w:tabs>
                <w:tab w:val="left" w:pos="1260"/>
              </w:tabs>
              <w:jc w:val="center"/>
              <w:rPr>
                <w:rFonts w:hint="eastAsia" w:ascii="宋体" w:hAnsi="宋体" w:cs="宋体"/>
                <w:sz w:val="22"/>
                <w:lang w:val="en-GB"/>
              </w:rPr>
            </w:pPr>
            <w:r>
              <w:rPr>
                <w:rFonts w:hint="eastAsia" w:ascii="宋体" w:hAnsi="宋体" w:cs="宋体"/>
                <w:sz w:val="22"/>
                <w:lang w:val="en-GB"/>
              </w:rPr>
              <w:t>说明</w:t>
            </w:r>
          </w:p>
        </w:tc>
        <w:tc>
          <w:tcPr>
            <w:tcW w:w="8077" w:type="dxa"/>
            <w:gridSpan w:val="4"/>
            <w:vAlign w:val="center"/>
          </w:tcPr>
          <w:p>
            <w:pPr>
              <w:tabs>
                <w:tab w:val="left" w:pos="1260"/>
              </w:tabs>
              <w:rPr>
                <w:rFonts w:hint="eastAsia" w:ascii="宋体" w:hAnsi="宋体" w:cs="宋体"/>
                <w:sz w:val="22"/>
                <w:lang w:val="en-GB"/>
              </w:rPr>
            </w:pPr>
          </w:p>
        </w:tc>
      </w:tr>
    </w:tbl>
    <w:p>
      <w:pPr>
        <w:autoSpaceDE w:val="0"/>
        <w:autoSpaceDN w:val="0"/>
        <w:adjustRightInd w:val="0"/>
        <w:snapToGrid w:val="0"/>
        <w:spacing w:line="360" w:lineRule="auto"/>
        <w:ind w:firstLine="480" w:firstLineChars="200"/>
        <w:jc w:val="left"/>
        <w:rPr>
          <w:rFonts w:hint="eastAsia" w:ascii="宋体" w:hAnsi="宋体" w:cs="宋体"/>
          <w:szCs w:val="21"/>
        </w:rPr>
      </w:pPr>
      <w:r>
        <w:rPr>
          <w:rFonts w:hint="eastAsia" w:ascii="宋体" w:hAnsi="宋体" w:cs="宋体"/>
          <w:szCs w:val="21"/>
        </w:rPr>
        <w:t>注：1. “节能产品、环保标志产品”是属于国家行业主管部门颁布的清单目录中的产品，须填写认证证书编号，并同时提供有效期内的证书复印件附后，同时提供下述文件（均为复印件，加盖报价投标人公章）：</w:t>
      </w:r>
    </w:p>
    <w:p>
      <w:pPr>
        <w:autoSpaceDE w:val="0"/>
        <w:autoSpaceDN w:val="0"/>
        <w:adjustRightInd w:val="0"/>
        <w:snapToGrid w:val="0"/>
        <w:spacing w:line="360" w:lineRule="auto"/>
        <w:ind w:firstLine="480" w:firstLineChars="200"/>
        <w:jc w:val="left"/>
        <w:rPr>
          <w:rFonts w:hint="eastAsia" w:ascii="宋体" w:hAnsi="宋体" w:cs="宋体"/>
          <w:szCs w:val="21"/>
        </w:rPr>
      </w:pPr>
      <w:r>
        <w:rPr>
          <w:rFonts w:hint="eastAsia" w:ascii="宋体" w:hAnsi="宋体" w:cs="宋体"/>
          <w:szCs w:val="21"/>
        </w:rPr>
        <w:t>（1）属于“节能产品政府采购清单”中品目的产品，提供“节能产品政府采购清单（第___期）”中投标产品所在清单页并加盖报价投标人公章，节能清单在中国政府采购网（http：//www.ccgp.gov .cn/）、国家发展改革委网站（</w:t>
      </w:r>
      <w:r>
        <w:rPr>
          <w:rFonts w:hint="eastAsia" w:ascii="宋体" w:hAnsi="宋体" w:cs="宋体"/>
          <w:szCs w:val="21"/>
        </w:rPr>
        <w:fldChar w:fldCharType="begin"/>
      </w:r>
      <w:r>
        <w:rPr>
          <w:rFonts w:hint="eastAsia" w:ascii="宋体" w:hAnsi="宋体" w:cs="宋体"/>
          <w:szCs w:val="21"/>
        </w:rPr>
        <w:instrText xml:space="preserve"> HYPERLINK "http://hzs.nd" </w:instrText>
      </w:r>
      <w:r>
        <w:rPr>
          <w:rFonts w:hint="eastAsia" w:ascii="宋体" w:hAnsi="宋体" w:cs="宋体"/>
          <w:szCs w:val="21"/>
        </w:rPr>
        <w:fldChar w:fldCharType="separate"/>
      </w:r>
      <w:r>
        <w:rPr>
          <w:rFonts w:hint="eastAsia" w:ascii="宋体" w:hAnsi="宋体" w:cs="宋体"/>
          <w:szCs w:val="21"/>
        </w:rPr>
        <w:t>http://hzs.nd</w:t>
      </w:r>
      <w:r>
        <w:rPr>
          <w:rFonts w:hint="eastAsia" w:ascii="宋体" w:hAnsi="宋体" w:cs="宋体"/>
          <w:szCs w:val="21"/>
        </w:rPr>
        <w:fldChar w:fldCharType="end"/>
      </w:r>
      <w:r>
        <w:rPr>
          <w:rFonts w:hint="eastAsia" w:ascii="宋体" w:hAnsi="宋体" w:cs="宋体"/>
          <w:szCs w:val="21"/>
        </w:rPr>
        <w:t xml:space="preserve"> rc.gv.cn/）和中国质量认证中心网站（http://www.cqc.com.cn/）上发布；</w:t>
      </w:r>
    </w:p>
    <w:p>
      <w:pPr>
        <w:autoSpaceDE w:val="0"/>
        <w:autoSpaceDN w:val="0"/>
        <w:adjustRightInd w:val="0"/>
        <w:snapToGrid w:val="0"/>
        <w:spacing w:line="360" w:lineRule="auto"/>
        <w:ind w:firstLine="480" w:firstLineChars="200"/>
        <w:jc w:val="left"/>
        <w:rPr>
          <w:rFonts w:hint="eastAsia" w:ascii="宋体" w:hAnsi="宋体" w:cs="宋体"/>
          <w:szCs w:val="21"/>
        </w:rPr>
      </w:pPr>
      <w:r>
        <w:rPr>
          <w:rFonts w:hint="eastAsia" w:ascii="宋体" w:hAnsi="宋体" w:cs="宋体"/>
          <w:szCs w:val="21"/>
        </w:rPr>
        <w:t>（2）属于“环境标志产品政府采购清单”中品目的产品，提供最新“环境标志产品政府采购清单”中投标产品所在清单页并加盖报价投标人公章，清单在中国政府采购网（http://www.ccgp.gov.cn/）、国家环境保护总局网（http://www.sepa.gov.cn/）、中国绿色采购网（http://www.cgpn. cn/）上发布。</w:t>
      </w:r>
    </w:p>
    <w:p>
      <w:pPr>
        <w:autoSpaceDE w:val="0"/>
        <w:autoSpaceDN w:val="0"/>
        <w:adjustRightInd w:val="0"/>
        <w:snapToGrid w:val="0"/>
        <w:spacing w:line="360" w:lineRule="auto"/>
        <w:ind w:firstLine="480" w:firstLineChars="200"/>
        <w:jc w:val="left"/>
        <w:rPr>
          <w:rFonts w:hint="eastAsia" w:ascii="宋体" w:hAnsi="宋体" w:cs="宋体"/>
        </w:rPr>
      </w:pPr>
      <w:r>
        <w:rPr>
          <w:rFonts w:hint="eastAsia" w:ascii="宋体" w:hAnsi="宋体" w:cs="宋体"/>
          <w:szCs w:val="21"/>
        </w:rPr>
        <w:t>2、报价中“该产品报价占总报价比重”视作不变。</w:t>
      </w:r>
    </w:p>
    <w:p>
      <w:pPr>
        <w:autoSpaceDE w:val="0"/>
        <w:autoSpaceDN w:val="0"/>
        <w:adjustRightInd w:val="0"/>
        <w:snapToGrid w:val="0"/>
        <w:spacing w:line="360" w:lineRule="auto"/>
        <w:ind w:firstLine="4680" w:firstLineChars="1950"/>
        <w:jc w:val="left"/>
        <w:rPr>
          <w:rFonts w:hint="eastAsia" w:ascii="宋体" w:hAnsi="宋体" w:cs="宋体"/>
          <w:szCs w:val="21"/>
        </w:rPr>
      </w:pPr>
      <w:r>
        <w:rPr>
          <w:rFonts w:hint="eastAsia" w:ascii="宋体" w:hAnsi="宋体" w:cs="宋体"/>
          <w:szCs w:val="21"/>
        </w:rPr>
        <w:t>投标人：（投标人公章）</w:t>
      </w:r>
    </w:p>
    <w:p>
      <w:pPr>
        <w:autoSpaceDE w:val="0"/>
        <w:autoSpaceDN w:val="0"/>
        <w:adjustRightInd w:val="0"/>
        <w:snapToGrid w:val="0"/>
        <w:spacing w:line="360" w:lineRule="auto"/>
        <w:ind w:firstLine="4680" w:firstLineChars="1950"/>
        <w:jc w:val="left"/>
        <w:rPr>
          <w:rFonts w:hint="eastAsia" w:ascii="宋体" w:hAnsi="宋体" w:cs="宋体"/>
          <w:szCs w:val="21"/>
        </w:rPr>
      </w:pPr>
      <w:r>
        <w:rPr>
          <w:rFonts w:hint="eastAsia" w:ascii="宋体" w:hAnsi="宋体" w:cs="宋体"/>
          <w:szCs w:val="21"/>
        </w:rPr>
        <w:t>法定代表人或其授权代表签名：</w:t>
      </w:r>
    </w:p>
    <w:p>
      <w:pPr>
        <w:autoSpaceDE w:val="0"/>
        <w:autoSpaceDN w:val="0"/>
        <w:adjustRightInd w:val="0"/>
        <w:snapToGrid w:val="0"/>
        <w:spacing w:line="360" w:lineRule="auto"/>
        <w:ind w:firstLine="4680" w:firstLineChars="1950"/>
        <w:jc w:val="left"/>
        <w:rPr>
          <w:rFonts w:hint="eastAsia" w:ascii="宋体" w:hAnsi="宋体" w:cs="宋体"/>
        </w:rPr>
      </w:pPr>
      <w:r>
        <w:rPr>
          <w:rFonts w:hint="eastAsia" w:ascii="宋体" w:hAnsi="宋体" w:cs="宋体"/>
          <w:szCs w:val="21"/>
        </w:rPr>
        <w:t>日期 ：     年    月    日</w:t>
      </w:r>
    </w:p>
    <w:p>
      <w:pPr>
        <w:spacing w:line="300" w:lineRule="auto"/>
        <w:jc w:val="center"/>
        <w:rPr>
          <w:rFonts w:hint="eastAsia" w:ascii="宋体" w:hAnsi="宋体" w:cs="宋体"/>
          <w:b/>
          <w:bCs/>
          <w:sz w:val="48"/>
          <w:szCs w:val="48"/>
          <w:lang w:val="zh-CN"/>
        </w:rPr>
      </w:pPr>
    </w:p>
    <w:p>
      <w:pPr>
        <w:spacing w:line="300" w:lineRule="auto"/>
        <w:jc w:val="center"/>
        <w:rPr>
          <w:rFonts w:hint="eastAsia" w:ascii="宋体" w:hAnsi="宋体" w:cs="宋体"/>
          <w:b/>
          <w:bCs/>
          <w:sz w:val="48"/>
          <w:szCs w:val="48"/>
          <w:lang w:val="zh-CN"/>
        </w:rPr>
      </w:pPr>
    </w:p>
    <w:p>
      <w:pPr>
        <w:spacing w:line="300" w:lineRule="auto"/>
        <w:jc w:val="center"/>
        <w:rPr>
          <w:rFonts w:hint="eastAsia" w:ascii="宋体" w:hAnsi="宋体" w:cs="宋体"/>
          <w:sz w:val="48"/>
          <w:szCs w:val="48"/>
        </w:rPr>
      </w:pPr>
      <w:r>
        <w:rPr>
          <w:rFonts w:hint="eastAsia" w:ascii="宋体" w:hAnsi="宋体" w:cs="宋体"/>
          <w:b/>
          <w:bCs/>
          <w:sz w:val="48"/>
          <w:szCs w:val="48"/>
          <w:lang w:val="zh-CN"/>
        </w:rPr>
        <w:t>商务部分</w:t>
      </w:r>
    </w:p>
    <w:p>
      <w:pPr>
        <w:keepNext/>
        <w:keepLines/>
        <w:numPr>
          <w:ilvl w:val="0"/>
          <w:numId w:val="21"/>
        </w:numPr>
        <w:spacing w:line="360" w:lineRule="auto"/>
        <w:rPr>
          <w:rFonts w:hint="eastAsia" w:ascii="宋体" w:hAnsi="宋体" w:cs="宋体"/>
          <w:b/>
          <w:bCs/>
          <w:sz w:val="32"/>
          <w:szCs w:val="32"/>
          <w:lang w:val="zh-CN"/>
        </w:rPr>
      </w:pPr>
      <w:r>
        <w:rPr>
          <w:rFonts w:hint="eastAsia" w:ascii="宋体" w:hAnsi="宋体" w:cs="宋体"/>
          <w:b/>
          <w:bCs/>
          <w:sz w:val="32"/>
          <w:szCs w:val="32"/>
          <w:lang w:val="zh-CN"/>
        </w:rPr>
        <w:t>投标函</w:t>
      </w:r>
    </w:p>
    <w:p>
      <w:pPr>
        <w:pStyle w:val="59"/>
        <w:rPr>
          <w:rFonts w:hint="eastAsia" w:hAnsi="宋体" w:cs="宋体"/>
          <w:lang w:val="zh-CN"/>
        </w:rPr>
      </w:pPr>
    </w:p>
    <w:p>
      <w:pPr>
        <w:spacing w:line="280" w:lineRule="exact"/>
        <w:jc w:val="center"/>
        <w:rPr>
          <w:rFonts w:hint="eastAsia" w:ascii="宋体" w:hAnsi="宋体" w:cs="宋体"/>
          <w:b/>
          <w:bCs/>
          <w:sz w:val="30"/>
          <w:szCs w:val="30"/>
          <w:lang w:val="zh-CN"/>
        </w:rPr>
      </w:pPr>
      <w:r>
        <w:rPr>
          <w:rFonts w:hint="eastAsia" w:ascii="宋体" w:hAnsi="宋体" w:cs="宋体"/>
          <w:b/>
          <w:bCs/>
          <w:sz w:val="30"/>
          <w:szCs w:val="30"/>
          <w:lang w:val="zh-CN"/>
        </w:rPr>
        <w:t>投 标 函</w:t>
      </w:r>
    </w:p>
    <w:p>
      <w:pPr>
        <w:spacing w:line="320" w:lineRule="exact"/>
        <w:rPr>
          <w:rFonts w:hint="eastAsia" w:ascii="宋体" w:hAnsi="宋体" w:cs="宋体"/>
          <w:szCs w:val="21"/>
        </w:rPr>
      </w:pPr>
      <w:r>
        <w:rPr>
          <w:rFonts w:hint="eastAsia" w:ascii="宋体" w:hAnsi="宋体" w:cs="宋体"/>
          <w:szCs w:val="21"/>
          <w:lang w:val="zh-CN"/>
        </w:rPr>
        <w:t>致：广州穗科建设管理有限公司汕头分公司</w:t>
      </w:r>
    </w:p>
    <w:p>
      <w:pPr>
        <w:spacing w:line="320" w:lineRule="exact"/>
        <w:ind w:firstLine="420"/>
        <w:rPr>
          <w:rFonts w:hint="eastAsia" w:ascii="宋体" w:hAnsi="宋体" w:cs="宋体"/>
          <w:szCs w:val="21"/>
          <w:lang w:val="zh-CN"/>
        </w:rPr>
      </w:pPr>
      <w:r>
        <w:rPr>
          <w:rFonts w:hint="eastAsia" w:ascii="宋体" w:hAnsi="宋体" w:cs="宋体"/>
          <w:szCs w:val="21"/>
          <w:lang w:val="zh-CN"/>
        </w:rPr>
        <w:t>根据贵方为 国家税务总局汕头市金平区税务局2025-2027年物业管理服务采购项目 （项目编号：</w:t>
      </w:r>
      <w:r>
        <w:rPr>
          <w:rFonts w:hint="eastAsia" w:ascii="宋体" w:hAnsi="宋体" w:cs="宋体"/>
          <w:szCs w:val="21"/>
          <w:u w:val="single"/>
        </w:rPr>
        <w:t xml:space="preserve">             </w:t>
      </w:r>
      <w:r>
        <w:rPr>
          <w:rFonts w:hint="eastAsia" w:ascii="宋体" w:hAnsi="宋体" w:cs="宋体"/>
          <w:szCs w:val="21"/>
          <w:lang w:val="zh-CN"/>
        </w:rPr>
        <w:t xml:space="preserve"> ）的投标邀请，我方</w:t>
      </w:r>
      <w:r>
        <w:rPr>
          <w:rFonts w:hint="eastAsia" w:ascii="宋体" w:hAnsi="宋体" w:cs="宋体"/>
          <w:szCs w:val="21"/>
          <w:u w:val="single"/>
          <w:lang w:val="zh-CN"/>
        </w:rPr>
        <w:t>（投标人名称）</w:t>
      </w:r>
      <w:r>
        <w:rPr>
          <w:rFonts w:hint="eastAsia" w:ascii="宋体" w:hAnsi="宋体" w:cs="宋体"/>
          <w:szCs w:val="21"/>
          <w:lang w:val="zh-CN"/>
        </w:rPr>
        <w:t>作为投标人正式授权（</w:t>
      </w:r>
      <w:r>
        <w:rPr>
          <w:rFonts w:hint="eastAsia" w:ascii="宋体" w:hAnsi="宋体" w:cs="宋体"/>
          <w:szCs w:val="21"/>
          <w:u w:val="single"/>
          <w:lang w:val="zh-CN"/>
        </w:rPr>
        <w:t>授权代表全名，职务</w:t>
      </w:r>
      <w:r>
        <w:rPr>
          <w:rFonts w:hint="eastAsia" w:ascii="宋体" w:hAnsi="宋体" w:cs="宋体"/>
          <w:szCs w:val="21"/>
          <w:lang w:val="zh-CN"/>
        </w:rPr>
        <w:t>）代表我方进行有关本投标的一切事宜。</w:t>
      </w:r>
    </w:p>
    <w:p>
      <w:pPr>
        <w:spacing w:line="320" w:lineRule="exact"/>
        <w:ind w:firstLine="420"/>
        <w:rPr>
          <w:rFonts w:hint="eastAsia" w:ascii="宋体" w:hAnsi="宋体" w:cs="宋体"/>
          <w:szCs w:val="21"/>
          <w:lang w:val="zh-CN"/>
        </w:rPr>
      </w:pPr>
      <w:r>
        <w:rPr>
          <w:rFonts w:hint="eastAsia" w:ascii="宋体" w:hAnsi="宋体" w:cs="宋体"/>
          <w:szCs w:val="21"/>
          <w:lang w:val="zh-CN"/>
        </w:rPr>
        <w:t>在此提交的投标文件，包括如下等内容，并已单独密封封装：</w:t>
      </w:r>
    </w:p>
    <w:p>
      <w:pPr>
        <w:spacing w:line="320" w:lineRule="exact"/>
        <w:ind w:left="718"/>
        <w:rPr>
          <w:rFonts w:hint="eastAsia" w:ascii="宋体" w:hAnsi="宋体" w:cs="宋体"/>
          <w:szCs w:val="21"/>
          <w:lang w:val="zh-CN"/>
        </w:rPr>
      </w:pPr>
      <w:r>
        <w:rPr>
          <w:rFonts w:hint="eastAsia" w:ascii="宋体" w:hAnsi="宋体" w:cs="宋体"/>
          <w:szCs w:val="21"/>
          <w:lang w:val="zh-CN"/>
        </w:rPr>
        <w:t>1、唱标信封【一份】（按采购文件要求的内容）；</w:t>
      </w:r>
    </w:p>
    <w:p>
      <w:pPr>
        <w:spacing w:line="320" w:lineRule="exact"/>
        <w:ind w:left="718"/>
        <w:rPr>
          <w:rFonts w:hint="eastAsia" w:ascii="宋体" w:hAnsi="宋体" w:cs="宋体"/>
          <w:szCs w:val="21"/>
          <w:lang w:val="zh-CN"/>
        </w:rPr>
      </w:pPr>
      <w:r>
        <w:rPr>
          <w:rFonts w:hint="eastAsia" w:ascii="宋体" w:hAnsi="宋体" w:cs="宋体"/>
          <w:szCs w:val="21"/>
          <w:lang w:val="zh-CN"/>
        </w:rPr>
        <w:t>2、投标文件（商务部分、经济部分、技术部分）【正本一份，副本</w:t>
      </w:r>
      <w:r>
        <w:rPr>
          <w:rFonts w:hint="eastAsia" w:ascii="宋体" w:hAnsi="宋体" w:cs="宋体"/>
          <w:szCs w:val="21"/>
        </w:rPr>
        <w:t>五</w:t>
      </w:r>
      <w:r>
        <w:rPr>
          <w:rFonts w:hint="eastAsia" w:ascii="宋体" w:hAnsi="宋体" w:cs="宋体"/>
          <w:szCs w:val="21"/>
          <w:lang w:val="zh-CN"/>
        </w:rPr>
        <w:t>份】；</w:t>
      </w:r>
    </w:p>
    <w:p>
      <w:pPr>
        <w:spacing w:line="320" w:lineRule="exact"/>
        <w:ind w:firstLine="420"/>
        <w:rPr>
          <w:rFonts w:hint="eastAsia" w:ascii="宋体" w:hAnsi="宋体" w:cs="宋体"/>
          <w:szCs w:val="21"/>
          <w:lang w:val="zh-CN"/>
        </w:rPr>
      </w:pPr>
      <w:r>
        <w:rPr>
          <w:rFonts w:hint="eastAsia" w:ascii="宋体" w:hAnsi="宋体" w:cs="宋体"/>
          <w:szCs w:val="21"/>
          <w:lang w:val="zh-CN"/>
        </w:rPr>
        <w:t>我方已完全明白采购文件的所有条款要求，并重申以下几点：</w:t>
      </w:r>
    </w:p>
    <w:p>
      <w:pPr>
        <w:spacing w:line="320" w:lineRule="exact"/>
        <w:ind w:left="359"/>
        <w:rPr>
          <w:rFonts w:hint="eastAsia" w:ascii="宋体" w:hAnsi="宋体" w:cs="宋体"/>
          <w:szCs w:val="21"/>
          <w:lang w:val="zh-CN"/>
        </w:rPr>
      </w:pPr>
      <w:r>
        <w:rPr>
          <w:rFonts w:hint="eastAsia" w:ascii="宋体" w:hAnsi="宋体" w:cs="宋体"/>
          <w:szCs w:val="21"/>
          <w:lang w:val="zh-CN"/>
        </w:rPr>
        <w:t>（—）我方决定参加项目编号为</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投标；</w:t>
      </w:r>
    </w:p>
    <w:p>
      <w:pPr>
        <w:spacing w:line="320" w:lineRule="exact"/>
        <w:ind w:left="359"/>
        <w:rPr>
          <w:rFonts w:hint="eastAsia" w:ascii="宋体" w:hAnsi="宋体" w:cs="宋体"/>
          <w:szCs w:val="21"/>
          <w:lang w:val="zh-CN"/>
        </w:rPr>
      </w:pPr>
      <w:r>
        <w:rPr>
          <w:rFonts w:hint="eastAsia" w:ascii="宋体" w:hAnsi="宋体" w:cs="宋体"/>
          <w:szCs w:val="21"/>
          <w:lang w:val="zh-CN"/>
        </w:rPr>
        <w:t>（二）全部货物之供应和有关服务的投标总价（详见投标报价表）；</w:t>
      </w:r>
    </w:p>
    <w:p>
      <w:pPr>
        <w:spacing w:line="320" w:lineRule="exact"/>
        <w:ind w:left="359"/>
        <w:rPr>
          <w:rFonts w:hint="eastAsia" w:ascii="宋体" w:hAnsi="宋体" w:cs="宋体"/>
          <w:szCs w:val="21"/>
          <w:lang w:val="zh-CN"/>
        </w:rPr>
      </w:pPr>
      <w:r>
        <w:rPr>
          <w:rFonts w:hint="eastAsia" w:ascii="宋体" w:hAnsi="宋体" w:cs="宋体"/>
          <w:szCs w:val="21"/>
          <w:lang w:val="zh-CN"/>
        </w:rPr>
        <w:t>（三）本投标文件的有效期自投标截止日后</w:t>
      </w:r>
      <w:r>
        <w:rPr>
          <w:rFonts w:hint="eastAsia" w:ascii="宋体" w:hAnsi="宋体" w:cs="宋体"/>
          <w:b/>
          <w:szCs w:val="21"/>
          <w:u w:val="single"/>
          <w:lang w:val="zh-CN"/>
        </w:rPr>
        <w:t>90</w:t>
      </w:r>
      <w:r>
        <w:rPr>
          <w:rFonts w:hint="eastAsia" w:ascii="宋体" w:hAnsi="宋体" w:cs="宋体"/>
          <w:szCs w:val="21"/>
          <w:lang w:val="zh-CN"/>
        </w:rPr>
        <w:t>天有效，如中标，有效期将延至合同终止日为止；</w:t>
      </w:r>
    </w:p>
    <w:p>
      <w:pPr>
        <w:spacing w:line="320" w:lineRule="exact"/>
        <w:ind w:left="359"/>
        <w:rPr>
          <w:rFonts w:hint="eastAsia" w:ascii="宋体" w:hAnsi="宋体" w:cs="宋体"/>
          <w:szCs w:val="21"/>
          <w:lang w:val="zh-CN"/>
        </w:rPr>
      </w:pPr>
      <w:r>
        <w:rPr>
          <w:rFonts w:hint="eastAsia" w:ascii="宋体" w:hAnsi="宋体" w:cs="宋体"/>
          <w:szCs w:val="21"/>
          <w:lang w:val="zh-CN"/>
        </w:rPr>
        <w:t>（四）我方已详细研究了采购文件的所有内容包括修正文（如有）和所有已提供的参考资料以及有关附件并完全明白且无任何异议；</w:t>
      </w:r>
    </w:p>
    <w:p>
      <w:pPr>
        <w:spacing w:line="320" w:lineRule="exact"/>
        <w:ind w:left="359"/>
        <w:rPr>
          <w:rFonts w:hint="eastAsia" w:ascii="宋体" w:hAnsi="宋体" w:cs="宋体"/>
          <w:szCs w:val="21"/>
          <w:lang w:val="zh-CN"/>
        </w:rPr>
      </w:pPr>
      <w:r>
        <w:rPr>
          <w:rFonts w:hint="eastAsia" w:ascii="宋体" w:hAnsi="宋体" w:cs="宋体"/>
          <w:szCs w:val="21"/>
          <w:lang w:val="zh-CN"/>
        </w:rPr>
        <w:t>（五）我方明白并愿意在规定的开标时间和日期之后，投标有效期之内撤回投标，则投标保证金将被贵方没收；</w:t>
      </w:r>
    </w:p>
    <w:p>
      <w:pPr>
        <w:spacing w:line="320" w:lineRule="exact"/>
        <w:ind w:left="359"/>
        <w:rPr>
          <w:rFonts w:hint="eastAsia" w:ascii="宋体" w:hAnsi="宋体" w:cs="宋体"/>
          <w:szCs w:val="21"/>
          <w:lang w:val="zh-CN"/>
        </w:rPr>
      </w:pPr>
      <w:r>
        <w:rPr>
          <w:rFonts w:hint="eastAsia" w:ascii="宋体" w:hAnsi="宋体" w:cs="宋体"/>
          <w:szCs w:val="21"/>
          <w:lang w:val="zh-CN"/>
        </w:rPr>
        <w:t>（六）我方同意按照贵方可能提出的要求而提供与投标有关的任何其它数据或信息；</w:t>
      </w:r>
    </w:p>
    <w:p>
      <w:pPr>
        <w:spacing w:line="320" w:lineRule="exact"/>
        <w:ind w:left="359"/>
        <w:rPr>
          <w:rFonts w:hint="eastAsia" w:ascii="宋体" w:hAnsi="宋体" w:cs="宋体"/>
          <w:szCs w:val="21"/>
          <w:lang w:val="zh-CN"/>
        </w:rPr>
      </w:pPr>
      <w:r>
        <w:rPr>
          <w:rFonts w:hint="eastAsia" w:ascii="宋体" w:hAnsi="宋体" w:cs="宋体"/>
          <w:szCs w:val="21"/>
          <w:lang w:val="zh-CN"/>
        </w:rPr>
        <w:t>（七）我方理解贵方不一定接受最低标价或任何贵方可能收到的投标；</w:t>
      </w:r>
    </w:p>
    <w:p>
      <w:pPr>
        <w:spacing w:line="320" w:lineRule="exact"/>
        <w:ind w:left="359"/>
        <w:rPr>
          <w:rFonts w:hint="eastAsia" w:ascii="宋体" w:hAnsi="宋体" w:cs="宋体"/>
          <w:szCs w:val="21"/>
          <w:lang w:val="zh-CN"/>
        </w:rPr>
      </w:pPr>
      <w:r>
        <w:rPr>
          <w:rFonts w:hint="eastAsia" w:ascii="宋体" w:hAnsi="宋体" w:cs="宋体"/>
          <w:szCs w:val="21"/>
          <w:lang w:val="zh-CN"/>
        </w:rPr>
        <w:t>（八）我方如果中标，将保证履行采购文件以及采购文件修改书（如有）中的全部责任和义务，按质、按量、按期完成《合同书》中的全部任务；</w:t>
      </w:r>
    </w:p>
    <w:p>
      <w:pPr>
        <w:spacing w:line="320" w:lineRule="exact"/>
        <w:ind w:left="359"/>
        <w:rPr>
          <w:rFonts w:hint="eastAsia" w:ascii="宋体" w:hAnsi="宋体" w:cs="宋体"/>
          <w:szCs w:val="21"/>
          <w:lang w:val="zh-CN"/>
        </w:rPr>
      </w:pPr>
      <w:r>
        <w:rPr>
          <w:rFonts w:hint="eastAsia" w:ascii="宋体" w:hAnsi="宋体" w:cs="宋体"/>
          <w:bCs/>
          <w:szCs w:val="21"/>
        </w:rPr>
        <w:t>（九）我方郑重承诺：技术响应表中所响应的内容描述，为真实可靠，若有弄虚作假，我方愿承担其法律、经济等有关责任。</w:t>
      </w:r>
    </w:p>
    <w:p>
      <w:pPr>
        <w:spacing w:line="320" w:lineRule="exact"/>
        <w:ind w:left="359"/>
        <w:rPr>
          <w:rFonts w:hint="eastAsia" w:ascii="宋体" w:hAnsi="宋体" w:cs="宋体"/>
          <w:szCs w:val="21"/>
          <w:lang w:val="zh-CN"/>
        </w:rPr>
      </w:pPr>
      <w:r>
        <w:rPr>
          <w:rFonts w:hint="eastAsia" w:ascii="宋体" w:hAnsi="宋体" w:cs="宋体"/>
          <w:szCs w:val="21"/>
          <w:lang w:val="zh-CN"/>
        </w:rPr>
        <w:t>（十）所有与本投标有关的函件请发往下列地址：</w:t>
      </w:r>
    </w:p>
    <w:p>
      <w:pPr>
        <w:spacing w:line="360" w:lineRule="exact"/>
        <w:rPr>
          <w:rFonts w:hint="eastAsia" w:ascii="宋体" w:hAnsi="宋体" w:cs="宋体"/>
          <w:szCs w:val="21"/>
          <w:u w:val="single"/>
          <w:lang w:val="zh-CN"/>
        </w:rPr>
      </w:pPr>
      <w:r>
        <w:rPr>
          <w:rFonts w:hint="eastAsia" w:ascii="宋体" w:hAnsi="宋体" w:cs="宋体"/>
          <w:szCs w:val="21"/>
          <w:lang w:val="zh-CN"/>
        </w:rPr>
        <w:t>地  　址：</w:t>
      </w:r>
      <w:r>
        <w:rPr>
          <w:rFonts w:hint="eastAsia" w:ascii="宋体" w:hAnsi="宋体" w:cs="宋体"/>
          <w:szCs w:val="21"/>
          <w:u w:val="single"/>
          <w:lang w:val="zh-CN"/>
        </w:rPr>
        <w:t>　　　　　　　　　　　</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 xml:space="preserve"> 邮政编码：</w:t>
      </w:r>
      <w:r>
        <w:rPr>
          <w:rFonts w:hint="eastAsia" w:ascii="宋体" w:hAnsi="宋体" w:cs="宋体"/>
          <w:szCs w:val="21"/>
          <w:u w:val="single"/>
          <w:lang w:val="zh-CN"/>
        </w:rPr>
        <w:t>　　　　　　　　　　</w:t>
      </w:r>
    </w:p>
    <w:p>
      <w:pPr>
        <w:spacing w:line="360" w:lineRule="exact"/>
        <w:rPr>
          <w:rFonts w:hint="eastAsia" w:ascii="宋体" w:hAnsi="宋体" w:cs="宋体"/>
          <w:szCs w:val="21"/>
          <w:lang w:val="zh-CN"/>
        </w:rPr>
      </w:pPr>
      <w:r>
        <w:rPr>
          <w:rFonts w:hint="eastAsia" w:ascii="宋体" w:hAnsi="宋体" w:cs="宋体"/>
          <w:szCs w:val="21"/>
          <w:lang w:val="zh-CN"/>
        </w:rPr>
        <w:t>电　　话：</w:t>
      </w:r>
      <w:r>
        <w:rPr>
          <w:rFonts w:hint="eastAsia" w:ascii="宋体" w:hAnsi="宋体" w:cs="宋体"/>
          <w:szCs w:val="21"/>
          <w:u w:val="single"/>
          <w:lang w:val="zh-CN"/>
        </w:rPr>
        <w:t>　　　　　　　　　　　</w:t>
      </w:r>
      <w:r>
        <w:rPr>
          <w:rFonts w:hint="eastAsia" w:ascii="宋体" w:hAnsi="宋体" w:cs="宋体"/>
          <w:szCs w:val="21"/>
          <w:lang w:val="zh-CN"/>
        </w:rPr>
        <w:tab/>
      </w:r>
      <w:r>
        <w:rPr>
          <w:rFonts w:hint="eastAsia" w:ascii="宋体" w:hAnsi="宋体" w:cs="宋体"/>
          <w:szCs w:val="21"/>
          <w:lang w:val="zh-CN"/>
        </w:rPr>
        <w:tab/>
      </w:r>
      <w:r>
        <w:rPr>
          <w:rFonts w:hint="eastAsia" w:ascii="宋体" w:hAnsi="宋体" w:cs="宋体"/>
          <w:szCs w:val="21"/>
          <w:lang w:val="zh-CN"/>
        </w:rPr>
        <w:t xml:space="preserve"> 代表姓名：</w:t>
      </w:r>
      <w:r>
        <w:rPr>
          <w:rFonts w:hint="eastAsia" w:ascii="宋体" w:hAnsi="宋体" w:cs="宋体"/>
          <w:szCs w:val="21"/>
          <w:u w:val="single"/>
          <w:lang w:val="zh-CN"/>
        </w:rPr>
        <w:t>　　　　　　　　　　　</w:t>
      </w:r>
    </w:p>
    <w:p>
      <w:pPr>
        <w:spacing w:line="360" w:lineRule="exact"/>
        <w:rPr>
          <w:rFonts w:hint="eastAsia" w:ascii="宋体" w:hAnsi="宋体" w:cs="宋体"/>
          <w:szCs w:val="21"/>
          <w:lang w:val="zh-CN"/>
        </w:rPr>
      </w:pPr>
      <w:r>
        <w:rPr>
          <w:rFonts w:hint="eastAsia" w:ascii="宋体" w:hAnsi="宋体" w:cs="宋体"/>
          <w:szCs w:val="21"/>
          <w:lang w:val="zh-CN"/>
        </w:rPr>
        <w:t>传　　真：</w:t>
      </w:r>
      <w:r>
        <w:rPr>
          <w:rFonts w:hint="eastAsia" w:ascii="宋体" w:hAnsi="宋体" w:cs="宋体"/>
          <w:szCs w:val="21"/>
          <w:u w:val="single"/>
          <w:lang w:val="zh-CN"/>
        </w:rPr>
        <w:t>　　　　　　　　　　　</w:t>
      </w:r>
      <w:r>
        <w:rPr>
          <w:rFonts w:hint="eastAsia" w:ascii="宋体" w:hAnsi="宋体" w:cs="宋体"/>
          <w:szCs w:val="21"/>
          <w:lang w:val="zh-CN"/>
        </w:rPr>
        <w:t xml:space="preserve">         职　　务：</w:t>
      </w:r>
      <w:r>
        <w:rPr>
          <w:rFonts w:hint="eastAsia" w:ascii="宋体" w:hAnsi="宋体" w:cs="宋体"/>
          <w:szCs w:val="21"/>
          <w:u w:val="single"/>
          <w:lang w:val="zh-CN"/>
        </w:rPr>
        <w:t>　　　　　　　　　　</w:t>
      </w:r>
    </w:p>
    <w:p>
      <w:pPr>
        <w:spacing w:line="360" w:lineRule="exact"/>
        <w:rPr>
          <w:rFonts w:hint="eastAsia" w:ascii="宋体" w:hAnsi="宋体" w:cs="宋体"/>
          <w:szCs w:val="21"/>
          <w:u w:val="single"/>
          <w:lang w:val="zh-CN"/>
        </w:rPr>
      </w:pPr>
    </w:p>
    <w:p>
      <w:pPr>
        <w:spacing w:line="360" w:lineRule="exact"/>
        <w:rPr>
          <w:rFonts w:hint="eastAsia" w:ascii="宋体" w:hAnsi="宋体" w:cs="宋体"/>
          <w:szCs w:val="21"/>
          <w:u w:val="single"/>
          <w:lang w:val="zh-CN"/>
        </w:rPr>
      </w:pPr>
    </w:p>
    <w:p>
      <w:pPr>
        <w:spacing w:line="360" w:lineRule="exact"/>
        <w:ind w:left="3780"/>
        <w:rPr>
          <w:rFonts w:hint="eastAsia" w:ascii="宋体" w:hAnsi="宋体" w:cs="宋体"/>
          <w:szCs w:val="21"/>
          <w:lang w:val="zh-CN"/>
        </w:rPr>
      </w:pPr>
      <w:r>
        <w:rPr>
          <w:rFonts w:hint="eastAsia" w:ascii="宋体" w:hAnsi="宋体" w:cs="宋体"/>
          <w:szCs w:val="21"/>
          <w:lang w:val="zh-CN"/>
        </w:rPr>
        <w:t>投标人：（投标人公章）</w:t>
      </w:r>
    </w:p>
    <w:p>
      <w:pPr>
        <w:spacing w:line="360" w:lineRule="exact"/>
        <w:ind w:left="3780"/>
        <w:rPr>
          <w:rFonts w:hint="eastAsia" w:ascii="宋体" w:hAnsi="宋体" w:cs="宋体"/>
          <w:szCs w:val="21"/>
          <w:lang w:val="zh-CN"/>
        </w:rPr>
      </w:pPr>
    </w:p>
    <w:p>
      <w:pPr>
        <w:spacing w:line="360" w:lineRule="exact"/>
        <w:ind w:left="3780"/>
        <w:rPr>
          <w:rFonts w:hint="eastAsia" w:ascii="宋体" w:hAnsi="宋体" w:cs="宋体"/>
          <w:szCs w:val="21"/>
          <w:lang w:val="zh-CN"/>
        </w:rPr>
      </w:pPr>
      <w:r>
        <w:rPr>
          <w:rFonts w:hint="eastAsia" w:ascii="宋体" w:hAnsi="宋体" w:cs="宋体"/>
          <w:szCs w:val="21"/>
          <w:lang w:val="zh-CN"/>
        </w:rPr>
        <w:t>法定代表人或其授权代表签名：</w:t>
      </w:r>
    </w:p>
    <w:p>
      <w:pPr>
        <w:spacing w:line="360" w:lineRule="exact"/>
        <w:ind w:left="3780"/>
        <w:rPr>
          <w:rFonts w:hint="eastAsia" w:ascii="宋体" w:hAnsi="宋体" w:cs="宋体"/>
          <w:szCs w:val="21"/>
          <w:lang w:val="zh-CN"/>
        </w:rPr>
      </w:pPr>
    </w:p>
    <w:p>
      <w:pPr>
        <w:spacing w:line="360" w:lineRule="exact"/>
        <w:ind w:left="3780"/>
        <w:rPr>
          <w:rFonts w:hint="eastAsia" w:ascii="宋体" w:hAnsi="宋体" w:cs="宋体"/>
          <w:szCs w:val="21"/>
          <w:lang w:val="zh-CN"/>
        </w:rPr>
      </w:pPr>
      <w:r>
        <w:rPr>
          <w:rFonts w:hint="eastAsia" w:ascii="宋体" w:hAnsi="宋体" w:cs="宋体"/>
          <w:szCs w:val="21"/>
          <w:lang w:val="zh-CN"/>
        </w:rPr>
        <w:t>日　　　期：</w:t>
      </w:r>
    </w:p>
    <w:p>
      <w:pPr>
        <w:pStyle w:val="59"/>
        <w:rPr>
          <w:rFonts w:hint="eastAsia" w:hAnsi="宋体" w:cs="宋体"/>
          <w:lang w:val="zh-CN"/>
        </w:rPr>
      </w:pPr>
    </w:p>
    <w:p>
      <w:pPr>
        <w:pStyle w:val="59"/>
        <w:rPr>
          <w:rFonts w:hint="eastAsia" w:hAnsi="宋体" w:cs="宋体"/>
          <w:lang w:val="zh-CN"/>
        </w:rPr>
      </w:pPr>
    </w:p>
    <w:p>
      <w:pPr>
        <w:keepNext/>
        <w:keepLines/>
        <w:spacing w:line="360" w:lineRule="auto"/>
        <w:rPr>
          <w:rFonts w:hint="eastAsia" w:ascii="宋体" w:hAnsi="宋体" w:cs="宋体"/>
          <w:sz w:val="28"/>
          <w:szCs w:val="28"/>
        </w:rPr>
      </w:pPr>
      <w:r>
        <w:rPr>
          <w:rFonts w:hint="eastAsia" w:ascii="宋体" w:hAnsi="宋体" w:cs="宋体"/>
          <w:b/>
          <w:bCs/>
          <w:sz w:val="32"/>
          <w:szCs w:val="32"/>
        </w:rPr>
        <w:t>二、</w:t>
      </w:r>
      <w:r>
        <w:rPr>
          <w:rFonts w:hint="eastAsia" w:ascii="宋体" w:hAnsi="宋体" w:cs="宋体"/>
          <w:b/>
          <w:bCs/>
          <w:sz w:val="32"/>
          <w:szCs w:val="32"/>
          <w:lang w:val="zh-CN"/>
        </w:rPr>
        <w:t>中华人民共和国境内注册的法人或其他组织的营业执照，如投标人为自然人的需提供自然人身份证明（加盖投标人公章）</w:t>
      </w:r>
      <w:r>
        <w:rPr>
          <w:rFonts w:hint="eastAsia" w:ascii="宋体" w:hAnsi="宋体" w:cs="宋体"/>
          <w:sz w:val="28"/>
          <w:szCs w:val="28"/>
        </w:rPr>
        <w:t xml:space="preserve"> </w:t>
      </w: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adjustRightInd w:val="0"/>
        <w:snapToGrid w:val="0"/>
        <w:spacing w:line="408" w:lineRule="auto"/>
        <w:rPr>
          <w:rFonts w:hint="eastAsia" w:ascii="宋体" w:hAnsi="宋体" w:cs="宋体"/>
          <w:b/>
          <w:bCs/>
          <w:sz w:val="32"/>
          <w:szCs w:val="32"/>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adjustRightInd w:val="0"/>
        <w:snapToGrid w:val="0"/>
        <w:spacing w:line="408" w:lineRule="auto"/>
        <w:rPr>
          <w:rFonts w:hint="eastAsia" w:ascii="宋体" w:hAnsi="宋体" w:cs="宋体"/>
          <w:b/>
          <w:bCs/>
          <w:sz w:val="32"/>
          <w:szCs w:val="32"/>
          <w:lang w:val="zh-CN"/>
        </w:rPr>
      </w:pPr>
      <w:r>
        <w:rPr>
          <w:rFonts w:hint="eastAsia" w:ascii="宋体" w:hAnsi="宋体" w:cs="宋体"/>
          <w:b/>
          <w:bCs/>
          <w:sz w:val="32"/>
          <w:szCs w:val="32"/>
        </w:rPr>
        <w:t>三</w:t>
      </w:r>
      <w:r>
        <w:rPr>
          <w:rFonts w:hint="eastAsia" w:ascii="宋体" w:hAnsi="宋体" w:cs="宋体"/>
          <w:b/>
          <w:bCs/>
          <w:sz w:val="32"/>
          <w:szCs w:val="32"/>
          <w:lang w:val="zh-CN"/>
        </w:rPr>
        <w:t>、法定代表人身份证明书及法定代表人身份证复印件（加盖投标人公章）</w:t>
      </w:r>
    </w:p>
    <w:p>
      <w:pPr>
        <w:spacing w:line="360" w:lineRule="auto"/>
        <w:jc w:val="center"/>
        <w:rPr>
          <w:rFonts w:hint="eastAsia" w:ascii="宋体" w:hAnsi="宋体" w:cs="宋体"/>
          <w:b/>
          <w:sz w:val="13"/>
          <w:szCs w:val="13"/>
          <w:lang w:val="zh-CN"/>
        </w:rPr>
      </w:pPr>
    </w:p>
    <w:p>
      <w:pPr>
        <w:spacing w:line="360" w:lineRule="auto"/>
        <w:jc w:val="center"/>
        <w:rPr>
          <w:rFonts w:hint="eastAsia" w:ascii="宋体" w:hAnsi="宋体" w:cs="宋体"/>
          <w:b/>
          <w:sz w:val="32"/>
          <w:szCs w:val="32"/>
          <w:lang w:val="zh-CN"/>
        </w:rPr>
      </w:pPr>
      <w:r>
        <w:rPr>
          <w:rFonts w:hint="eastAsia" w:ascii="宋体" w:hAnsi="宋体" w:cs="宋体"/>
          <w:b/>
          <w:sz w:val="32"/>
          <w:szCs w:val="32"/>
          <w:lang w:val="zh-CN"/>
        </w:rPr>
        <w:t>法定代表人身份证明书</w:t>
      </w:r>
    </w:p>
    <w:p>
      <w:pPr>
        <w:adjustRightInd w:val="0"/>
        <w:snapToGrid w:val="0"/>
        <w:spacing w:line="480" w:lineRule="auto"/>
        <w:rPr>
          <w:rFonts w:hint="eastAsia" w:ascii="宋体" w:hAnsi="宋体" w:cs="宋体"/>
          <w:lang w:val="zh-CN"/>
        </w:rPr>
      </w:pPr>
    </w:p>
    <w:p>
      <w:pPr>
        <w:adjustRightInd w:val="0"/>
        <w:snapToGrid w:val="0"/>
        <w:spacing w:line="480" w:lineRule="auto"/>
        <w:rPr>
          <w:rFonts w:hint="eastAsia" w:ascii="宋体" w:hAnsi="宋体" w:cs="宋体"/>
          <w:lang w:val="zh-CN"/>
        </w:rPr>
      </w:pPr>
      <w:r>
        <w:rPr>
          <w:rFonts w:hint="eastAsia" w:ascii="宋体" w:hAnsi="宋体" w:cs="宋体"/>
          <w:lang w:val="zh-CN"/>
        </w:rPr>
        <w:t>致：</w:t>
      </w:r>
    </w:p>
    <w:p>
      <w:pPr>
        <w:spacing w:line="360" w:lineRule="auto"/>
        <w:rPr>
          <w:rFonts w:hint="eastAsia" w:ascii="宋体" w:hAnsi="宋体" w:cs="宋体"/>
          <w:lang w:val="zh-CN"/>
        </w:rPr>
      </w:pPr>
      <w:r>
        <w:rPr>
          <w:rFonts w:hint="eastAsia" w:ascii="宋体" w:hAnsi="宋体" w:cs="宋体"/>
          <w:lang w:val="zh-CN"/>
        </w:rPr>
        <w:t xml:space="preserve">         先生/女士，现任我公司</w:t>
      </w:r>
      <w:r>
        <w:rPr>
          <w:rFonts w:hint="eastAsia" w:ascii="宋体" w:hAnsi="宋体" w:cs="宋体"/>
          <w:u w:val="single"/>
          <w:lang w:val="zh-CN"/>
        </w:rPr>
        <w:t xml:space="preserve">         </w:t>
      </w:r>
      <w:r>
        <w:rPr>
          <w:rFonts w:hint="eastAsia" w:ascii="宋体" w:hAnsi="宋体" w:cs="宋体"/>
          <w:lang w:val="zh-CN"/>
        </w:rPr>
        <w:t>职务，为法定代表人，特此证明。</w:t>
      </w:r>
    </w:p>
    <w:p>
      <w:pPr>
        <w:spacing w:line="360" w:lineRule="auto"/>
        <w:rPr>
          <w:rFonts w:hint="eastAsia" w:ascii="宋体" w:hAnsi="宋体" w:cs="宋体"/>
          <w:lang w:val="zh-CN"/>
        </w:rPr>
      </w:pPr>
    </w:p>
    <w:p>
      <w:pPr>
        <w:adjustRightInd w:val="0"/>
        <w:snapToGrid w:val="0"/>
        <w:spacing w:line="408" w:lineRule="auto"/>
        <w:rPr>
          <w:rFonts w:hint="eastAsia" w:ascii="宋体" w:hAnsi="宋体" w:cs="宋体"/>
          <w:lang w:val="zh-CN"/>
        </w:rPr>
      </w:pPr>
      <w:r>
        <w:rPr>
          <w:rFonts w:hint="eastAsia" w:ascii="宋体" w:hAnsi="宋体" w:cs="宋体"/>
          <w:lang w:val="zh-CN"/>
        </w:rPr>
        <w:t>附：</w:t>
      </w:r>
    </w:p>
    <w:p>
      <w:pPr>
        <w:adjustRightInd w:val="0"/>
        <w:snapToGrid w:val="0"/>
        <w:spacing w:line="408" w:lineRule="auto"/>
        <w:rPr>
          <w:rFonts w:hint="eastAsia" w:ascii="宋体" w:hAnsi="宋体" w:cs="宋体"/>
          <w:lang w:val="zh-CN"/>
        </w:rPr>
      </w:pPr>
      <w:r>
        <w:rPr>
          <w:rFonts w:hint="eastAsia" w:ascii="宋体" w:hAnsi="宋体" w:cs="宋体"/>
          <w:lang w:val="zh-CN"/>
        </w:rPr>
        <w:t xml:space="preserve">代表人性别：                             </w:t>
      </w:r>
    </w:p>
    <w:p>
      <w:pPr>
        <w:adjustRightInd w:val="0"/>
        <w:snapToGrid w:val="0"/>
        <w:spacing w:line="408" w:lineRule="auto"/>
        <w:rPr>
          <w:rFonts w:hint="eastAsia" w:ascii="宋体" w:hAnsi="宋体" w:cs="宋体"/>
          <w:lang w:val="zh-CN"/>
        </w:rPr>
      </w:pPr>
      <w:r>
        <w:rPr>
          <w:rFonts w:hint="eastAsia" w:ascii="宋体" w:hAnsi="宋体" w:cs="宋体"/>
          <w:lang w:val="zh-CN"/>
        </w:rPr>
        <w:t xml:space="preserve">年龄：                                   </w:t>
      </w:r>
    </w:p>
    <w:p>
      <w:pPr>
        <w:adjustRightInd w:val="0"/>
        <w:snapToGrid w:val="0"/>
        <w:spacing w:line="408" w:lineRule="auto"/>
        <w:rPr>
          <w:rFonts w:hint="eastAsia" w:ascii="宋体" w:hAnsi="宋体" w:cs="宋体"/>
          <w:lang w:val="zh-CN"/>
        </w:rPr>
      </w:pPr>
      <w:r>
        <w:rPr>
          <w:rFonts w:hint="eastAsia" w:ascii="宋体" w:hAnsi="宋体" w:cs="宋体"/>
          <w:lang w:val="zh-CN"/>
        </w:rPr>
        <w:t xml:space="preserve">身份证号码：                             </w:t>
      </w:r>
    </w:p>
    <w:p>
      <w:pPr>
        <w:adjustRightInd w:val="0"/>
        <w:snapToGrid w:val="0"/>
        <w:spacing w:line="408" w:lineRule="auto"/>
        <w:rPr>
          <w:rFonts w:hint="eastAsia" w:ascii="宋体" w:hAnsi="宋体" w:cs="宋体"/>
          <w:lang w:val="zh-CN"/>
        </w:rPr>
      </w:pPr>
      <w:r>
        <w:rPr>
          <w:rFonts w:hint="eastAsia" w:ascii="宋体" w:hAnsi="宋体" w:cs="宋体"/>
          <w:lang w:val="zh-CN"/>
        </w:rPr>
        <w:t xml:space="preserve">营业执照或事业单位法人证书（注册号）：    </w:t>
      </w:r>
    </w:p>
    <w:p>
      <w:pPr>
        <w:adjustRightInd w:val="0"/>
        <w:snapToGrid w:val="0"/>
        <w:spacing w:line="408" w:lineRule="auto"/>
        <w:rPr>
          <w:rFonts w:hint="eastAsia" w:ascii="宋体" w:hAnsi="宋体" w:cs="宋体"/>
          <w:lang w:val="zh-CN"/>
        </w:rPr>
      </w:pPr>
      <w:r>
        <w:rPr>
          <w:rFonts w:hint="eastAsia" w:ascii="宋体" w:hAnsi="宋体" w:cs="宋体"/>
          <w:lang w:val="zh-CN"/>
        </w:rPr>
        <w:t xml:space="preserve">经济性质：                               </w:t>
      </w:r>
    </w:p>
    <w:p>
      <w:pPr>
        <w:adjustRightInd w:val="0"/>
        <w:snapToGrid w:val="0"/>
        <w:spacing w:line="408" w:lineRule="auto"/>
        <w:rPr>
          <w:rFonts w:hint="eastAsia" w:ascii="宋体" w:hAnsi="宋体" w:cs="宋体"/>
          <w:lang w:val="zh-CN"/>
        </w:rPr>
      </w:pPr>
      <w:r>
        <w:rPr>
          <w:rFonts w:hint="eastAsia" w:ascii="宋体" w:hAnsi="宋体" w:cs="宋体"/>
          <w:lang w:val="zh-CN"/>
        </w:rPr>
        <w:t xml:space="preserve">主营（产）：                              </w:t>
      </w:r>
    </w:p>
    <w:p>
      <w:pPr>
        <w:spacing w:line="360" w:lineRule="auto"/>
        <w:ind w:left="5040"/>
        <w:rPr>
          <w:rFonts w:hint="eastAsia" w:ascii="宋体" w:hAnsi="宋体" w:cs="宋体"/>
          <w:lang w:val="zh-CN"/>
        </w:rPr>
      </w:pPr>
    </w:p>
    <w:p>
      <w:pPr>
        <w:spacing w:line="360" w:lineRule="auto"/>
        <w:ind w:left="5040"/>
        <w:rPr>
          <w:rFonts w:hint="eastAsia" w:ascii="宋体" w:hAnsi="宋体" w:cs="宋体"/>
          <w:lang w:val="zh-CN"/>
        </w:rPr>
      </w:pPr>
    </w:p>
    <w:p>
      <w:pPr>
        <w:adjustRightInd w:val="0"/>
        <w:snapToGrid w:val="0"/>
        <w:spacing w:line="480" w:lineRule="auto"/>
        <w:ind w:left="5041"/>
        <w:rPr>
          <w:rFonts w:hint="eastAsia" w:ascii="宋体" w:hAnsi="宋体" w:cs="宋体"/>
          <w:lang w:val="zh-CN"/>
        </w:rPr>
      </w:pPr>
      <w:r>
        <w:rPr>
          <w:rFonts w:hint="eastAsia" w:ascii="宋体" w:hAnsi="宋体" w:cs="宋体"/>
          <w:lang w:val="zh-CN"/>
        </w:rPr>
        <w:t>投标人（投标人公章）：</w:t>
      </w:r>
    </w:p>
    <w:p>
      <w:pPr>
        <w:adjustRightInd w:val="0"/>
        <w:snapToGrid w:val="0"/>
        <w:spacing w:line="480" w:lineRule="auto"/>
        <w:ind w:left="5041"/>
        <w:rPr>
          <w:rFonts w:hint="eastAsia" w:ascii="宋体" w:hAnsi="宋体" w:cs="宋体"/>
          <w:lang w:val="zh-CN"/>
        </w:rPr>
      </w:pPr>
      <w:r>
        <w:rPr>
          <w:rFonts w:hint="eastAsia" w:ascii="宋体" w:hAnsi="宋体" w:cs="宋体"/>
          <w:lang w:val="zh-CN"/>
        </w:rPr>
        <w:t>签发日期：</w:t>
      </w:r>
    </w:p>
    <w:p>
      <w:pPr>
        <w:adjustRightInd w:val="0"/>
        <w:snapToGrid w:val="0"/>
        <w:spacing w:line="480" w:lineRule="auto"/>
        <w:rPr>
          <w:rFonts w:hint="eastAsia" w:ascii="宋体" w:hAnsi="宋体" w:cs="宋体"/>
          <w:lang w:val="zh-CN"/>
        </w:rPr>
      </w:pPr>
      <w:r>
        <w:rPr>
          <w:rFonts w:hint="eastAsia" w:ascii="宋体" w:hAnsi="宋体" w:cs="宋体"/>
          <w:lang w:val="zh-CN"/>
        </w:rPr>
        <w:t xml:space="preserve"> </w:t>
      </w:r>
    </w:p>
    <w:p>
      <w:pPr>
        <w:spacing w:line="360" w:lineRule="auto"/>
        <w:rPr>
          <w:rFonts w:hint="eastAsia" w:ascii="宋体" w:hAnsi="宋体" w:cs="宋体"/>
          <w:lang w:val="zh-CN"/>
        </w:rPr>
      </w:pPr>
      <w:r>
        <w:rPr>
          <w:rFonts w:hint="eastAsia" w:ascii="宋体" w:hAnsi="宋体" w:cs="宋体"/>
          <w:lang w:val="zh-CN"/>
        </w:rPr>
        <w:t>注：法定代表人的姓名必须与营业执照或事业单位法人证书法定代表人姓名完全一致。</w:t>
      </w:r>
    </w:p>
    <w:p>
      <w:pPr>
        <w:spacing w:line="360" w:lineRule="auto"/>
        <w:rPr>
          <w:rFonts w:hint="eastAsia" w:ascii="宋体" w:hAnsi="宋体" w:cs="宋体"/>
          <w:lang w:val="zh-CN"/>
        </w:rPr>
      </w:pPr>
    </w:p>
    <w:p>
      <w:pPr>
        <w:spacing w:after="100" w:line="360" w:lineRule="auto"/>
        <w:rPr>
          <w:rFonts w:hint="eastAsia" w:ascii="宋体" w:hAnsi="宋体" w:cs="宋体"/>
          <w:b/>
          <w:lang w:val="zh-CN"/>
        </w:rPr>
      </w:pPr>
      <w:r>
        <w:rPr>
          <w:rFonts w:hint="eastAsia" w:ascii="宋体" w:hAnsi="宋体" w:cs="宋体"/>
          <w:b/>
          <w:lang w:val="zh-CN"/>
        </w:rPr>
        <w:t>以下空白处请附上法定代表人身份证复印件（双面）</w:t>
      </w:r>
    </w:p>
    <w:p>
      <w:pPr>
        <w:keepNext/>
        <w:keepLines/>
        <w:spacing w:line="360" w:lineRule="auto"/>
        <w:rPr>
          <w:rFonts w:hint="eastAsia" w:ascii="宋体" w:hAnsi="宋体" w:cs="宋体"/>
          <w:b/>
          <w:bCs/>
          <w:sz w:val="32"/>
          <w:szCs w:val="32"/>
          <w:lang w:val="zh-CN"/>
        </w:rPr>
      </w:pPr>
      <w:r>
        <w:rPr>
          <w:rFonts w:hint="eastAsia" w:ascii="宋体" w:hAnsi="宋体" w:cs="宋体"/>
          <w:b/>
          <w:sz w:val="32"/>
          <w:szCs w:val="32"/>
          <w:lang w:val="zh-CN"/>
        </w:rPr>
        <w:br w:type="page"/>
      </w:r>
      <w:r>
        <w:rPr>
          <w:rFonts w:hint="eastAsia" w:ascii="宋体" w:hAnsi="宋体" w:cs="宋体"/>
          <w:b/>
          <w:bCs/>
          <w:sz w:val="32"/>
          <w:szCs w:val="32"/>
        </w:rPr>
        <w:t>四</w:t>
      </w:r>
      <w:r>
        <w:rPr>
          <w:rFonts w:hint="eastAsia" w:ascii="宋体" w:hAnsi="宋体" w:cs="宋体"/>
          <w:b/>
          <w:bCs/>
          <w:sz w:val="32"/>
          <w:szCs w:val="32"/>
          <w:lang w:val="zh-CN"/>
        </w:rPr>
        <w:t>、法定代表人授权委托书及被授权人身份证复印件（加盖投标人公章）</w:t>
      </w:r>
    </w:p>
    <w:p>
      <w:pPr>
        <w:spacing w:line="360" w:lineRule="auto"/>
        <w:rPr>
          <w:rFonts w:hint="eastAsia" w:ascii="宋体" w:hAnsi="宋体" w:cs="宋体"/>
          <w:b/>
          <w:sz w:val="13"/>
          <w:szCs w:val="13"/>
          <w:lang w:val="zh-CN"/>
        </w:rPr>
      </w:pPr>
    </w:p>
    <w:p>
      <w:pPr>
        <w:spacing w:line="360" w:lineRule="auto"/>
        <w:jc w:val="center"/>
        <w:rPr>
          <w:rFonts w:hint="eastAsia" w:ascii="宋体" w:hAnsi="宋体" w:cs="宋体"/>
          <w:b/>
          <w:sz w:val="32"/>
          <w:szCs w:val="32"/>
          <w:lang w:val="zh-CN"/>
        </w:rPr>
      </w:pPr>
      <w:r>
        <w:rPr>
          <w:rFonts w:hint="eastAsia" w:ascii="宋体" w:hAnsi="宋体" w:cs="宋体"/>
          <w:b/>
          <w:sz w:val="32"/>
          <w:szCs w:val="32"/>
          <w:lang w:val="zh-CN"/>
        </w:rPr>
        <w:t>法定代表人授权委托书</w:t>
      </w:r>
    </w:p>
    <w:p>
      <w:pPr>
        <w:adjustRightInd w:val="0"/>
        <w:snapToGrid w:val="0"/>
        <w:spacing w:line="360" w:lineRule="auto"/>
        <w:rPr>
          <w:rFonts w:hint="eastAsia" w:ascii="宋体" w:hAnsi="宋体" w:cs="宋体"/>
          <w:lang w:val="zh-CN"/>
        </w:rPr>
      </w:pPr>
    </w:p>
    <w:p>
      <w:pPr>
        <w:adjustRightInd w:val="0"/>
        <w:snapToGrid w:val="0"/>
        <w:spacing w:line="360" w:lineRule="auto"/>
        <w:rPr>
          <w:rFonts w:hint="eastAsia" w:ascii="宋体" w:hAnsi="宋体" w:cs="宋体"/>
          <w:lang w:val="zh-CN"/>
        </w:rPr>
      </w:pPr>
      <w:r>
        <w:rPr>
          <w:rFonts w:hint="eastAsia" w:ascii="宋体" w:hAnsi="宋体" w:cs="宋体"/>
          <w:lang w:val="zh-CN"/>
        </w:rPr>
        <w:t>致：</w:t>
      </w:r>
    </w:p>
    <w:p>
      <w:pPr>
        <w:adjustRightInd w:val="0"/>
        <w:snapToGrid w:val="0"/>
        <w:spacing w:line="360" w:lineRule="auto"/>
        <w:rPr>
          <w:rFonts w:hint="eastAsia" w:ascii="宋体" w:hAnsi="宋体" w:cs="宋体"/>
          <w:lang w:val="zh-CN"/>
        </w:rPr>
      </w:pPr>
    </w:p>
    <w:p>
      <w:pPr>
        <w:adjustRightInd w:val="0"/>
        <w:snapToGrid w:val="0"/>
        <w:spacing w:line="360" w:lineRule="auto"/>
        <w:ind w:firstLine="482"/>
        <w:rPr>
          <w:rFonts w:hint="eastAsia" w:ascii="宋体" w:hAnsi="宋体" w:cs="宋体"/>
          <w:lang w:val="zh-CN"/>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　　　　　　</w:t>
      </w:r>
      <w:r>
        <w:rPr>
          <w:rFonts w:hint="eastAsia" w:ascii="宋体" w:hAnsi="宋体" w:cs="宋体"/>
          <w:szCs w:val="21"/>
        </w:rPr>
        <w:t>（法定代表人姓名、职务）代表本公司授权在下面签字的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szCs w:val="21"/>
          <w:u w:val="single"/>
        </w:rPr>
        <w:t xml:space="preserve">国家税务总局汕头市金平区税务局2025-2027年物业管理服务采购项目 </w:t>
      </w:r>
      <w:r>
        <w:rPr>
          <w:rFonts w:hint="eastAsia" w:ascii="宋体" w:hAnsi="宋体" w:cs="宋体"/>
          <w:u w:val="single"/>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u w:val="single"/>
          <w:lang w:val="zh-CN"/>
        </w:rPr>
        <w:t>）</w:t>
      </w:r>
      <w:r>
        <w:rPr>
          <w:rFonts w:hint="eastAsia" w:ascii="宋体" w:hAnsi="宋体" w:cs="宋体"/>
          <w:szCs w:val="21"/>
        </w:rPr>
        <w:t>的建设、供货及安装等相关服务的投标和合同执行，以我方的名义处理一切与之有关的事宜。</w:t>
      </w:r>
    </w:p>
    <w:p>
      <w:pPr>
        <w:adjustRightInd w:val="0"/>
        <w:snapToGrid w:val="0"/>
        <w:spacing w:line="360" w:lineRule="auto"/>
        <w:ind w:firstLine="482"/>
        <w:rPr>
          <w:rFonts w:hint="eastAsia" w:ascii="宋体" w:hAnsi="宋体" w:cs="宋体"/>
          <w:lang w:val="zh-CN"/>
        </w:rPr>
      </w:pPr>
    </w:p>
    <w:p>
      <w:pPr>
        <w:adjustRightInd w:val="0"/>
        <w:snapToGrid w:val="0"/>
        <w:spacing w:line="360" w:lineRule="auto"/>
        <w:ind w:firstLine="482"/>
        <w:rPr>
          <w:rFonts w:hint="eastAsia" w:ascii="宋体" w:hAnsi="宋体" w:cs="宋体"/>
          <w:lang w:val="zh-CN"/>
        </w:rPr>
      </w:pPr>
      <w:r>
        <w:rPr>
          <w:rFonts w:hint="eastAsia" w:ascii="宋体" w:hAnsi="宋体" w:cs="宋体"/>
          <w:lang w:val="zh-CN"/>
        </w:rPr>
        <w:t>本授权书于</w:t>
      </w:r>
      <w:r>
        <w:rPr>
          <w:rFonts w:hint="eastAsia" w:ascii="宋体" w:hAnsi="宋体" w:cs="宋体"/>
          <w:u w:val="single"/>
          <w:lang w:val="zh-CN"/>
        </w:rPr>
        <w:t>　　　　</w:t>
      </w:r>
      <w:r>
        <w:rPr>
          <w:rFonts w:hint="eastAsia" w:ascii="宋体" w:hAnsi="宋体" w:cs="宋体"/>
          <w:lang w:val="zh-CN"/>
        </w:rPr>
        <w:t>年</w:t>
      </w:r>
      <w:r>
        <w:rPr>
          <w:rFonts w:hint="eastAsia" w:ascii="宋体" w:hAnsi="宋体" w:cs="宋体"/>
          <w:u w:val="single"/>
          <w:lang w:val="zh-CN"/>
        </w:rPr>
        <w:t>　　</w:t>
      </w:r>
      <w:r>
        <w:rPr>
          <w:rFonts w:hint="eastAsia" w:ascii="宋体" w:hAnsi="宋体" w:cs="宋体"/>
          <w:lang w:val="zh-CN"/>
        </w:rPr>
        <w:t>月</w:t>
      </w:r>
      <w:r>
        <w:rPr>
          <w:rFonts w:hint="eastAsia" w:ascii="宋体" w:hAnsi="宋体" w:cs="宋体"/>
          <w:u w:val="single"/>
          <w:lang w:val="zh-CN"/>
        </w:rPr>
        <w:t>　　</w:t>
      </w:r>
      <w:r>
        <w:rPr>
          <w:rFonts w:hint="eastAsia" w:ascii="宋体" w:hAnsi="宋体" w:cs="宋体"/>
          <w:lang w:val="zh-CN"/>
        </w:rPr>
        <w:t>日签字生效，有效期至</w:t>
      </w:r>
      <w:r>
        <w:rPr>
          <w:rFonts w:hint="eastAsia" w:ascii="宋体" w:hAnsi="宋体" w:cs="宋体"/>
          <w:u w:val="single"/>
          <w:lang w:val="zh-CN"/>
        </w:rPr>
        <w:t>　　　　</w:t>
      </w:r>
      <w:r>
        <w:rPr>
          <w:rFonts w:hint="eastAsia" w:ascii="宋体" w:hAnsi="宋体" w:cs="宋体"/>
          <w:lang w:val="zh-CN"/>
        </w:rPr>
        <w:t>年</w:t>
      </w:r>
      <w:r>
        <w:rPr>
          <w:rFonts w:hint="eastAsia" w:ascii="宋体" w:hAnsi="宋体" w:cs="宋体"/>
          <w:u w:val="single"/>
          <w:lang w:val="zh-CN"/>
        </w:rPr>
        <w:t>　　</w:t>
      </w:r>
      <w:r>
        <w:rPr>
          <w:rFonts w:hint="eastAsia" w:ascii="宋体" w:hAnsi="宋体" w:cs="宋体"/>
          <w:lang w:val="zh-CN"/>
        </w:rPr>
        <w:t>月</w:t>
      </w:r>
      <w:r>
        <w:rPr>
          <w:rFonts w:hint="eastAsia" w:ascii="宋体" w:hAnsi="宋体" w:cs="宋体"/>
          <w:u w:val="single"/>
          <w:lang w:val="zh-CN"/>
        </w:rPr>
        <w:t>　　</w:t>
      </w:r>
      <w:r>
        <w:rPr>
          <w:rFonts w:hint="eastAsia" w:ascii="宋体" w:hAnsi="宋体" w:cs="宋体"/>
          <w:lang w:val="zh-CN"/>
        </w:rPr>
        <w:t>日，特此声明。</w:t>
      </w:r>
    </w:p>
    <w:p>
      <w:pPr>
        <w:adjustRightInd w:val="0"/>
        <w:snapToGrid w:val="0"/>
        <w:spacing w:line="360" w:lineRule="auto"/>
        <w:ind w:left="5040"/>
        <w:rPr>
          <w:rFonts w:hint="eastAsia" w:ascii="宋体" w:hAnsi="宋体" w:cs="宋体"/>
          <w:lang w:val="zh-CN"/>
        </w:rPr>
      </w:pPr>
    </w:p>
    <w:p>
      <w:pPr>
        <w:adjustRightInd w:val="0"/>
        <w:snapToGrid w:val="0"/>
        <w:spacing w:line="360" w:lineRule="auto"/>
        <w:ind w:left="5040"/>
        <w:rPr>
          <w:rFonts w:hint="eastAsia" w:ascii="宋体" w:hAnsi="宋体" w:cs="宋体"/>
          <w:lang w:val="zh-CN"/>
        </w:rPr>
      </w:pPr>
    </w:p>
    <w:p>
      <w:pPr>
        <w:adjustRightInd w:val="0"/>
        <w:snapToGrid w:val="0"/>
        <w:spacing w:line="360" w:lineRule="auto"/>
        <w:ind w:left="5040"/>
        <w:rPr>
          <w:rFonts w:hint="eastAsia" w:ascii="宋体" w:hAnsi="宋体" w:cs="宋体"/>
          <w:lang w:val="zh-CN"/>
        </w:rPr>
      </w:pPr>
      <w:r>
        <w:rPr>
          <w:rFonts w:hint="eastAsia" w:ascii="宋体" w:hAnsi="宋体" w:cs="宋体"/>
          <w:lang w:val="zh-CN"/>
        </w:rPr>
        <w:t>投标人（投标人公章）：</w:t>
      </w:r>
    </w:p>
    <w:p>
      <w:pPr>
        <w:adjustRightInd w:val="0"/>
        <w:snapToGrid w:val="0"/>
        <w:spacing w:line="360" w:lineRule="auto"/>
        <w:ind w:left="5040"/>
        <w:rPr>
          <w:rFonts w:hint="eastAsia" w:ascii="宋体" w:hAnsi="宋体" w:cs="宋体"/>
          <w:lang w:val="zh-CN"/>
        </w:rPr>
      </w:pPr>
      <w:r>
        <w:rPr>
          <w:rFonts w:hint="eastAsia" w:ascii="宋体" w:hAnsi="宋体" w:cs="宋体"/>
          <w:lang w:val="zh-CN"/>
        </w:rPr>
        <w:t>投标人地址：</w:t>
      </w:r>
    </w:p>
    <w:p>
      <w:pPr>
        <w:adjustRightInd w:val="0"/>
        <w:snapToGrid w:val="0"/>
        <w:spacing w:before="100" w:line="360" w:lineRule="auto"/>
        <w:ind w:left="5040"/>
        <w:rPr>
          <w:rFonts w:hint="eastAsia" w:ascii="宋体" w:hAnsi="宋体" w:cs="宋体"/>
          <w:lang w:val="zh-CN"/>
        </w:rPr>
      </w:pPr>
      <w:r>
        <w:rPr>
          <w:rFonts w:hint="eastAsia" w:ascii="宋体" w:hAnsi="宋体" w:cs="宋体"/>
          <w:lang w:val="zh-CN"/>
        </w:rPr>
        <w:t>法定代表人（签字或盖章）：</w:t>
      </w:r>
    </w:p>
    <w:p>
      <w:pPr>
        <w:adjustRightInd w:val="0"/>
        <w:snapToGrid w:val="0"/>
        <w:spacing w:after="100" w:line="360" w:lineRule="auto"/>
        <w:ind w:left="5040"/>
        <w:rPr>
          <w:rFonts w:hint="eastAsia" w:ascii="宋体" w:hAnsi="宋体" w:cs="宋体"/>
          <w:lang w:val="zh-CN"/>
        </w:rPr>
      </w:pPr>
      <w:r>
        <w:rPr>
          <w:rFonts w:hint="eastAsia" w:ascii="宋体" w:hAnsi="宋体" w:cs="宋体"/>
          <w:lang w:val="zh-CN"/>
        </w:rPr>
        <w:t>职　务：</w:t>
      </w:r>
    </w:p>
    <w:p>
      <w:pPr>
        <w:adjustRightInd w:val="0"/>
        <w:snapToGrid w:val="0"/>
        <w:spacing w:before="100" w:line="360" w:lineRule="auto"/>
        <w:ind w:left="5040"/>
        <w:rPr>
          <w:rFonts w:hint="eastAsia" w:ascii="宋体" w:hAnsi="宋体" w:cs="宋体"/>
          <w:lang w:val="zh-CN"/>
        </w:rPr>
      </w:pPr>
      <w:r>
        <w:rPr>
          <w:rFonts w:hint="eastAsia" w:ascii="宋体" w:hAnsi="宋体" w:cs="宋体"/>
          <w:lang w:val="zh-CN"/>
        </w:rPr>
        <w:t>被授权人（签字）：</w:t>
      </w:r>
    </w:p>
    <w:p>
      <w:pPr>
        <w:adjustRightInd w:val="0"/>
        <w:snapToGrid w:val="0"/>
        <w:spacing w:after="100" w:line="360" w:lineRule="auto"/>
        <w:ind w:left="5040"/>
        <w:rPr>
          <w:rFonts w:hint="eastAsia" w:ascii="宋体" w:hAnsi="宋体" w:cs="宋体"/>
          <w:lang w:val="zh-CN"/>
        </w:rPr>
      </w:pPr>
      <w:r>
        <w:rPr>
          <w:rFonts w:hint="eastAsia" w:ascii="宋体" w:hAnsi="宋体" w:cs="宋体"/>
          <w:lang w:val="zh-CN"/>
        </w:rPr>
        <w:t>职　务：</w:t>
      </w:r>
    </w:p>
    <w:p>
      <w:pPr>
        <w:spacing w:after="100" w:line="360" w:lineRule="auto"/>
        <w:rPr>
          <w:rFonts w:hint="eastAsia" w:ascii="宋体" w:hAnsi="宋体" w:cs="宋体"/>
          <w:lang w:val="zh-CN"/>
        </w:rPr>
      </w:pPr>
    </w:p>
    <w:p>
      <w:pPr>
        <w:spacing w:after="100" w:line="360" w:lineRule="auto"/>
        <w:rPr>
          <w:rFonts w:hint="eastAsia" w:ascii="宋体" w:hAnsi="宋体" w:cs="宋体"/>
          <w:b/>
          <w:lang w:val="zh-CN"/>
        </w:rPr>
      </w:pPr>
      <w:r>
        <w:rPr>
          <w:rFonts w:hint="eastAsia" w:ascii="宋体" w:hAnsi="宋体" w:cs="宋体"/>
          <w:lang w:val="zh-CN"/>
        </w:rPr>
        <w:t>注：法定代表人授权委托书实际有效期应不少于本投标文件有效期。</w:t>
      </w:r>
    </w:p>
    <w:p>
      <w:pPr>
        <w:spacing w:after="100" w:line="360" w:lineRule="auto"/>
        <w:rPr>
          <w:rFonts w:hint="eastAsia" w:ascii="宋体" w:hAnsi="宋体" w:cs="宋体"/>
          <w:b/>
          <w:lang w:val="zh-CN"/>
        </w:rPr>
      </w:pPr>
    </w:p>
    <w:p>
      <w:pPr>
        <w:spacing w:after="100" w:line="360" w:lineRule="auto"/>
        <w:rPr>
          <w:rFonts w:hint="eastAsia" w:ascii="宋体" w:hAnsi="宋体" w:cs="宋体"/>
          <w:lang w:val="zh-CN"/>
        </w:rPr>
      </w:pPr>
      <w:r>
        <w:rPr>
          <w:rFonts w:hint="eastAsia" w:ascii="宋体" w:hAnsi="宋体" w:cs="宋体"/>
          <w:b/>
          <w:lang w:val="zh-CN"/>
        </w:rPr>
        <w:t>以下空白处请附上被授权人身份证复印件（双面）</w:t>
      </w:r>
    </w:p>
    <w:p>
      <w:pPr>
        <w:adjustRightInd w:val="0"/>
        <w:snapToGrid w:val="0"/>
        <w:spacing w:line="360" w:lineRule="auto"/>
        <w:rPr>
          <w:rFonts w:hint="eastAsia" w:ascii="宋体" w:hAnsi="宋体" w:cs="宋体"/>
          <w:lang w:val="zh-CN"/>
        </w:rPr>
      </w:pPr>
    </w:p>
    <w:p>
      <w:pPr>
        <w:keepNext/>
        <w:keepLines/>
        <w:numPr>
          <w:ilvl w:val="0"/>
          <w:numId w:val="22"/>
        </w:numPr>
        <w:spacing w:line="360" w:lineRule="auto"/>
        <w:rPr>
          <w:rFonts w:hint="eastAsia" w:ascii="宋体" w:hAnsi="宋体" w:cs="宋体"/>
          <w:b/>
          <w:bCs/>
          <w:sz w:val="32"/>
          <w:szCs w:val="32"/>
        </w:rPr>
      </w:pPr>
      <w:r>
        <w:rPr>
          <w:rFonts w:hint="eastAsia" w:ascii="宋体" w:hAnsi="宋体" w:cs="宋体"/>
          <w:b/>
          <w:bCs/>
          <w:sz w:val="32"/>
          <w:szCs w:val="32"/>
        </w:rPr>
        <w:t>投标人必须满足以下条件之一：</w:t>
      </w:r>
    </w:p>
    <w:p>
      <w:pPr>
        <w:keepNext/>
        <w:keepLines/>
        <w:spacing w:line="360" w:lineRule="auto"/>
        <w:rPr>
          <w:rFonts w:hint="eastAsia" w:ascii="宋体" w:hAnsi="宋体" w:cs="宋体"/>
          <w:b/>
          <w:bCs/>
          <w:szCs w:val="24"/>
        </w:rPr>
      </w:pPr>
      <w:r>
        <w:rPr>
          <w:rFonts w:hint="eastAsia" w:ascii="宋体" w:hAnsi="宋体" w:cs="宋体"/>
          <w:b/>
          <w:bCs/>
          <w:szCs w:val="24"/>
        </w:rPr>
        <w:t>①具有《保安服务许可证》，投标时提交许可证复印件并加盖投标人公章</w:t>
      </w:r>
    </w:p>
    <w:p>
      <w:pPr>
        <w:keepNext/>
        <w:keepLines/>
        <w:spacing w:line="360" w:lineRule="auto"/>
        <w:rPr>
          <w:rFonts w:hint="eastAsia" w:ascii="宋体" w:hAnsi="宋体" w:cs="宋体"/>
          <w:b/>
          <w:bCs/>
          <w:szCs w:val="24"/>
        </w:rPr>
      </w:pPr>
      <w:r>
        <w:rPr>
          <w:rFonts w:hint="eastAsia" w:ascii="宋体" w:hAnsi="宋体" w:cs="宋体"/>
          <w:b/>
          <w:bCs/>
          <w:szCs w:val="24"/>
        </w:rPr>
        <w:t>②投标时承诺签订合同之后按《保安服务管理条例》的要求到公安机关备案（承诺函格式自拟）</w:t>
      </w: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tabs>
          <w:tab w:val="left" w:pos="525"/>
        </w:tabs>
        <w:adjustRightInd w:val="0"/>
        <w:snapToGrid w:val="0"/>
        <w:spacing w:before="120" w:after="120" w:line="360" w:lineRule="auto"/>
        <w:rPr>
          <w:rFonts w:hint="eastAsia" w:ascii="宋体" w:hAnsi="宋体" w:cs="宋体"/>
          <w:b/>
          <w:bCs/>
          <w:sz w:val="32"/>
          <w:szCs w:val="32"/>
        </w:rPr>
      </w:pPr>
    </w:p>
    <w:p>
      <w:pPr>
        <w:keepNext/>
        <w:keepLines/>
        <w:numPr>
          <w:ilvl w:val="0"/>
          <w:numId w:val="23"/>
        </w:numPr>
        <w:tabs>
          <w:tab w:val="left" w:pos="525"/>
        </w:tabs>
        <w:adjustRightInd w:val="0"/>
        <w:snapToGrid w:val="0"/>
        <w:spacing w:before="120" w:after="120" w:line="360" w:lineRule="auto"/>
        <w:rPr>
          <w:rFonts w:hint="eastAsia" w:ascii="宋体" w:hAnsi="宋体" w:cs="宋体"/>
          <w:b/>
          <w:bCs/>
          <w:sz w:val="32"/>
          <w:szCs w:val="32"/>
          <w:lang w:val="zh-CN"/>
        </w:rPr>
      </w:pPr>
      <w:r>
        <w:rPr>
          <w:rFonts w:hint="eastAsia" w:ascii="宋体" w:hAnsi="宋体" w:cs="宋体"/>
          <w:b/>
          <w:bCs/>
          <w:sz w:val="32"/>
          <w:szCs w:val="32"/>
          <w:lang w:val="zh-CN"/>
        </w:rPr>
        <w:t>有依法缴纳税收和社会保障资金的良好记录：提供2024年度任意1个月缴纳税收和社会保险的凭据证明材料复印件；如依法免税或不需要缴纳社会保障资金的，应提供相应文件证明。</w:t>
      </w: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keepNext/>
        <w:keepLines/>
        <w:tabs>
          <w:tab w:val="left" w:pos="525"/>
        </w:tabs>
        <w:adjustRightInd w:val="0"/>
        <w:snapToGrid w:val="0"/>
        <w:spacing w:before="120" w:after="120" w:line="360" w:lineRule="auto"/>
        <w:rPr>
          <w:rFonts w:hint="eastAsia" w:ascii="宋体" w:hAnsi="宋体" w:cs="宋体"/>
          <w:b/>
          <w:bCs/>
          <w:sz w:val="32"/>
          <w:szCs w:val="32"/>
          <w:lang w:val="zh-CN"/>
        </w:rPr>
      </w:pPr>
      <w:r>
        <w:rPr>
          <w:rFonts w:hint="eastAsia" w:ascii="宋体" w:hAnsi="宋体" w:cs="宋体"/>
          <w:b/>
          <w:bCs/>
          <w:sz w:val="32"/>
          <w:szCs w:val="32"/>
        </w:rPr>
        <w:t>七、具有良好的商业信誉和健全的财务会计制度：提供2023年度财务状况报告或2024年度任意1个月的财务状况报告复印件，或银行出具的资信证明材料复印件 。</w:t>
      </w:r>
    </w:p>
    <w:p>
      <w:pPr>
        <w:keepNext/>
        <w:keepLines/>
        <w:tabs>
          <w:tab w:val="left" w:pos="525"/>
        </w:tabs>
        <w:spacing w:before="260" w:after="260" w:line="360" w:lineRule="auto"/>
        <w:ind w:left="525" w:hanging="525"/>
        <w:rPr>
          <w:rFonts w:hint="eastAsia" w:ascii="宋体" w:hAnsi="宋体" w:cs="宋体"/>
        </w:rPr>
      </w:pPr>
    </w:p>
    <w:p>
      <w:pPr>
        <w:keepNext/>
        <w:keepLines/>
        <w:tabs>
          <w:tab w:val="left" w:pos="525"/>
        </w:tabs>
        <w:spacing w:before="260" w:after="260" w:line="360" w:lineRule="auto"/>
        <w:ind w:left="525" w:hanging="525"/>
        <w:rPr>
          <w:rFonts w:hint="eastAsia" w:ascii="宋体" w:hAnsi="宋体" w:cs="宋体"/>
          <w:b/>
          <w:bCs/>
          <w:sz w:val="32"/>
          <w:szCs w:val="32"/>
          <w:lang w:val="zh-CN"/>
        </w:rPr>
      </w:pPr>
      <w:r>
        <w:rPr>
          <w:rFonts w:hint="eastAsia" w:ascii="宋体" w:hAnsi="宋体" w:cs="宋体"/>
          <w:b/>
          <w:bCs/>
          <w:sz w:val="32"/>
          <w:szCs w:val="32"/>
          <w:lang w:val="zh-CN"/>
        </w:rPr>
        <w:br w:type="textWrapping"/>
      </w:r>
    </w:p>
    <w:p>
      <w:pPr>
        <w:pStyle w:val="59"/>
        <w:rPr>
          <w:rFonts w:hint="eastAsia" w:hAnsi="宋体" w:cs="宋体"/>
          <w:b/>
          <w:bCs/>
          <w:sz w:val="32"/>
          <w:szCs w:val="32"/>
          <w:lang w:val="zh-CN"/>
        </w:rPr>
      </w:pPr>
    </w:p>
    <w:p>
      <w:pPr>
        <w:pStyle w:val="59"/>
        <w:rPr>
          <w:rFonts w:hint="eastAsia" w:hAnsi="宋体" w:cs="宋体"/>
          <w:b/>
          <w:bCs/>
          <w:sz w:val="32"/>
          <w:szCs w:val="32"/>
          <w:lang w:val="zh-CN"/>
        </w:rPr>
      </w:pPr>
    </w:p>
    <w:p>
      <w:pPr>
        <w:pStyle w:val="59"/>
        <w:rPr>
          <w:rFonts w:hint="eastAsia" w:hAnsi="宋体" w:cs="宋体"/>
          <w:b/>
          <w:bCs/>
          <w:sz w:val="32"/>
          <w:szCs w:val="32"/>
          <w:lang w:val="zh-CN"/>
        </w:rPr>
      </w:pPr>
    </w:p>
    <w:p>
      <w:pPr>
        <w:pStyle w:val="59"/>
        <w:rPr>
          <w:rFonts w:hint="eastAsia" w:hAnsi="宋体" w:cs="宋体"/>
          <w:b/>
          <w:bCs/>
          <w:sz w:val="32"/>
          <w:szCs w:val="32"/>
          <w:lang w:val="zh-CN"/>
        </w:rPr>
      </w:pPr>
    </w:p>
    <w:p>
      <w:pPr>
        <w:pStyle w:val="59"/>
        <w:rPr>
          <w:rFonts w:hint="eastAsia" w:hAnsi="宋体" w:cs="宋体"/>
          <w:b/>
          <w:bCs/>
          <w:sz w:val="32"/>
          <w:szCs w:val="32"/>
          <w:lang w:val="zh-CN"/>
        </w:rPr>
      </w:pPr>
    </w:p>
    <w:p>
      <w:pPr>
        <w:pStyle w:val="59"/>
        <w:rPr>
          <w:rFonts w:hint="eastAsia" w:hAnsi="宋体" w:cs="宋体"/>
          <w:b/>
          <w:bCs/>
          <w:sz w:val="32"/>
          <w:szCs w:val="32"/>
          <w:lang w:val="zh-CN"/>
        </w:rPr>
      </w:pPr>
    </w:p>
    <w:p>
      <w:pPr>
        <w:pStyle w:val="59"/>
        <w:rPr>
          <w:rFonts w:hint="eastAsia" w:hAnsi="宋体" w:cs="宋体"/>
          <w:b/>
          <w:bCs/>
          <w:sz w:val="32"/>
          <w:szCs w:val="32"/>
          <w:lang w:val="zh-CN"/>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pStyle w:val="59"/>
        <w:rPr>
          <w:rFonts w:hint="eastAsia" w:hAnsi="宋体" w:cs="宋体"/>
        </w:rPr>
      </w:pPr>
    </w:p>
    <w:p>
      <w:pPr>
        <w:keepNext/>
        <w:keepLines/>
        <w:tabs>
          <w:tab w:val="left" w:pos="525"/>
        </w:tabs>
        <w:adjustRightInd w:val="0"/>
        <w:snapToGrid w:val="0"/>
        <w:spacing w:before="120" w:after="120" w:line="360" w:lineRule="auto"/>
        <w:rPr>
          <w:rFonts w:hint="eastAsia" w:ascii="宋体" w:hAnsi="宋体" w:cs="宋体"/>
          <w:b/>
          <w:bCs/>
          <w:sz w:val="32"/>
          <w:szCs w:val="32"/>
          <w:lang w:val="zh-CN"/>
        </w:rPr>
      </w:pPr>
      <w:r>
        <w:rPr>
          <w:rFonts w:hint="eastAsia" w:ascii="宋体" w:hAnsi="宋体" w:cs="宋体"/>
          <w:b/>
          <w:bCs/>
          <w:sz w:val="32"/>
          <w:szCs w:val="32"/>
        </w:rPr>
        <w:t>八、</w:t>
      </w:r>
      <w:r>
        <w:rPr>
          <w:rFonts w:hint="eastAsia" w:ascii="宋体" w:hAnsi="宋体" w:cs="宋体"/>
          <w:b/>
          <w:bCs/>
          <w:sz w:val="32"/>
          <w:szCs w:val="32"/>
          <w:lang w:val="zh-CN"/>
        </w:rPr>
        <w:t>参加政府采购活动前三年内在经营活动中没有重大违法记录的声明函</w:t>
      </w:r>
    </w:p>
    <w:p>
      <w:pPr>
        <w:pStyle w:val="2"/>
        <w:ind w:left="480" w:firstLine="482"/>
        <w:rPr>
          <w:rFonts w:hint="eastAsia" w:cs="宋体"/>
          <w:lang w:val="zh-CN"/>
        </w:rPr>
      </w:pPr>
    </w:p>
    <w:p>
      <w:pPr>
        <w:autoSpaceDE w:val="0"/>
        <w:autoSpaceDN w:val="0"/>
        <w:adjustRightInd w:val="0"/>
        <w:snapToGrid w:val="0"/>
        <w:spacing w:line="288" w:lineRule="auto"/>
        <w:jc w:val="center"/>
        <w:rPr>
          <w:rFonts w:hint="eastAsia" w:ascii="宋体" w:hAnsi="宋体" w:cs="宋体"/>
          <w:b/>
          <w:bCs/>
          <w:sz w:val="32"/>
          <w:szCs w:val="32"/>
        </w:rPr>
      </w:pPr>
      <w:r>
        <w:rPr>
          <w:rFonts w:hint="eastAsia" w:ascii="宋体" w:hAnsi="宋体" w:cs="宋体"/>
          <w:b/>
          <w:bCs/>
          <w:sz w:val="32"/>
          <w:szCs w:val="32"/>
        </w:rPr>
        <w:t>参加政府采购活动前三年内在经营活动中</w:t>
      </w:r>
    </w:p>
    <w:p>
      <w:pPr>
        <w:autoSpaceDE w:val="0"/>
        <w:autoSpaceDN w:val="0"/>
        <w:adjustRightInd w:val="0"/>
        <w:snapToGrid w:val="0"/>
        <w:spacing w:line="288" w:lineRule="auto"/>
        <w:jc w:val="center"/>
        <w:rPr>
          <w:rFonts w:hint="eastAsia" w:ascii="宋体" w:hAnsi="宋体" w:cs="宋体"/>
          <w:b/>
          <w:bCs/>
          <w:sz w:val="32"/>
          <w:szCs w:val="32"/>
        </w:rPr>
      </w:pPr>
      <w:r>
        <w:rPr>
          <w:rFonts w:hint="eastAsia" w:ascii="宋体" w:hAnsi="宋体" w:cs="宋体"/>
          <w:b/>
          <w:bCs/>
          <w:sz w:val="32"/>
          <w:szCs w:val="32"/>
        </w:rPr>
        <w:t>没有重大违法记录的声明函</w:t>
      </w:r>
    </w:p>
    <w:p>
      <w:pPr>
        <w:autoSpaceDE w:val="0"/>
        <w:autoSpaceDN w:val="0"/>
        <w:adjustRightInd w:val="0"/>
        <w:snapToGrid w:val="0"/>
        <w:spacing w:line="408" w:lineRule="auto"/>
        <w:jc w:val="left"/>
        <w:rPr>
          <w:rFonts w:hint="eastAsia" w:ascii="宋体" w:hAnsi="宋体" w:cs="宋体"/>
        </w:rPr>
      </w:pPr>
    </w:p>
    <w:p>
      <w:pPr>
        <w:autoSpaceDE w:val="0"/>
        <w:autoSpaceDN w:val="0"/>
        <w:adjustRightInd w:val="0"/>
        <w:snapToGrid w:val="0"/>
        <w:spacing w:line="408" w:lineRule="auto"/>
        <w:jc w:val="left"/>
        <w:rPr>
          <w:rFonts w:hint="eastAsia" w:ascii="宋体" w:hAnsi="宋体" w:cs="宋体"/>
        </w:rPr>
      </w:pPr>
      <w:r>
        <w:rPr>
          <w:rFonts w:hint="eastAsia" w:ascii="宋体" w:hAnsi="宋体" w:cs="宋体"/>
        </w:rPr>
        <w:t>致采购人、采购代理机构：</w:t>
      </w:r>
    </w:p>
    <w:p>
      <w:pPr>
        <w:autoSpaceDE w:val="0"/>
        <w:autoSpaceDN w:val="0"/>
        <w:adjustRightInd w:val="0"/>
        <w:snapToGrid w:val="0"/>
        <w:spacing w:line="408" w:lineRule="auto"/>
        <w:jc w:val="left"/>
        <w:rPr>
          <w:rFonts w:hint="eastAsia" w:ascii="宋体" w:hAnsi="宋体" w:cs="宋体"/>
          <w:sz w:val="10"/>
          <w:szCs w:val="10"/>
        </w:rPr>
      </w:pPr>
    </w:p>
    <w:p>
      <w:pPr>
        <w:autoSpaceDE w:val="0"/>
        <w:autoSpaceDN w:val="0"/>
        <w:adjustRightInd w:val="0"/>
        <w:snapToGrid w:val="0"/>
        <w:spacing w:line="408" w:lineRule="auto"/>
        <w:ind w:firstLine="480" w:firstLineChars="200"/>
        <w:jc w:val="left"/>
        <w:rPr>
          <w:rFonts w:hint="eastAsia" w:ascii="宋体" w:hAnsi="宋体" w:cs="宋体"/>
        </w:rPr>
      </w:pPr>
      <w:r>
        <w:rPr>
          <w:rFonts w:hint="eastAsia" w:ascii="宋体" w:hAnsi="宋体" w:cs="宋体"/>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jc w:val="left"/>
        <w:rPr>
          <w:rFonts w:hint="eastAsia" w:ascii="宋体" w:hAnsi="宋体" w:cs="宋体"/>
        </w:rPr>
      </w:pPr>
      <w:r>
        <w:rPr>
          <w:rFonts w:hint="eastAsia" w:ascii="宋体" w:hAnsi="宋体" w:cs="宋体"/>
        </w:rPr>
        <w:t>我司在参加本次政府采购活动前三年内，在经营活动中没有重大违法行为以及记录，未处于任何投标禁止期内。</w:t>
      </w:r>
    </w:p>
    <w:p>
      <w:pPr>
        <w:autoSpaceDE w:val="0"/>
        <w:autoSpaceDN w:val="0"/>
        <w:adjustRightInd w:val="0"/>
        <w:snapToGrid w:val="0"/>
        <w:spacing w:line="408" w:lineRule="auto"/>
        <w:ind w:firstLine="480" w:firstLineChars="200"/>
        <w:jc w:val="left"/>
        <w:rPr>
          <w:rFonts w:hint="eastAsia" w:ascii="宋体" w:hAnsi="宋体" w:cs="宋体"/>
        </w:rPr>
      </w:pPr>
      <w:r>
        <w:rPr>
          <w:rFonts w:hint="eastAsia" w:ascii="宋体" w:hAnsi="宋体" w:cs="宋体"/>
        </w:rPr>
        <w:t>我司对上述声明的真实性负责，如有虚假，将依法承担相应责任。特此声明！</w:t>
      </w:r>
    </w:p>
    <w:p>
      <w:pPr>
        <w:autoSpaceDE w:val="0"/>
        <w:autoSpaceDN w:val="0"/>
        <w:adjustRightInd w:val="0"/>
        <w:snapToGrid w:val="0"/>
        <w:spacing w:line="408" w:lineRule="auto"/>
        <w:jc w:val="left"/>
        <w:rPr>
          <w:rFonts w:hint="eastAsia" w:ascii="宋体" w:hAnsi="宋体" w:cs="宋体"/>
        </w:rPr>
      </w:pPr>
    </w:p>
    <w:p>
      <w:pPr>
        <w:autoSpaceDE w:val="0"/>
        <w:autoSpaceDN w:val="0"/>
        <w:adjustRightInd w:val="0"/>
        <w:snapToGrid w:val="0"/>
        <w:spacing w:line="408" w:lineRule="auto"/>
        <w:jc w:val="left"/>
        <w:rPr>
          <w:rFonts w:hint="eastAsia" w:ascii="宋体" w:hAnsi="宋体" w:cs="宋体"/>
        </w:rPr>
      </w:pPr>
    </w:p>
    <w:p>
      <w:pPr>
        <w:autoSpaceDE w:val="0"/>
        <w:autoSpaceDN w:val="0"/>
        <w:adjustRightInd w:val="0"/>
        <w:snapToGrid w:val="0"/>
        <w:spacing w:line="408" w:lineRule="auto"/>
        <w:ind w:firstLine="3840" w:firstLineChars="1600"/>
        <w:jc w:val="left"/>
        <w:rPr>
          <w:rFonts w:hint="eastAsia" w:ascii="宋体" w:hAnsi="宋体" w:cs="宋体"/>
        </w:rPr>
      </w:pPr>
      <w:r>
        <w:rPr>
          <w:rFonts w:hint="eastAsia" w:ascii="宋体" w:hAnsi="宋体" w:cs="宋体"/>
        </w:rPr>
        <w:t>投标人：（投标人公章）</w:t>
      </w:r>
    </w:p>
    <w:p>
      <w:pPr>
        <w:autoSpaceDE w:val="0"/>
        <w:autoSpaceDN w:val="0"/>
        <w:adjustRightInd w:val="0"/>
        <w:snapToGrid w:val="0"/>
        <w:spacing w:line="408" w:lineRule="auto"/>
        <w:ind w:firstLine="3840" w:firstLineChars="1600"/>
        <w:jc w:val="left"/>
        <w:rPr>
          <w:rFonts w:hint="eastAsia" w:ascii="宋体" w:hAnsi="宋体" w:cs="宋体"/>
        </w:rPr>
      </w:pPr>
      <w:r>
        <w:rPr>
          <w:rFonts w:hint="eastAsia" w:ascii="宋体" w:hAnsi="宋体" w:cs="宋体"/>
        </w:rPr>
        <w:t>法定代表人或其授权代表签名：</w:t>
      </w:r>
    </w:p>
    <w:p>
      <w:pPr>
        <w:autoSpaceDE w:val="0"/>
        <w:autoSpaceDN w:val="0"/>
        <w:adjustRightInd w:val="0"/>
        <w:snapToGrid w:val="0"/>
        <w:spacing w:line="408" w:lineRule="auto"/>
        <w:ind w:firstLine="3840" w:firstLineChars="1600"/>
        <w:jc w:val="left"/>
        <w:rPr>
          <w:rFonts w:hint="eastAsia" w:ascii="宋体" w:hAnsi="宋体" w:cs="宋体"/>
        </w:rPr>
      </w:pPr>
      <w:r>
        <w:rPr>
          <w:rFonts w:hint="eastAsia" w:ascii="宋体" w:hAnsi="宋体" w:cs="宋体"/>
        </w:rPr>
        <w:t>日　期：      年    月    日</w:t>
      </w:r>
    </w:p>
    <w:p>
      <w:pPr>
        <w:pStyle w:val="2"/>
        <w:ind w:left="960" w:leftChars="400" w:firstLine="0" w:firstLineChars="0"/>
        <w:rPr>
          <w:rFonts w:hint="eastAsia" w:cs="宋体"/>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rPr>
          <w:rFonts w:hint="eastAsia" w:ascii="宋体"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keepNext/>
        <w:keepLines/>
        <w:tabs>
          <w:tab w:val="left" w:pos="525"/>
        </w:tabs>
        <w:spacing w:before="260" w:after="260" w:line="360" w:lineRule="auto"/>
        <w:ind w:left="525" w:hanging="525"/>
        <w:rPr>
          <w:rFonts w:ascii="宋体" w:hAnsi="宋体" w:cs="宋体"/>
          <w:b/>
          <w:bCs/>
          <w:sz w:val="32"/>
          <w:szCs w:val="32"/>
        </w:rPr>
      </w:pPr>
      <w:bookmarkStart w:id="229" w:name="_Toc268515023"/>
    </w:p>
    <w:p>
      <w:pPr>
        <w:keepNext/>
        <w:keepLines/>
        <w:tabs>
          <w:tab w:val="left" w:pos="525"/>
        </w:tabs>
        <w:spacing w:before="260" w:after="260" w:line="360" w:lineRule="auto"/>
        <w:ind w:left="525" w:hanging="525"/>
        <w:rPr>
          <w:rFonts w:hint="eastAsia" w:ascii="宋体" w:hAnsi="宋体" w:cs="宋体"/>
          <w:b/>
          <w:bCs/>
          <w:sz w:val="32"/>
          <w:szCs w:val="32"/>
          <w:lang w:val="zh-CN"/>
        </w:rPr>
      </w:pPr>
      <w:r>
        <w:rPr>
          <w:rFonts w:hint="eastAsia" w:ascii="宋体" w:hAnsi="宋体" w:cs="宋体"/>
          <w:b/>
          <w:bCs/>
          <w:sz w:val="32"/>
          <w:szCs w:val="32"/>
        </w:rPr>
        <w:t>`九</w:t>
      </w:r>
      <w:r>
        <w:rPr>
          <w:rFonts w:hint="eastAsia" w:ascii="宋体" w:hAnsi="宋体" w:cs="宋体"/>
          <w:b/>
          <w:bCs/>
          <w:sz w:val="32"/>
          <w:szCs w:val="32"/>
          <w:lang w:val="zh-CN"/>
        </w:rPr>
        <w:t>、</w:t>
      </w:r>
      <w:bookmarkEnd w:id="229"/>
      <w:r>
        <w:rPr>
          <w:rFonts w:hint="eastAsia" w:ascii="宋体" w:hAnsi="宋体" w:cs="宋体"/>
          <w:b/>
          <w:bCs/>
          <w:sz w:val="32"/>
          <w:szCs w:val="32"/>
          <w:lang w:val="zh-CN"/>
        </w:rPr>
        <w:t>投标人未被列入</w:t>
      </w:r>
      <w:r>
        <w:rPr>
          <w:rFonts w:hint="eastAsia" w:ascii="宋体" w:hAnsi="宋体" w:cs="宋体"/>
          <w:b/>
          <w:bCs/>
          <w:sz w:val="32"/>
          <w:szCs w:val="32"/>
        </w:rPr>
        <w:t>“</w:t>
      </w:r>
      <w:r>
        <w:rPr>
          <w:rFonts w:hint="eastAsia" w:ascii="宋体" w:hAnsi="宋体" w:cs="宋体"/>
          <w:b/>
          <w:bCs/>
          <w:sz w:val="32"/>
          <w:szCs w:val="32"/>
          <w:lang w:val="zh-CN"/>
        </w:rPr>
        <w:t>信用中国</w:t>
      </w:r>
      <w:r>
        <w:rPr>
          <w:rFonts w:hint="eastAsia" w:ascii="宋体" w:hAnsi="宋体" w:cs="宋体"/>
          <w:b/>
          <w:bCs/>
          <w:sz w:val="32"/>
          <w:szCs w:val="32"/>
        </w:rPr>
        <w:t>”</w:t>
      </w:r>
      <w:r>
        <w:rPr>
          <w:rFonts w:hint="eastAsia" w:ascii="宋体" w:hAnsi="宋体" w:cs="宋体"/>
          <w:b/>
          <w:bCs/>
          <w:sz w:val="32"/>
          <w:szCs w:val="32"/>
          <w:lang w:val="zh-CN"/>
        </w:rPr>
        <w:t>网站</w:t>
      </w:r>
      <w:r>
        <w:rPr>
          <w:rFonts w:hint="eastAsia" w:ascii="宋体" w:hAnsi="宋体" w:cs="宋体"/>
          <w:b/>
          <w:bCs/>
          <w:sz w:val="32"/>
          <w:szCs w:val="32"/>
        </w:rPr>
        <w:t>(www.creditchina.gov.cn)“</w:t>
      </w:r>
      <w:r>
        <w:rPr>
          <w:rFonts w:hint="eastAsia" w:ascii="宋体" w:hAnsi="宋体" w:cs="宋体"/>
          <w:b/>
          <w:bCs/>
          <w:sz w:val="32"/>
          <w:szCs w:val="32"/>
          <w:lang w:val="zh-CN"/>
        </w:rPr>
        <w:t>记录失信被执行人或重大税收违法</w:t>
      </w:r>
      <w:r>
        <w:rPr>
          <w:rFonts w:hint="eastAsia" w:hAnsi="宋体" w:cs="宋体"/>
          <w:b/>
          <w:bCs/>
          <w:kern w:val="2"/>
          <w:sz w:val="32"/>
          <w:szCs w:val="32"/>
        </w:rPr>
        <w:t>失信主体或政府采购严重违法失信行为</w:t>
      </w:r>
      <w:r>
        <w:rPr>
          <w:rFonts w:hint="eastAsia" w:ascii="宋体" w:hAnsi="宋体" w:cs="宋体"/>
          <w:b/>
          <w:bCs/>
          <w:sz w:val="32"/>
          <w:szCs w:val="32"/>
        </w:rPr>
        <w:t>”</w:t>
      </w:r>
      <w:r>
        <w:rPr>
          <w:rFonts w:hint="eastAsia" w:ascii="宋体" w:hAnsi="宋体" w:cs="宋体"/>
          <w:b/>
          <w:bCs/>
          <w:sz w:val="32"/>
          <w:szCs w:val="32"/>
          <w:lang w:val="zh-CN"/>
        </w:rPr>
        <w:t>记录名单</w:t>
      </w:r>
      <w:r>
        <w:rPr>
          <w:rFonts w:hint="eastAsia" w:ascii="宋体" w:hAnsi="宋体" w:cs="宋体"/>
          <w:b/>
          <w:bCs/>
          <w:sz w:val="32"/>
          <w:szCs w:val="32"/>
        </w:rPr>
        <w:t>；</w:t>
      </w:r>
      <w:r>
        <w:rPr>
          <w:rFonts w:hint="eastAsia" w:ascii="宋体" w:hAnsi="宋体" w:cs="宋体"/>
          <w:b/>
          <w:bCs/>
          <w:sz w:val="32"/>
          <w:szCs w:val="32"/>
          <w:lang w:val="zh-CN"/>
        </w:rPr>
        <w:t>不处于中国政府采购网</w:t>
      </w:r>
      <w:r>
        <w:rPr>
          <w:rFonts w:hint="eastAsia" w:ascii="宋体" w:hAnsi="宋体" w:cs="宋体"/>
          <w:b/>
          <w:bCs/>
          <w:sz w:val="32"/>
          <w:szCs w:val="32"/>
        </w:rPr>
        <w:t>(www.ccgp.gov.cn)“</w:t>
      </w:r>
      <w:r>
        <w:rPr>
          <w:rFonts w:hint="eastAsia" w:ascii="宋体" w:hAnsi="宋体" w:cs="宋体"/>
          <w:b/>
          <w:bCs/>
          <w:sz w:val="32"/>
          <w:szCs w:val="32"/>
          <w:lang w:val="zh-CN"/>
        </w:rPr>
        <w:t>政府采购严重违法失信行为信息记录</w:t>
      </w:r>
      <w:r>
        <w:rPr>
          <w:rFonts w:hint="eastAsia" w:ascii="宋体" w:hAnsi="宋体" w:cs="宋体"/>
          <w:b/>
          <w:bCs/>
          <w:sz w:val="32"/>
          <w:szCs w:val="32"/>
        </w:rPr>
        <w:t>”</w:t>
      </w:r>
      <w:r>
        <w:rPr>
          <w:rFonts w:hint="eastAsia" w:ascii="宋体" w:hAnsi="宋体" w:cs="宋体"/>
          <w:b/>
          <w:bCs/>
          <w:sz w:val="32"/>
          <w:szCs w:val="32"/>
          <w:lang w:val="zh-CN"/>
        </w:rPr>
        <w:t>中的禁止参加政府采购活动期间。（加盖投标人公章）</w:t>
      </w:r>
    </w:p>
    <w:p>
      <w:pPr>
        <w:spacing w:line="360" w:lineRule="auto"/>
        <w:rPr>
          <w:rFonts w:hint="eastAsia" w:ascii="宋体" w:hAnsi="宋体" w:cs="宋体"/>
          <w:szCs w:val="21"/>
        </w:rPr>
      </w:pPr>
    </w:p>
    <w:p>
      <w:pPr>
        <w:spacing w:line="360" w:lineRule="auto"/>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rPr>
          <w:rFonts w:hint="eastAsia" w:ascii="宋体" w:hAnsi="宋体" w:cs="宋体"/>
        </w:rPr>
      </w:pPr>
    </w:p>
    <w:p>
      <w:pPr>
        <w:pStyle w:val="5"/>
        <w:rPr>
          <w:rFonts w:hint="eastAsia" w:hAnsi="宋体" w:cs="宋体"/>
        </w:rPr>
      </w:pPr>
    </w:p>
    <w:p>
      <w:pPr>
        <w:spacing w:line="360" w:lineRule="auto"/>
        <w:rPr>
          <w:rFonts w:hint="eastAsia" w:ascii="宋体" w:hAnsi="宋体" w:cs="宋体"/>
          <w:b/>
          <w:sz w:val="28"/>
          <w:szCs w:val="28"/>
        </w:rPr>
      </w:pPr>
      <w:r>
        <w:rPr>
          <w:rFonts w:hint="eastAsia" w:ascii="宋体" w:hAnsi="宋体" w:cs="宋体"/>
          <w:b/>
          <w:bCs/>
          <w:sz w:val="32"/>
          <w:szCs w:val="32"/>
          <w:lang w:val="zh-CN"/>
        </w:rPr>
        <w:t>十、投标人资格声明函</w:t>
      </w:r>
    </w:p>
    <w:p>
      <w:pPr>
        <w:jc w:val="center"/>
        <w:rPr>
          <w:rFonts w:hint="eastAsia" w:ascii="宋体" w:hAnsi="宋体" w:cs="宋体"/>
          <w:b/>
          <w:bCs/>
          <w:sz w:val="32"/>
          <w:szCs w:val="32"/>
          <w:lang w:val="zh-CN"/>
        </w:rPr>
      </w:pPr>
      <w:bookmarkStart w:id="230" w:name="_Toc435514855"/>
      <w:bookmarkStart w:id="231" w:name="_Toc435515295"/>
      <w:bookmarkStart w:id="232" w:name="_Toc275865606"/>
      <w:r>
        <w:rPr>
          <w:rFonts w:hint="eastAsia" w:ascii="宋体" w:hAnsi="宋体" w:cs="宋体"/>
          <w:b/>
          <w:bCs/>
          <w:sz w:val="32"/>
          <w:szCs w:val="32"/>
          <w:lang w:val="zh-CN"/>
        </w:rPr>
        <w:t>投标人资格声明函</w:t>
      </w:r>
      <w:bookmarkEnd w:id="230"/>
      <w:bookmarkEnd w:id="231"/>
      <w:bookmarkEnd w:id="232"/>
    </w:p>
    <w:p>
      <w:pPr>
        <w:snapToGrid w:val="0"/>
        <w:spacing w:before="120" w:beforeLines="50" w:line="360" w:lineRule="auto"/>
        <w:ind w:firstLine="444" w:firstLineChars="202"/>
        <w:rPr>
          <w:rFonts w:hint="eastAsia" w:ascii="宋体" w:hAnsi="宋体" w:cs="宋体"/>
          <w:sz w:val="22"/>
          <w:szCs w:val="18"/>
        </w:rPr>
      </w:pPr>
      <w:r>
        <w:rPr>
          <w:rFonts w:hint="eastAsia" w:ascii="宋体" w:hAnsi="宋体" w:cs="宋体"/>
          <w:sz w:val="22"/>
          <w:szCs w:val="18"/>
        </w:rPr>
        <w:t>关于贵公司</w:t>
      </w:r>
      <w:r>
        <w:rPr>
          <w:rFonts w:hint="eastAsia" w:ascii="宋体" w:hAnsi="宋体" w:cs="宋体"/>
          <w:sz w:val="22"/>
          <w:szCs w:val="18"/>
          <w:u w:val="single"/>
        </w:rPr>
        <w:t>　 　</w:t>
      </w:r>
      <w:r>
        <w:rPr>
          <w:rFonts w:hint="eastAsia" w:ascii="宋体" w:hAnsi="宋体" w:cs="宋体"/>
          <w:sz w:val="22"/>
          <w:szCs w:val="18"/>
        </w:rPr>
        <w:t>年</w:t>
      </w:r>
      <w:r>
        <w:rPr>
          <w:rFonts w:hint="eastAsia" w:ascii="宋体" w:hAnsi="宋体" w:cs="宋体"/>
          <w:sz w:val="22"/>
          <w:szCs w:val="18"/>
          <w:u w:val="single"/>
        </w:rPr>
        <w:t>　　</w:t>
      </w:r>
      <w:r>
        <w:rPr>
          <w:rFonts w:hint="eastAsia" w:ascii="宋体" w:hAnsi="宋体" w:cs="宋体"/>
          <w:sz w:val="22"/>
          <w:szCs w:val="18"/>
        </w:rPr>
        <w:t>月</w:t>
      </w:r>
      <w:r>
        <w:rPr>
          <w:rFonts w:hint="eastAsia" w:ascii="宋体" w:hAnsi="宋体" w:cs="宋体"/>
          <w:sz w:val="22"/>
          <w:szCs w:val="18"/>
          <w:u w:val="single"/>
        </w:rPr>
        <w:t>　　</w:t>
      </w:r>
      <w:r>
        <w:rPr>
          <w:rFonts w:hint="eastAsia" w:ascii="宋体" w:hAnsi="宋体" w:cs="宋体"/>
          <w:sz w:val="22"/>
          <w:szCs w:val="18"/>
        </w:rPr>
        <w:t>日发布</w:t>
      </w:r>
      <w:r>
        <w:rPr>
          <w:rFonts w:hint="eastAsia" w:ascii="宋体" w:hAnsi="宋体" w:cs="宋体"/>
          <w:sz w:val="22"/>
          <w:szCs w:val="18"/>
          <w:u w:val="single"/>
        </w:rPr>
        <w:t xml:space="preserve">国家税务总局汕头市金平区税务局2025-2027年物业管理服务采购项目 </w:t>
      </w:r>
      <w:r>
        <w:rPr>
          <w:rFonts w:hint="eastAsia" w:ascii="宋体" w:hAnsi="宋体" w:cs="宋体"/>
          <w:sz w:val="22"/>
          <w:szCs w:val="18"/>
        </w:rPr>
        <w:t>（项目编号：</w:t>
      </w:r>
      <w:r>
        <w:rPr>
          <w:rFonts w:hint="eastAsia" w:ascii="宋体" w:hAnsi="宋体" w:cs="宋体"/>
          <w:sz w:val="22"/>
          <w:szCs w:val="18"/>
          <w:u w:val="single"/>
        </w:rPr>
        <w:t xml:space="preserve">          </w:t>
      </w:r>
      <w:r>
        <w:rPr>
          <w:rFonts w:hint="eastAsia" w:ascii="宋体" w:hAnsi="宋体" w:cs="宋体"/>
          <w:sz w:val="22"/>
          <w:szCs w:val="18"/>
        </w:rPr>
        <w:t>）的采购公告，本公司（企业）愿意参加投标，并声明：</w:t>
      </w:r>
    </w:p>
    <w:p>
      <w:pPr>
        <w:pStyle w:val="260"/>
        <w:numPr>
          <w:ilvl w:val="0"/>
          <w:numId w:val="24"/>
        </w:numPr>
        <w:snapToGrid w:val="0"/>
        <w:spacing w:line="360" w:lineRule="auto"/>
        <w:ind w:firstLineChars="0"/>
        <w:rPr>
          <w:rFonts w:hint="eastAsia" w:ascii="宋体" w:hAnsi="宋体" w:cs="宋体"/>
          <w:bCs/>
          <w:sz w:val="22"/>
          <w:szCs w:val="21"/>
        </w:rPr>
      </w:pPr>
      <w:r>
        <w:rPr>
          <w:rFonts w:hint="eastAsia" w:ascii="宋体" w:hAnsi="宋体" w:cs="宋体"/>
          <w:sz w:val="22"/>
          <w:szCs w:val="21"/>
        </w:rPr>
        <w:t>本公司（企业）</w:t>
      </w:r>
      <w:r>
        <w:rPr>
          <w:rFonts w:hint="eastAsia" w:ascii="宋体" w:hAnsi="宋体" w:cs="宋体"/>
          <w:bCs/>
          <w:sz w:val="22"/>
          <w:szCs w:val="21"/>
        </w:rPr>
        <w:t>具备《中华人民共和国政府采购法》第二十二条规定的条件：</w:t>
      </w:r>
    </w:p>
    <w:p>
      <w:pPr>
        <w:widowControl/>
        <w:spacing w:line="360" w:lineRule="auto"/>
        <w:ind w:firstLine="360"/>
        <w:rPr>
          <w:rFonts w:hint="eastAsia" w:ascii="宋体" w:hAnsi="宋体" w:cs="宋体"/>
          <w:sz w:val="22"/>
        </w:rPr>
      </w:pPr>
      <w:r>
        <w:rPr>
          <w:rFonts w:hint="eastAsia" w:ascii="宋体" w:hAnsi="宋体" w:cs="宋体"/>
          <w:sz w:val="22"/>
        </w:rPr>
        <w:t>（一）具有独立承担民事责任的能力；</w:t>
      </w:r>
    </w:p>
    <w:p>
      <w:pPr>
        <w:widowControl/>
        <w:spacing w:line="360" w:lineRule="auto"/>
        <w:ind w:firstLine="360"/>
        <w:rPr>
          <w:rFonts w:hint="eastAsia" w:ascii="宋体" w:hAnsi="宋体" w:cs="宋体"/>
          <w:sz w:val="22"/>
        </w:rPr>
      </w:pPr>
      <w:r>
        <w:rPr>
          <w:rFonts w:hint="eastAsia" w:ascii="宋体" w:hAnsi="宋体" w:cs="宋体"/>
          <w:sz w:val="22"/>
        </w:rPr>
        <w:t xml:space="preserve">（二）具有良好的商业信誉和健全的财务会计制度； </w:t>
      </w:r>
    </w:p>
    <w:p>
      <w:pPr>
        <w:widowControl/>
        <w:spacing w:line="360" w:lineRule="auto"/>
        <w:ind w:firstLine="360"/>
        <w:rPr>
          <w:rFonts w:hint="eastAsia" w:ascii="宋体" w:hAnsi="宋体" w:cs="宋体"/>
          <w:sz w:val="22"/>
        </w:rPr>
      </w:pPr>
      <w:r>
        <w:rPr>
          <w:rFonts w:hint="eastAsia" w:ascii="宋体" w:hAnsi="宋体" w:cs="宋体"/>
          <w:sz w:val="22"/>
        </w:rPr>
        <w:t>（三）具有履行合同所必需的设备和专业技术能力；</w:t>
      </w:r>
    </w:p>
    <w:p>
      <w:pPr>
        <w:widowControl/>
        <w:spacing w:line="360" w:lineRule="auto"/>
        <w:ind w:firstLine="360"/>
        <w:rPr>
          <w:rFonts w:hint="eastAsia" w:ascii="宋体" w:hAnsi="宋体" w:cs="宋体"/>
          <w:sz w:val="22"/>
        </w:rPr>
      </w:pPr>
      <w:r>
        <w:rPr>
          <w:rFonts w:hint="eastAsia" w:ascii="宋体" w:hAnsi="宋体" w:cs="宋体"/>
          <w:sz w:val="22"/>
        </w:rPr>
        <w:t>（四）有依法缴纳税收和社会保障资金的良好记录；</w:t>
      </w:r>
    </w:p>
    <w:p>
      <w:pPr>
        <w:widowControl/>
        <w:spacing w:line="360" w:lineRule="auto"/>
        <w:ind w:firstLine="360"/>
        <w:rPr>
          <w:rFonts w:hint="eastAsia" w:ascii="宋体" w:hAnsi="宋体" w:cs="宋体"/>
          <w:sz w:val="22"/>
        </w:rPr>
      </w:pPr>
      <w:r>
        <w:rPr>
          <w:rFonts w:hint="eastAsia" w:ascii="宋体" w:hAnsi="宋体" w:cs="宋体"/>
          <w:sz w:val="22"/>
        </w:rPr>
        <w:t>（五）参加政府采购活动前三年内，在经营活动中没有重大违法记录；</w:t>
      </w:r>
    </w:p>
    <w:p>
      <w:pPr>
        <w:widowControl/>
        <w:spacing w:line="360" w:lineRule="auto"/>
        <w:ind w:firstLine="360"/>
        <w:rPr>
          <w:rFonts w:hint="eastAsia" w:ascii="宋体" w:hAnsi="宋体" w:cs="宋体"/>
          <w:sz w:val="22"/>
        </w:rPr>
      </w:pPr>
      <w:r>
        <w:rPr>
          <w:rFonts w:hint="eastAsia" w:ascii="宋体" w:hAnsi="宋体" w:cs="宋体"/>
          <w:sz w:val="22"/>
        </w:rPr>
        <w:t>（六）法律、行政法规规定的其他条件。</w:t>
      </w:r>
    </w:p>
    <w:p>
      <w:pPr>
        <w:pStyle w:val="260"/>
        <w:numPr>
          <w:ilvl w:val="0"/>
          <w:numId w:val="24"/>
        </w:numPr>
        <w:snapToGrid w:val="0"/>
        <w:spacing w:line="360" w:lineRule="auto"/>
        <w:ind w:firstLineChars="0"/>
        <w:rPr>
          <w:rFonts w:hint="eastAsia" w:ascii="宋体" w:hAnsi="宋体" w:cs="宋体"/>
          <w:bCs/>
          <w:sz w:val="22"/>
          <w:szCs w:val="22"/>
        </w:rPr>
      </w:pPr>
      <w:r>
        <w:rPr>
          <w:rFonts w:hint="eastAsia" w:ascii="宋体" w:hAnsi="宋体" w:cs="宋体"/>
          <w:sz w:val="22"/>
          <w:szCs w:val="21"/>
        </w:rPr>
        <w:t>根据《财政部关于信息系统建设项目采购有关问题的通知》（财库[2011]59号）的规定，本公司（企业）及附属机构，并非受托为本项目</w:t>
      </w:r>
      <w:r>
        <w:rPr>
          <w:rFonts w:hint="eastAsia" w:ascii="宋体" w:hAnsi="宋体" w:cs="宋体"/>
          <w:bCs/>
          <w:sz w:val="22"/>
          <w:szCs w:val="22"/>
        </w:rPr>
        <w:t>（包组）</w:t>
      </w:r>
      <w:r>
        <w:rPr>
          <w:rFonts w:hint="eastAsia" w:ascii="宋体" w:hAnsi="宋体" w:cs="宋体"/>
          <w:sz w:val="22"/>
          <w:szCs w:val="21"/>
        </w:rPr>
        <w:t>或者其中分项目的前期工作提供设计、编制规范、进行管理等服务的投标人。</w:t>
      </w:r>
    </w:p>
    <w:p>
      <w:pPr>
        <w:pStyle w:val="260"/>
        <w:numPr>
          <w:ilvl w:val="0"/>
          <w:numId w:val="24"/>
        </w:numPr>
        <w:snapToGrid w:val="0"/>
        <w:spacing w:line="360" w:lineRule="auto"/>
        <w:ind w:firstLineChars="0"/>
        <w:rPr>
          <w:rFonts w:hint="eastAsia" w:ascii="宋体" w:hAnsi="宋体" w:cs="宋体"/>
          <w:sz w:val="22"/>
          <w:szCs w:val="21"/>
        </w:rPr>
      </w:pPr>
      <w:r>
        <w:rPr>
          <w:rFonts w:hint="eastAsia" w:ascii="宋体" w:hAnsi="宋体" w:cs="宋体"/>
          <w:bCs/>
          <w:sz w:val="22"/>
          <w:szCs w:val="22"/>
        </w:rPr>
        <w:t>根据《中华人民共和国政府采购法实施条例》的规定，本公司（企业）如为采购项目提供整体设计、规范编制或者项目管理、监理、检测等服务的投标人，不再参加该采购项目的其他采购活动。</w:t>
      </w:r>
    </w:p>
    <w:p>
      <w:pPr>
        <w:pStyle w:val="260"/>
        <w:numPr>
          <w:ilvl w:val="0"/>
          <w:numId w:val="24"/>
        </w:numPr>
        <w:snapToGrid w:val="0"/>
        <w:spacing w:line="360" w:lineRule="auto"/>
        <w:ind w:firstLineChars="0"/>
        <w:rPr>
          <w:rFonts w:hint="eastAsia" w:ascii="宋体" w:hAnsi="宋体" w:cs="宋体"/>
          <w:sz w:val="22"/>
          <w:szCs w:val="21"/>
        </w:rPr>
      </w:pPr>
      <w:r>
        <w:rPr>
          <w:rFonts w:hint="eastAsia" w:ascii="宋体" w:hAnsi="宋体" w:cs="宋体"/>
          <w:sz w:val="22"/>
          <w:szCs w:val="22"/>
        </w:rPr>
        <w:t>我方承诺单位负责人为同一人或者存在直接控股、管理关系的不同投标人，不得同时参加本采购项目（包组）投标。</w:t>
      </w:r>
    </w:p>
    <w:p>
      <w:pPr>
        <w:snapToGrid w:val="0"/>
        <w:spacing w:line="360" w:lineRule="auto"/>
        <w:ind w:firstLine="444" w:firstLineChars="202"/>
        <w:rPr>
          <w:rFonts w:hint="eastAsia" w:ascii="宋体" w:hAnsi="宋体" w:cs="宋体"/>
          <w:sz w:val="22"/>
          <w:szCs w:val="18"/>
        </w:rPr>
      </w:pPr>
      <w:r>
        <w:rPr>
          <w:rFonts w:hint="eastAsia" w:ascii="宋体" w:hAnsi="宋体" w:cs="宋体"/>
          <w:sz w:val="22"/>
          <w:szCs w:val="18"/>
        </w:rPr>
        <w:t>本公司（企业）承诺在本次采购活动中，如有违法、违规</w:t>
      </w:r>
      <w:r>
        <w:rPr>
          <w:rFonts w:hint="eastAsia" w:ascii="宋体" w:hAnsi="宋体" w:cs="宋体"/>
          <w:sz w:val="22"/>
        </w:rPr>
        <w:t>、</w:t>
      </w:r>
      <w:r>
        <w:rPr>
          <w:rFonts w:hint="eastAsia" w:ascii="宋体" w:hAnsi="宋体" w:cs="宋体"/>
          <w:sz w:val="22"/>
          <w:szCs w:val="18"/>
        </w:rPr>
        <w:t>弄虚作假行为，所造成的损失、不良后果及法律责任，一律由我公司（企业）承担。</w:t>
      </w:r>
    </w:p>
    <w:p>
      <w:pPr>
        <w:spacing w:line="360" w:lineRule="auto"/>
        <w:ind w:firstLine="420"/>
        <w:rPr>
          <w:rFonts w:hint="eastAsia" w:ascii="宋体" w:hAnsi="宋体" w:cs="宋体"/>
          <w:sz w:val="22"/>
          <w:szCs w:val="18"/>
        </w:rPr>
      </w:pPr>
      <w:r>
        <w:rPr>
          <w:rFonts w:hint="eastAsia" w:ascii="宋体" w:hAnsi="宋体" w:cs="宋体"/>
          <w:sz w:val="22"/>
          <w:szCs w:val="18"/>
        </w:rPr>
        <w:t>特此声明！</w:t>
      </w:r>
    </w:p>
    <w:p>
      <w:pPr>
        <w:autoSpaceDE w:val="0"/>
        <w:autoSpaceDN w:val="0"/>
        <w:adjustRightInd w:val="0"/>
        <w:spacing w:line="360" w:lineRule="auto"/>
        <w:rPr>
          <w:rFonts w:hint="eastAsia" w:ascii="宋体" w:hAnsi="宋体" w:cs="宋体"/>
          <w:b/>
          <w:sz w:val="22"/>
          <w:szCs w:val="18"/>
        </w:rPr>
      </w:pPr>
      <w:r>
        <w:rPr>
          <w:rFonts w:hint="eastAsia" w:ascii="宋体" w:hAnsi="宋体" w:cs="宋体"/>
          <w:b/>
          <w:sz w:val="22"/>
          <w:szCs w:val="18"/>
        </w:rPr>
        <w:t>备注：1.本声明函必须提供且内容不得擅自删改，否则视为无效投标。</w:t>
      </w:r>
    </w:p>
    <w:p>
      <w:pPr>
        <w:snapToGrid w:val="0"/>
        <w:spacing w:line="360" w:lineRule="auto"/>
        <w:ind w:firstLine="446" w:firstLineChars="202"/>
        <w:rPr>
          <w:rFonts w:hint="eastAsia" w:ascii="宋体" w:hAnsi="宋体" w:cs="宋体"/>
          <w:b/>
          <w:sz w:val="22"/>
        </w:rPr>
      </w:pPr>
      <w:r>
        <w:rPr>
          <w:rFonts w:hint="eastAsia" w:ascii="宋体" w:hAnsi="宋体" w:cs="宋体"/>
          <w:b/>
          <w:sz w:val="22"/>
        </w:rPr>
        <w:t>2. 本声明函如有虚假或与事实不符的，作无效投标处理。</w:t>
      </w:r>
    </w:p>
    <w:p>
      <w:pPr>
        <w:spacing w:line="360" w:lineRule="auto"/>
        <w:ind w:firstLine="440" w:firstLineChars="200"/>
        <w:rPr>
          <w:rFonts w:hint="eastAsia" w:ascii="宋体" w:hAnsi="宋体" w:cs="宋体"/>
          <w:sz w:val="22"/>
          <w:szCs w:val="18"/>
        </w:rPr>
      </w:pPr>
      <w:r>
        <w:rPr>
          <w:rFonts w:hint="eastAsia" w:ascii="宋体" w:hAnsi="宋体" w:cs="宋体"/>
          <w:sz w:val="22"/>
          <w:szCs w:val="18"/>
        </w:rPr>
        <w:t>投标人名称：</w:t>
      </w:r>
      <w:r>
        <w:rPr>
          <w:rFonts w:hint="eastAsia" w:ascii="宋体" w:hAnsi="宋体" w:cs="宋体"/>
          <w:spacing w:val="4"/>
          <w:sz w:val="22"/>
          <w:szCs w:val="18"/>
        </w:rPr>
        <w:t>_________</w:t>
      </w:r>
      <w:r>
        <w:rPr>
          <w:rFonts w:hint="eastAsia" w:ascii="宋体" w:hAnsi="宋体" w:cs="宋体"/>
          <w:sz w:val="22"/>
          <w:szCs w:val="18"/>
        </w:rPr>
        <w:t>　　　　　　　　　　　　　　　</w:t>
      </w:r>
    </w:p>
    <w:p>
      <w:pPr>
        <w:spacing w:line="360" w:lineRule="auto"/>
        <w:ind w:firstLine="420"/>
        <w:rPr>
          <w:rFonts w:hint="eastAsia" w:ascii="宋体" w:hAnsi="宋体" w:cs="宋体"/>
          <w:sz w:val="22"/>
          <w:szCs w:val="18"/>
        </w:rPr>
      </w:pPr>
      <w:r>
        <w:rPr>
          <w:rFonts w:hint="eastAsia" w:ascii="宋体" w:hAnsi="宋体" w:cs="宋体"/>
          <w:sz w:val="22"/>
          <w:szCs w:val="18"/>
        </w:rPr>
        <w:t>投标人公章：</w:t>
      </w:r>
    </w:p>
    <w:p>
      <w:pPr>
        <w:spacing w:line="360" w:lineRule="auto"/>
        <w:ind w:firstLine="420"/>
        <w:rPr>
          <w:rFonts w:hint="eastAsia" w:ascii="宋体" w:hAnsi="宋体" w:cs="宋体"/>
          <w:sz w:val="22"/>
          <w:szCs w:val="18"/>
        </w:rPr>
      </w:pPr>
      <w:r>
        <w:rPr>
          <w:rFonts w:hint="eastAsia" w:ascii="宋体" w:hAnsi="宋体" w:cs="宋体"/>
          <w:sz w:val="22"/>
          <w:szCs w:val="18"/>
        </w:rPr>
        <w:t>法定代表人或投标人授权代表（签名或盖章）：</w:t>
      </w:r>
      <w:r>
        <w:rPr>
          <w:rFonts w:hint="eastAsia" w:ascii="宋体" w:hAnsi="宋体" w:cs="宋体"/>
          <w:spacing w:val="4"/>
          <w:sz w:val="22"/>
          <w:szCs w:val="18"/>
        </w:rPr>
        <w:t>_________</w:t>
      </w:r>
      <w:r>
        <w:rPr>
          <w:rFonts w:hint="eastAsia" w:ascii="宋体" w:hAnsi="宋体" w:cs="宋体"/>
          <w:sz w:val="22"/>
          <w:szCs w:val="18"/>
        </w:rPr>
        <w:t>　　　　　　　　　　　　　　　　</w:t>
      </w:r>
    </w:p>
    <w:p>
      <w:pPr>
        <w:spacing w:line="360" w:lineRule="auto"/>
        <w:ind w:firstLine="420"/>
        <w:rPr>
          <w:rFonts w:hint="eastAsia" w:ascii="宋体" w:hAnsi="宋体" w:cs="宋体"/>
          <w:spacing w:val="4"/>
          <w:sz w:val="22"/>
          <w:szCs w:val="18"/>
        </w:rPr>
      </w:pPr>
      <w:r>
        <w:rPr>
          <w:rFonts w:hint="eastAsia" w:ascii="宋体" w:hAnsi="宋体" w:cs="宋体"/>
          <w:sz w:val="22"/>
          <w:szCs w:val="18"/>
        </w:rPr>
        <w:t>日期：</w:t>
      </w:r>
      <w:r>
        <w:rPr>
          <w:rFonts w:hint="eastAsia" w:ascii="宋体" w:hAnsi="宋体" w:cs="宋体"/>
          <w:spacing w:val="4"/>
          <w:sz w:val="22"/>
          <w:szCs w:val="18"/>
        </w:rPr>
        <w:t>_________</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b/>
          <w:bCs/>
          <w:sz w:val="32"/>
          <w:szCs w:val="32"/>
        </w:rPr>
      </w:pPr>
      <w:bookmarkStart w:id="233" w:name="_Toc268515021"/>
      <w:r>
        <w:rPr>
          <w:rFonts w:hint="eastAsia" w:ascii="宋体" w:hAnsi="宋体" w:cs="宋体"/>
          <w:b/>
          <w:bCs/>
          <w:sz w:val="32"/>
          <w:szCs w:val="32"/>
        </w:rPr>
        <w:t>十一</w:t>
      </w:r>
      <w:r>
        <w:rPr>
          <w:rFonts w:hint="eastAsia" w:ascii="宋体" w:hAnsi="宋体" w:cs="宋体"/>
          <w:b/>
          <w:bCs/>
          <w:sz w:val="32"/>
          <w:szCs w:val="32"/>
          <w:lang w:val="zh-CN"/>
        </w:rPr>
        <w:t>、</w:t>
      </w:r>
      <w:bookmarkEnd w:id="233"/>
      <w:r>
        <w:rPr>
          <w:rFonts w:hint="eastAsia" w:ascii="宋体" w:hAnsi="宋体" w:cs="宋体"/>
          <w:b/>
          <w:bCs/>
          <w:sz w:val="32"/>
          <w:szCs w:val="32"/>
        </w:rPr>
        <w:t>承诺函</w:t>
      </w:r>
    </w:p>
    <w:p>
      <w:pPr>
        <w:rPr>
          <w:rFonts w:hint="eastAsia" w:ascii="宋体" w:hAnsi="宋体" w:cs="宋体"/>
        </w:rPr>
      </w:pPr>
    </w:p>
    <w:p>
      <w:pPr>
        <w:spacing w:line="360" w:lineRule="auto"/>
        <w:rPr>
          <w:rFonts w:hint="eastAsia" w:ascii="宋体" w:hAnsi="宋体" w:cs="宋体"/>
          <w:szCs w:val="21"/>
        </w:rPr>
      </w:pPr>
      <w:r>
        <w:rPr>
          <w:rFonts w:hint="eastAsia" w:ascii="宋体" w:hAnsi="宋体" w:cs="宋体"/>
          <w:color w:val="000000"/>
          <w:szCs w:val="21"/>
        </w:rPr>
        <w:t>承诺函格式</w:t>
      </w:r>
      <w:r>
        <w:rPr>
          <w:rFonts w:hint="eastAsia" w:ascii="宋体" w:hAnsi="宋体" w:cs="宋体"/>
          <w:szCs w:val="21"/>
        </w:rPr>
        <w:t>(对于采购需求写明“提供承诺” 的条款，投标人可参照以下格式提供承诺)</w:t>
      </w:r>
    </w:p>
    <w:p>
      <w:pPr>
        <w:spacing w:line="360" w:lineRule="auto"/>
        <w:ind w:firstLine="643" w:firstLineChars="200"/>
        <w:jc w:val="center"/>
        <w:rPr>
          <w:rFonts w:hint="eastAsia" w:ascii="宋体" w:hAnsi="宋体" w:cs="宋体"/>
          <w:b/>
          <w:sz w:val="32"/>
          <w:szCs w:val="32"/>
        </w:rPr>
      </w:pPr>
    </w:p>
    <w:p>
      <w:pPr>
        <w:spacing w:line="360" w:lineRule="auto"/>
        <w:ind w:firstLine="643" w:firstLineChars="200"/>
        <w:jc w:val="center"/>
        <w:rPr>
          <w:rFonts w:hint="eastAsia" w:ascii="宋体" w:hAnsi="宋体" w:cs="宋体"/>
          <w:sz w:val="32"/>
          <w:szCs w:val="32"/>
        </w:rPr>
      </w:pPr>
      <w:r>
        <w:rPr>
          <w:rFonts w:hint="eastAsia" w:ascii="宋体" w:hAnsi="宋体" w:cs="宋体"/>
          <w:b/>
          <w:sz w:val="32"/>
          <w:szCs w:val="32"/>
        </w:rPr>
        <w:t>承诺函</w:t>
      </w:r>
    </w:p>
    <w:p>
      <w:pPr>
        <w:pStyle w:val="37"/>
        <w:spacing w:line="360" w:lineRule="auto"/>
        <w:rPr>
          <w:rFonts w:hint="eastAsia" w:hAnsi="宋体" w:cs="宋体"/>
          <w:b/>
        </w:rPr>
      </w:pPr>
      <w:r>
        <w:rPr>
          <w:rFonts w:hint="eastAsia" w:hAnsi="宋体" w:cs="宋体"/>
        </w:rPr>
        <w:t xml:space="preserve">致： </w:t>
      </w:r>
      <w:r>
        <w:rPr>
          <w:rFonts w:hint="eastAsia" w:hAnsi="宋体" w:cs="宋体"/>
          <w:b/>
          <w:u w:val="single"/>
        </w:rPr>
        <w:t xml:space="preserve">采购人名称 </w:t>
      </w:r>
    </w:p>
    <w:p>
      <w:pPr>
        <w:spacing w:line="360" w:lineRule="auto"/>
        <w:ind w:firstLine="480" w:firstLineChars="200"/>
        <w:rPr>
          <w:rFonts w:hint="eastAsia" w:ascii="宋体" w:hAnsi="宋体" w:cs="宋体"/>
          <w:szCs w:val="21"/>
        </w:rPr>
      </w:pPr>
    </w:p>
    <w:p>
      <w:pPr>
        <w:spacing w:line="360" w:lineRule="auto"/>
        <w:ind w:firstLine="480" w:firstLineChars="200"/>
        <w:rPr>
          <w:rFonts w:hint="eastAsia" w:ascii="宋体" w:hAnsi="宋体" w:cs="宋体"/>
          <w:szCs w:val="21"/>
        </w:rPr>
      </w:pPr>
      <w:r>
        <w:rPr>
          <w:rFonts w:hint="eastAsia" w:ascii="宋体" w:hAnsi="宋体" w:cs="宋体"/>
          <w:szCs w:val="21"/>
        </w:rPr>
        <w:t>对于</w:t>
      </w:r>
      <w:r>
        <w:rPr>
          <w:rFonts w:hint="eastAsia" w:ascii="宋体" w:hAnsi="宋体" w:cs="宋体"/>
          <w:szCs w:val="21"/>
          <w:u w:val="single"/>
        </w:rPr>
        <w:t xml:space="preserve">                   </w:t>
      </w:r>
      <w:r>
        <w:rPr>
          <w:rFonts w:hint="eastAsia" w:ascii="宋体" w:hAnsi="宋体" w:cs="宋体"/>
          <w:kern w:val="28"/>
          <w:szCs w:val="21"/>
        </w:rPr>
        <w:t>项目（项目编号：         ）</w:t>
      </w:r>
      <w:r>
        <w:rPr>
          <w:rFonts w:hint="eastAsia" w:ascii="宋体" w:hAnsi="宋体" w:cs="宋体"/>
          <w:szCs w:val="21"/>
        </w:rPr>
        <w:t>，我方郑重承诺如下：</w:t>
      </w:r>
    </w:p>
    <w:p>
      <w:pPr>
        <w:spacing w:line="360" w:lineRule="auto"/>
        <w:ind w:firstLine="480" w:firstLineChars="200"/>
        <w:rPr>
          <w:rFonts w:hint="eastAsia" w:ascii="宋体" w:hAnsi="宋体" w:cs="宋体"/>
          <w:szCs w:val="21"/>
        </w:rPr>
      </w:pPr>
      <w:r>
        <w:rPr>
          <w:rFonts w:hint="eastAsia" w:ascii="宋体" w:hAnsi="宋体" w:cs="宋体"/>
          <w:szCs w:val="21"/>
        </w:rPr>
        <w:t>如中标/成交，我方承诺严格落实采购文件以下条款：</w:t>
      </w:r>
    </w:p>
    <w:p>
      <w:pPr>
        <w:spacing w:line="360" w:lineRule="auto"/>
        <w:ind w:firstLine="405"/>
        <w:rPr>
          <w:rFonts w:hint="eastAsia" w:ascii="宋体" w:hAnsi="宋体" w:cs="宋体"/>
          <w:szCs w:val="21"/>
        </w:rPr>
      </w:pPr>
      <w:r>
        <w:rPr>
          <w:rFonts w:hint="eastAsia" w:ascii="宋体" w:hAnsi="宋体" w:cs="宋体"/>
          <w:szCs w:val="21"/>
        </w:rPr>
        <w:t>（一）星号条款</w:t>
      </w:r>
    </w:p>
    <w:p>
      <w:pPr>
        <w:spacing w:line="360" w:lineRule="auto"/>
        <w:ind w:firstLine="405"/>
        <w:rPr>
          <w:rFonts w:hint="eastAsia" w:ascii="宋体" w:hAnsi="宋体" w:cs="宋体"/>
          <w:szCs w:val="21"/>
        </w:rPr>
      </w:pPr>
      <w:r>
        <w:rPr>
          <w:rFonts w:hint="eastAsia" w:ascii="宋体" w:hAnsi="宋体" w:cs="宋体"/>
          <w:szCs w:val="21"/>
        </w:rPr>
        <w:t>1.</w:t>
      </w:r>
    </w:p>
    <w:p>
      <w:pPr>
        <w:spacing w:line="360" w:lineRule="auto"/>
        <w:ind w:firstLine="405"/>
        <w:rPr>
          <w:rFonts w:hint="eastAsia" w:ascii="宋体" w:hAnsi="宋体" w:cs="宋体"/>
          <w:szCs w:val="21"/>
        </w:rPr>
      </w:pPr>
      <w:r>
        <w:rPr>
          <w:rFonts w:hint="eastAsia" w:ascii="宋体" w:hAnsi="宋体" w:cs="宋体"/>
          <w:szCs w:val="21"/>
        </w:rPr>
        <w:t>2.</w:t>
      </w:r>
    </w:p>
    <w:p>
      <w:pPr>
        <w:spacing w:line="360" w:lineRule="auto"/>
        <w:ind w:firstLine="405"/>
        <w:rPr>
          <w:rFonts w:hint="eastAsia" w:ascii="宋体" w:hAnsi="宋体" w:cs="宋体"/>
          <w:szCs w:val="21"/>
        </w:rPr>
      </w:pPr>
      <w:r>
        <w:rPr>
          <w:rFonts w:hint="eastAsia" w:ascii="宋体" w:hAnsi="宋体" w:cs="宋体"/>
          <w:szCs w:val="21"/>
        </w:rPr>
        <w:t>3.</w:t>
      </w:r>
    </w:p>
    <w:p>
      <w:pPr>
        <w:spacing w:line="360" w:lineRule="auto"/>
        <w:ind w:firstLine="405"/>
        <w:rPr>
          <w:rFonts w:hint="eastAsia" w:ascii="宋体" w:hAnsi="宋体" w:cs="宋体"/>
          <w:szCs w:val="21"/>
        </w:rPr>
      </w:pPr>
      <w:r>
        <w:rPr>
          <w:rFonts w:hint="eastAsia" w:ascii="宋体" w:hAnsi="宋体" w:cs="宋体"/>
          <w:szCs w:val="21"/>
        </w:rPr>
        <w:t>………</w:t>
      </w:r>
    </w:p>
    <w:p>
      <w:pPr>
        <w:spacing w:line="360" w:lineRule="auto"/>
        <w:ind w:firstLine="405"/>
        <w:rPr>
          <w:rFonts w:hint="eastAsia" w:ascii="宋体" w:hAnsi="宋体" w:cs="宋体"/>
          <w:szCs w:val="21"/>
        </w:rPr>
      </w:pPr>
      <w:r>
        <w:rPr>
          <w:rFonts w:hint="eastAsia" w:ascii="宋体" w:hAnsi="宋体" w:cs="宋体"/>
          <w:szCs w:val="21"/>
        </w:rPr>
        <w:t>（二）三角号条款</w:t>
      </w:r>
    </w:p>
    <w:p>
      <w:pPr>
        <w:spacing w:line="360" w:lineRule="auto"/>
        <w:ind w:firstLine="405"/>
        <w:rPr>
          <w:rFonts w:hint="eastAsia" w:ascii="宋体" w:hAnsi="宋体" w:cs="宋体"/>
          <w:szCs w:val="21"/>
        </w:rPr>
      </w:pPr>
      <w:r>
        <w:rPr>
          <w:rFonts w:hint="eastAsia" w:ascii="宋体" w:hAnsi="宋体" w:cs="宋体"/>
          <w:szCs w:val="21"/>
        </w:rPr>
        <w:t>1.</w:t>
      </w:r>
    </w:p>
    <w:p>
      <w:pPr>
        <w:spacing w:line="360" w:lineRule="auto"/>
        <w:ind w:firstLine="405"/>
        <w:rPr>
          <w:rFonts w:hint="eastAsia" w:ascii="宋体" w:hAnsi="宋体" w:cs="宋体"/>
          <w:szCs w:val="21"/>
        </w:rPr>
      </w:pPr>
      <w:r>
        <w:rPr>
          <w:rFonts w:hint="eastAsia" w:ascii="宋体" w:hAnsi="宋体" w:cs="宋体"/>
          <w:szCs w:val="21"/>
        </w:rPr>
        <w:t>2.</w:t>
      </w:r>
    </w:p>
    <w:p>
      <w:pPr>
        <w:spacing w:line="360" w:lineRule="auto"/>
        <w:ind w:firstLine="405"/>
        <w:rPr>
          <w:rFonts w:hint="eastAsia" w:ascii="宋体" w:hAnsi="宋体" w:cs="宋体"/>
          <w:szCs w:val="21"/>
        </w:rPr>
      </w:pPr>
      <w:r>
        <w:rPr>
          <w:rFonts w:hint="eastAsia" w:ascii="宋体" w:hAnsi="宋体" w:cs="宋体"/>
          <w:szCs w:val="21"/>
        </w:rPr>
        <w:t>3.</w:t>
      </w:r>
    </w:p>
    <w:p>
      <w:pPr>
        <w:spacing w:line="360" w:lineRule="auto"/>
        <w:ind w:firstLine="405"/>
        <w:rPr>
          <w:rFonts w:hint="eastAsia" w:ascii="宋体" w:hAnsi="宋体" w:cs="宋体"/>
          <w:szCs w:val="21"/>
        </w:rPr>
      </w:pPr>
      <w:r>
        <w:rPr>
          <w:rFonts w:hint="eastAsia" w:ascii="宋体" w:hAnsi="宋体" w:cs="宋体"/>
          <w:szCs w:val="21"/>
        </w:rPr>
        <w:t>………</w:t>
      </w:r>
    </w:p>
    <w:p>
      <w:pPr>
        <w:spacing w:line="360" w:lineRule="auto"/>
        <w:ind w:firstLine="405"/>
        <w:rPr>
          <w:rFonts w:hint="eastAsia" w:ascii="宋体" w:hAnsi="宋体" w:cs="宋体"/>
          <w:szCs w:val="21"/>
        </w:rPr>
      </w:pPr>
      <w:r>
        <w:rPr>
          <w:rFonts w:hint="eastAsia" w:ascii="宋体" w:hAnsi="宋体" w:cs="宋体"/>
          <w:szCs w:val="21"/>
        </w:rPr>
        <w:t>（三）非星号、非三角号条款</w:t>
      </w:r>
    </w:p>
    <w:p>
      <w:pPr>
        <w:spacing w:line="360" w:lineRule="auto"/>
        <w:ind w:firstLine="405"/>
        <w:rPr>
          <w:rFonts w:hint="eastAsia" w:ascii="宋体" w:hAnsi="宋体" w:cs="宋体"/>
          <w:szCs w:val="21"/>
        </w:rPr>
      </w:pPr>
      <w:r>
        <w:rPr>
          <w:rFonts w:hint="eastAsia" w:ascii="宋体" w:hAnsi="宋体" w:cs="宋体"/>
          <w:szCs w:val="21"/>
        </w:rPr>
        <w:t>1.</w:t>
      </w:r>
    </w:p>
    <w:p>
      <w:pPr>
        <w:spacing w:line="360" w:lineRule="auto"/>
        <w:ind w:firstLine="405"/>
        <w:rPr>
          <w:rFonts w:hint="eastAsia" w:ascii="宋体" w:hAnsi="宋体" w:cs="宋体"/>
          <w:szCs w:val="21"/>
        </w:rPr>
      </w:pPr>
      <w:r>
        <w:rPr>
          <w:rFonts w:hint="eastAsia" w:ascii="宋体" w:hAnsi="宋体" w:cs="宋体"/>
          <w:szCs w:val="21"/>
        </w:rPr>
        <w:t>2.</w:t>
      </w:r>
    </w:p>
    <w:p>
      <w:pPr>
        <w:spacing w:line="360" w:lineRule="auto"/>
        <w:ind w:firstLine="405"/>
        <w:rPr>
          <w:rFonts w:hint="eastAsia" w:ascii="宋体" w:hAnsi="宋体" w:cs="宋体"/>
          <w:szCs w:val="21"/>
        </w:rPr>
      </w:pPr>
      <w:r>
        <w:rPr>
          <w:rFonts w:hint="eastAsia" w:ascii="宋体" w:hAnsi="宋体" w:cs="宋体"/>
          <w:szCs w:val="21"/>
        </w:rPr>
        <w:t>3.</w:t>
      </w:r>
    </w:p>
    <w:p>
      <w:pPr>
        <w:spacing w:line="360" w:lineRule="auto"/>
        <w:ind w:firstLine="405"/>
        <w:rPr>
          <w:rFonts w:hint="eastAsia" w:ascii="宋体" w:hAnsi="宋体" w:cs="宋体"/>
          <w:szCs w:val="21"/>
        </w:rPr>
      </w:pPr>
      <w:r>
        <w:rPr>
          <w:rFonts w:hint="eastAsia" w:ascii="宋体" w:hAnsi="宋体" w:cs="宋体"/>
          <w:szCs w:val="21"/>
        </w:rPr>
        <w:t>………</w:t>
      </w:r>
    </w:p>
    <w:p>
      <w:pPr>
        <w:spacing w:line="360" w:lineRule="auto"/>
        <w:ind w:firstLine="405"/>
        <w:rPr>
          <w:rFonts w:hint="eastAsia" w:ascii="宋体" w:hAnsi="宋体" w:cs="宋体"/>
          <w:szCs w:val="21"/>
        </w:rPr>
      </w:pPr>
    </w:p>
    <w:p>
      <w:pPr>
        <w:spacing w:line="360" w:lineRule="auto"/>
        <w:ind w:firstLine="405"/>
        <w:rPr>
          <w:rFonts w:hint="eastAsia" w:ascii="宋体" w:hAnsi="宋体" w:cs="宋体"/>
          <w:szCs w:val="21"/>
        </w:rPr>
      </w:pPr>
      <w:r>
        <w:rPr>
          <w:rFonts w:hint="eastAsia" w:ascii="宋体" w:hAnsi="宋体" w:cs="宋体"/>
          <w:szCs w:val="21"/>
        </w:rPr>
        <w:t>特此承诺。</w:t>
      </w:r>
    </w:p>
    <w:p>
      <w:pPr>
        <w:spacing w:line="360" w:lineRule="auto"/>
        <w:ind w:firstLine="1920" w:firstLineChars="800"/>
        <w:rPr>
          <w:rFonts w:hint="eastAsia" w:ascii="宋体" w:hAnsi="宋体" w:cs="宋体"/>
          <w:szCs w:val="21"/>
        </w:rPr>
      </w:pPr>
    </w:p>
    <w:p>
      <w:pPr>
        <w:spacing w:line="360" w:lineRule="auto"/>
        <w:ind w:firstLine="4440" w:firstLineChars="1850"/>
        <w:rPr>
          <w:rFonts w:hint="eastAsia" w:ascii="宋体" w:hAnsi="宋体" w:cs="宋体"/>
          <w:szCs w:val="21"/>
        </w:rPr>
      </w:pPr>
      <w:r>
        <w:rPr>
          <w:rFonts w:hint="eastAsia" w:ascii="宋体" w:hAnsi="宋体" w:cs="宋体"/>
          <w:szCs w:val="21"/>
        </w:rPr>
        <w:t xml:space="preserve">投标人：（投标人公章）：            </w:t>
      </w:r>
    </w:p>
    <w:p>
      <w:pPr>
        <w:spacing w:line="360" w:lineRule="auto"/>
        <w:ind w:firstLine="4440" w:firstLineChars="1850"/>
        <w:rPr>
          <w:rFonts w:hint="eastAsia" w:ascii="宋体" w:hAnsi="宋体" w:cs="宋体"/>
          <w:szCs w:val="21"/>
        </w:rPr>
      </w:pPr>
      <w:r>
        <w:rPr>
          <w:rFonts w:hint="eastAsia" w:ascii="宋体" w:hAnsi="宋体" w:cs="宋体"/>
          <w:szCs w:val="21"/>
        </w:rPr>
        <w:t>日期：   年   月   日</w:t>
      </w:r>
    </w:p>
    <w:p>
      <w:pPr>
        <w:rPr>
          <w:rFonts w:hint="eastAsia" w:ascii="宋体" w:hAnsi="宋体" w:cs="宋体"/>
          <w:b/>
          <w:bCs/>
          <w:sz w:val="32"/>
          <w:szCs w:val="32"/>
          <w:lang w:val="zh-CN"/>
        </w:rPr>
      </w:pPr>
    </w:p>
    <w:p>
      <w:pPr>
        <w:rPr>
          <w:rFonts w:hint="eastAsia" w:ascii="宋体" w:hAnsi="宋体" w:cs="宋体"/>
          <w:b/>
          <w:bCs/>
          <w:sz w:val="32"/>
          <w:szCs w:val="32"/>
          <w:lang w:val="zh-CN"/>
        </w:rPr>
      </w:pPr>
      <w:r>
        <w:rPr>
          <w:rFonts w:hint="eastAsia" w:ascii="宋体" w:hAnsi="宋体" w:cs="宋体"/>
          <w:b/>
          <w:bCs/>
          <w:sz w:val="32"/>
          <w:szCs w:val="32"/>
          <w:lang w:val="zh-CN"/>
        </w:rPr>
        <w:t>十</w:t>
      </w:r>
      <w:r>
        <w:rPr>
          <w:rFonts w:hint="eastAsia" w:ascii="宋体" w:hAnsi="宋体" w:cs="宋体"/>
          <w:b/>
          <w:bCs/>
          <w:sz w:val="32"/>
          <w:szCs w:val="32"/>
        </w:rPr>
        <w:t>二</w:t>
      </w:r>
      <w:r>
        <w:rPr>
          <w:rFonts w:hint="eastAsia" w:ascii="宋体" w:hAnsi="宋体" w:cs="宋体"/>
          <w:b/>
          <w:bCs/>
          <w:sz w:val="32"/>
          <w:szCs w:val="32"/>
          <w:lang w:val="zh-CN"/>
        </w:rPr>
        <w:t>、投标人认为有必要提供的其它材料</w:t>
      </w:r>
    </w:p>
    <w:p>
      <w:pPr>
        <w:spacing w:line="300" w:lineRule="auto"/>
        <w:jc w:val="center"/>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pStyle w:val="774"/>
        <w:ind w:firstLine="964"/>
        <w:rPr>
          <w:rFonts w:hint="eastAsia" w:ascii="宋体" w:hAnsi="宋体" w:cs="宋体"/>
          <w:b/>
          <w:bCs/>
          <w:sz w:val="48"/>
          <w:szCs w:val="48"/>
          <w:lang w:val="zh-CN"/>
        </w:rPr>
      </w:pPr>
    </w:p>
    <w:p>
      <w:pPr>
        <w:spacing w:line="300" w:lineRule="auto"/>
        <w:jc w:val="center"/>
        <w:rPr>
          <w:rFonts w:hint="eastAsia" w:ascii="宋体" w:hAnsi="宋体" w:cs="宋体"/>
        </w:rPr>
      </w:pPr>
      <w:r>
        <w:rPr>
          <w:rFonts w:hint="eastAsia" w:ascii="宋体" w:hAnsi="宋体" w:cs="宋体"/>
          <w:b/>
          <w:bCs/>
          <w:sz w:val="48"/>
          <w:szCs w:val="48"/>
          <w:lang w:val="zh-CN"/>
        </w:rPr>
        <w:t>技术部分</w:t>
      </w:r>
    </w:p>
    <w:p>
      <w:pPr>
        <w:keepNext/>
        <w:keepLines/>
        <w:tabs>
          <w:tab w:val="left" w:pos="525"/>
        </w:tabs>
        <w:spacing w:before="260" w:after="260" w:line="360" w:lineRule="auto"/>
        <w:ind w:left="525" w:hanging="525"/>
        <w:rPr>
          <w:rFonts w:hint="eastAsia" w:ascii="宋体" w:hAnsi="宋体" w:cs="宋体"/>
          <w:b/>
          <w:bCs/>
          <w:sz w:val="32"/>
          <w:szCs w:val="32"/>
          <w:lang w:val="zh-CN"/>
        </w:rPr>
      </w:pPr>
      <w:r>
        <w:rPr>
          <w:rFonts w:hint="eastAsia" w:ascii="宋体" w:hAnsi="宋体" w:cs="宋体"/>
          <w:b/>
          <w:bCs/>
          <w:sz w:val="32"/>
          <w:szCs w:val="32"/>
        </w:rPr>
        <w:t>一</w:t>
      </w:r>
      <w:r>
        <w:rPr>
          <w:rFonts w:hint="eastAsia" w:ascii="宋体" w:hAnsi="宋体" w:cs="宋体"/>
          <w:b/>
          <w:bCs/>
          <w:sz w:val="32"/>
          <w:szCs w:val="32"/>
          <w:lang w:val="zh-CN"/>
        </w:rPr>
        <w:t>、服务方案（据实自主编制）</w:t>
      </w: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before="120" w:beforeLines="50" w:after="120" w:afterLines="50" w:line="360" w:lineRule="auto"/>
        <w:ind w:left="4860"/>
        <w:rPr>
          <w:rFonts w:hint="eastAsia" w:ascii="宋体" w:hAnsi="宋体" w:cs="宋体"/>
          <w:szCs w:val="21"/>
        </w:rPr>
      </w:pPr>
      <w:r>
        <w:rPr>
          <w:rFonts w:hint="eastAsia" w:ascii="宋体" w:hAnsi="宋体" w:cs="宋体"/>
          <w:szCs w:val="21"/>
        </w:rPr>
        <w:t>投标人：（投标人公章）</w:t>
      </w:r>
    </w:p>
    <w:p>
      <w:pPr>
        <w:spacing w:before="120" w:beforeLines="50" w:after="120" w:afterLines="50" w:line="360" w:lineRule="auto"/>
        <w:ind w:left="4860"/>
        <w:rPr>
          <w:rFonts w:hint="eastAsia" w:ascii="宋体" w:hAnsi="宋体" w:cs="宋体"/>
          <w:szCs w:val="21"/>
        </w:rPr>
      </w:pPr>
      <w:r>
        <w:rPr>
          <w:rFonts w:hint="eastAsia" w:ascii="宋体" w:hAnsi="宋体" w:cs="宋体"/>
          <w:szCs w:val="21"/>
        </w:rPr>
        <w:t xml:space="preserve">法定代表人或其授权代表签名： </w:t>
      </w:r>
    </w:p>
    <w:p>
      <w:pPr>
        <w:spacing w:before="120" w:beforeLines="50" w:after="120" w:afterLines="50" w:line="360" w:lineRule="auto"/>
        <w:ind w:left="4860"/>
        <w:rPr>
          <w:rFonts w:hint="eastAsia" w:ascii="宋体" w:hAnsi="宋体" w:cs="宋体"/>
          <w:szCs w:val="21"/>
        </w:rPr>
      </w:pPr>
      <w:r>
        <w:rPr>
          <w:rFonts w:hint="eastAsia" w:ascii="宋体" w:hAnsi="宋体" w:cs="宋体"/>
          <w:szCs w:val="21"/>
        </w:rPr>
        <w:t>日期：  年   月  日</w:t>
      </w: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spacing w:line="360" w:lineRule="auto"/>
        <w:rPr>
          <w:rFonts w:hint="eastAsia" w:ascii="宋体" w:hAnsi="宋体" w:cs="宋体"/>
          <w:lang w:val="zh-CN"/>
        </w:rPr>
      </w:pPr>
    </w:p>
    <w:p>
      <w:pPr>
        <w:rPr>
          <w:rFonts w:hint="eastAsia" w:ascii="宋体" w:hAnsi="宋体" w:cs="宋体"/>
          <w:b/>
          <w:bCs/>
          <w:sz w:val="32"/>
          <w:szCs w:val="32"/>
          <w:lang w:val="zh-CN"/>
        </w:rPr>
      </w:pPr>
      <w:bookmarkStart w:id="234" w:name="_Toc268515027"/>
      <w:r>
        <w:rPr>
          <w:rFonts w:hint="eastAsia" w:ascii="宋体" w:hAnsi="宋体" w:cs="宋体"/>
          <w:b/>
          <w:bCs/>
          <w:szCs w:val="32"/>
          <w:lang w:val="zh-CN"/>
        </w:rPr>
        <w:br w:type="page"/>
      </w:r>
      <w:bookmarkEnd w:id="234"/>
      <w:r>
        <w:rPr>
          <w:rFonts w:hint="eastAsia" w:ascii="宋体" w:hAnsi="宋体" w:cs="宋体"/>
          <w:b/>
          <w:bCs/>
          <w:sz w:val="32"/>
          <w:szCs w:val="32"/>
        </w:rPr>
        <w:t xml:space="preserve">二 </w:t>
      </w:r>
      <w:r>
        <w:rPr>
          <w:rFonts w:hint="eastAsia" w:ascii="宋体" w:hAnsi="宋体" w:cs="宋体"/>
          <w:b/>
          <w:bCs/>
          <w:sz w:val="32"/>
          <w:szCs w:val="32"/>
          <w:lang w:val="zh-CN"/>
        </w:rPr>
        <w:t>、投标人认为有必要提供的其它材料</w:t>
      </w:r>
    </w:p>
    <w:p>
      <w:pPr>
        <w:rPr>
          <w:rFonts w:hint="eastAsia" w:ascii="宋体" w:hAnsi="宋体" w:cs="宋体"/>
          <w:sz w:val="28"/>
          <w:szCs w:val="28"/>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pStyle w:val="59"/>
        <w:rPr>
          <w:rFonts w:hint="eastAsia" w:hAnsi="宋体" w:cs="宋体"/>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pStyle w:val="774"/>
        <w:ind w:firstLine="0" w:firstLineChars="0"/>
        <w:rPr>
          <w:rFonts w:hint="eastAsia" w:ascii="宋体" w:hAnsi="宋体" w:cs="宋体"/>
          <w:sz w:val="28"/>
          <w:szCs w:val="28"/>
          <w:lang w:val="zh-CN"/>
        </w:rPr>
      </w:pPr>
      <w:r>
        <w:rPr>
          <w:rFonts w:hint="eastAsia" w:ascii="宋体" w:hAnsi="宋体" w:cs="宋体"/>
          <w:lang w:val="zh-CN"/>
        </w:rPr>
        <w:br w:type="page"/>
      </w:r>
    </w:p>
    <w:p>
      <w:pPr>
        <w:spacing w:line="300" w:lineRule="auto"/>
        <w:rPr>
          <w:rFonts w:hint="eastAsia" w:ascii="宋体" w:hAnsi="宋体" w:cs="宋体"/>
          <w:b/>
          <w:bCs/>
          <w:sz w:val="48"/>
          <w:szCs w:val="48"/>
          <w:lang w:val="zh-CN"/>
        </w:rPr>
      </w:pPr>
      <w:r>
        <w:rPr>
          <w:rFonts w:hint="eastAsia" w:ascii="宋体" w:hAnsi="宋体" w:cs="宋体"/>
          <w:b/>
          <w:bCs/>
          <w:sz w:val="48"/>
          <w:szCs w:val="48"/>
          <w:lang w:val="zh-CN"/>
        </w:rPr>
        <w:t>唱标信封</w:t>
      </w:r>
    </w:p>
    <w:p>
      <w:pPr>
        <w:spacing w:line="360" w:lineRule="auto"/>
        <w:rPr>
          <w:rFonts w:hint="eastAsia" w:ascii="宋体" w:hAnsi="宋体" w:cs="宋体"/>
          <w:lang w:val="zh-CN"/>
        </w:rPr>
      </w:pPr>
    </w:p>
    <w:p>
      <w:pPr>
        <w:spacing w:line="480" w:lineRule="auto"/>
        <w:rPr>
          <w:rFonts w:hint="eastAsia" w:ascii="宋体" w:hAnsi="宋体" w:cs="宋体"/>
        </w:rPr>
      </w:pPr>
      <w:r>
        <w:rPr>
          <w:rFonts w:hint="eastAsia" w:ascii="宋体" w:hAnsi="宋体" w:cs="宋体"/>
          <w:lang w:val="zh-CN"/>
        </w:rPr>
        <w:t>一、投标报价表</w:t>
      </w:r>
    </w:p>
    <w:p>
      <w:pPr>
        <w:spacing w:line="480" w:lineRule="auto"/>
        <w:ind w:left="480" w:hanging="480" w:hangingChars="200"/>
        <w:rPr>
          <w:rFonts w:hint="eastAsia" w:ascii="宋体" w:hAnsi="宋体" w:cs="宋体"/>
          <w:lang w:val="zh-CN"/>
        </w:rPr>
      </w:pPr>
      <w:r>
        <w:rPr>
          <w:rFonts w:hint="eastAsia" w:ascii="宋体" w:hAnsi="宋体" w:cs="宋体"/>
          <w:lang w:val="zh-CN"/>
        </w:rPr>
        <w:t>二、法定代表人身份证明书</w:t>
      </w:r>
      <w:r>
        <w:rPr>
          <w:rFonts w:hint="eastAsia" w:ascii="宋体" w:hAnsi="宋体" w:cs="宋体"/>
        </w:rPr>
        <w:t>、</w:t>
      </w:r>
      <w:r>
        <w:rPr>
          <w:rFonts w:hint="eastAsia" w:ascii="宋体" w:hAnsi="宋体" w:cs="宋体"/>
          <w:lang w:val="zh-CN"/>
        </w:rPr>
        <w:t>法定代表人授权</w:t>
      </w:r>
      <w:r>
        <w:rPr>
          <w:rFonts w:hint="eastAsia" w:ascii="宋体" w:hAnsi="宋体" w:cs="宋体"/>
        </w:rPr>
        <w:t>委托</w:t>
      </w:r>
      <w:r>
        <w:rPr>
          <w:rFonts w:hint="eastAsia" w:ascii="宋体" w:hAnsi="宋体" w:cs="宋体"/>
          <w:lang w:val="zh-CN"/>
        </w:rPr>
        <w:t>书（</w:t>
      </w:r>
      <w:r>
        <w:rPr>
          <w:rFonts w:hint="eastAsia" w:ascii="宋体" w:hAnsi="宋体" w:cs="宋体"/>
        </w:rPr>
        <w:t>如有</w:t>
      </w:r>
      <w:r>
        <w:rPr>
          <w:rFonts w:hint="eastAsia" w:ascii="宋体" w:hAnsi="宋体" w:cs="宋体"/>
          <w:lang w:val="zh-CN"/>
        </w:rPr>
        <w:t>）</w:t>
      </w:r>
    </w:p>
    <w:p>
      <w:pPr>
        <w:pStyle w:val="774"/>
        <w:spacing w:line="480" w:lineRule="auto"/>
        <w:ind w:firstLine="0" w:firstLineChars="0"/>
        <w:rPr>
          <w:rFonts w:hint="eastAsia" w:ascii="宋体" w:hAnsi="宋体" w:cs="宋体"/>
          <w:lang w:val="zh-CN"/>
        </w:rPr>
      </w:pPr>
      <w:r>
        <w:rPr>
          <w:rFonts w:hint="eastAsia" w:ascii="宋体" w:hAnsi="宋体" w:cs="宋体"/>
          <w:lang w:val="zh-CN"/>
        </w:rPr>
        <w:t>三、电子文件【经济、商务、技术部分文件, 电子文件（盖章后扫描的PDF版本）采用DVD－R光盘（不加密）或U盘储存】</w:t>
      </w:r>
    </w:p>
    <w:p>
      <w:pPr>
        <w:spacing w:line="360" w:lineRule="auto"/>
        <w:rPr>
          <w:rFonts w:hint="eastAsia" w:ascii="宋体" w:hAnsi="宋体" w:cs="宋体"/>
          <w:sz w:val="28"/>
          <w:szCs w:val="28"/>
          <w:lang w:val="zh-CN"/>
        </w:rPr>
      </w:pPr>
    </w:p>
    <w:p>
      <w:pPr>
        <w:rPr>
          <w:rFonts w:hint="eastAsia" w:ascii="宋体" w:hAnsi="宋体" w:cs="宋体"/>
          <w:sz w:val="28"/>
          <w:szCs w:val="28"/>
          <w:lang w:val="zh-CN"/>
        </w:rPr>
      </w:pPr>
    </w:p>
    <w:p>
      <w:pPr>
        <w:rPr>
          <w:rFonts w:hint="eastAsia" w:ascii="宋体" w:hAnsi="宋体" w:cs="宋体"/>
          <w:sz w:val="28"/>
          <w:szCs w:val="28"/>
          <w:lang w:val="zh-CN"/>
        </w:rPr>
      </w:pPr>
    </w:p>
    <w:p>
      <w:pPr>
        <w:pStyle w:val="774"/>
        <w:ind w:firstLine="0" w:firstLineChars="0"/>
        <w:rPr>
          <w:rFonts w:hint="eastAsia" w:ascii="宋体" w:hAnsi="宋体" w:cs="宋体"/>
          <w:b/>
          <w:sz w:val="44"/>
          <w:szCs w:val="44"/>
        </w:rPr>
      </w:pPr>
    </w:p>
    <w:p>
      <w:pPr>
        <w:pStyle w:val="59"/>
        <w:rPr>
          <w:rFonts w:hint="eastAsia" w:hAnsi="宋体" w:cs="宋体"/>
          <w:lang w:val="zh-CN"/>
        </w:rPr>
      </w:pPr>
    </w:p>
    <w:p>
      <w:pPr>
        <w:spacing w:line="720" w:lineRule="auto"/>
        <w:ind w:left="480" w:hanging="480" w:hangingChars="200"/>
        <w:rPr>
          <w:rFonts w:hint="eastAsia" w:ascii="宋体" w:hAnsi="宋体" w:cs="宋体"/>
          <w:lang w:val="zh-CN"/>
        </w:rPr>
      </w:pPr>
    </w:p>
    <w:sectPr>
      <w:headerReference r:id="rId8" w:type="first"/>
      <w:footerReference r:id="rId11" w:type="first"/>
      <w:footerReference r:id="rId9" w:type="default"/>
      <w:footerReference r:id="rId10" w:type="even"/>
      <w:pgSz w:w="11907" w:h="16840"/>
      <w:pgMar w:top="1247" w:right="1247" w:bottom="1247" w:left="1247" w:header="737" w:footer="737"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_GB2312">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华文新魏">
    <w:altName w:val="宋体"/>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panose1 w:val="00000000000000000000"/>
    <w:charset w:val="86"/>
    <w:family w:val="roman"/>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Microsoft Himalaya">
    <w:panose1 w:val="01010100010101010101"/>
    <w:charset w:val="00"/>
    <w:family w:val="auto"/>
    <w:pitch w:val="default"/>
    <w:sig w:usb0="80000003" w:usb1="00010000" w:usb2="0000004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仿宋简体">
    <w:altName w:val="微软雅黑"/>
    <w:panose1 w:val="00000000000000000000"/>
    <w:charset w:val="86"/>
    <w:family w:val="auto"/>
    <w:pitch w:val="default"/>
    <w:sig w:usb0="00000000" w:usb1="0000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fldChar w:fldCharType="begin"/>
    </w:r>
    <w:r>
      <w:instrText xml:space="preserve"> PAGE   \* MERGEFORMAT </w:instrText>
    </w:r>
    <w:r>
      <w:fldChar w:fldCharType="separate"/>
    </w:r>
    <w:r>
      <w:rPr>
        <w:lang w:val="zh-CN"/>
      </w:rPr>
      <w:t>-</w:t>
    </w:r>
    <w:r>
      <w:t xml:space="preserve"> 2 -</w:t>
    </w:r>
    <w:r>
      <w:fldChar w:fldCharType="end"/>
    </w:r>
  </w:p>
  <w:p>
    <w:pPr>
      <w:pStyle w:val="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65"/>
      </w:rPr>
    </w:pPr>
    <w:r>
      <w:fldChar w:fldCharType="begin"/>
    </w:r>
    <w:r>
      <w:rPr>
        <w:rStyle w:val="65"/>
      </w:rPr>
      <w:instrText xml:space="preserve">PAGE  </w:instrText>
    </w:r>
    <w:r>
      <w:fldChar w:fldCharType="separate"/>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fldChar w:fldCharType="begin"/>
    </w:r>
    <w:r>
      <w:instrText xml:space="preserve"> PAGE   \* MERGEFORMAT </w:instrText>
    </w:r>
    <w:r>
      <w:fldChar w:fldCharType="separate"/>
    </w:r>
    <w:r>
      <w:rPr>
        <w:lang w:val="zh-CN"/>
      </w:rPr>
      <w:t>51</w:t>
    </w:r>
    <w:r>
      <w:fldChar w:fldCharType="end"/>
    </w:r>
  </w:p>
  <w:p>
    <w:pPr>
      <w:pStyle w:val="4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65"/>
      </w:rPr>
    </w:pPr>
    <w:r>
      <w:fldChar w:fldCharType="begin"/>
    </w:r>
    <w:r>
      <w:rPr>
        <w:rStyle w:val="65"/>
      </w:rPr>
      <w:instrText xml:space="preserve">PAGE  </w:instrText>
    </w:r>
    <w:r>
      <w:fldChar w:fldCharType="separate"/>
    </w:r>
    <w:r>
      <w:fldChar w:fldCharType="end"/>
    </w:r>
  </w:p>
  <w:p>
    <w:pPr>
      <w:pStyle w:val="4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page" w:x="5758" w:y="16"/>
      <w:rPr>
        <w:rStyle w:val="65"/>
      </w:rPr>
    </w:pPr>
  </w:p>
  <w:p>
    <w:pPr>
      <w:pStyle w:val="45"/>
      <w:ind w:right="360"/>
      <w:jc w:val="center"/>
    </w:pPr>
    <w:r>
      <w:fldChar w:fldCharType="begin"/>
    </w:r>
    <w:r>
      <w:rPr>
        <w:rStyle w:val="65"/>
      </w:rPr>
      <w:instrText xml:space="preserve"> PAGE </w:instrText>
    </w:r>
    <w:r>
      <w:fldChar w:fldCharType="separate"/>
    </w:r>
    <w:r>
      <w:rPr>
        <w:rStyle w:val="65"/>
      </w:rP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szCs w:val="48"/>
      </w:rPr>
    </w:pPr>
    <w:r>
      <w:rPr>
        <w:rFonts w:hint="eastAsia" w:ascii="宋体" w:hAnsi="宋体"/>
        <w:b/>
        <w:szCs w:val="18"/>
      </w:rPr>
      <w:t xml:space="preserve">国家税务总局汕头市金平区税务局2025-2027年物业管理服务采购项目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jc w:val="center"/>
      <w:rPr>
        <w:rFonts w:hint="eastAsia" w:hAnsi="宋体"/>
        <w:b/>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8179D"/>
    <w:multiLevelType w:val="singleLevel"/>
    <w:tmpl w:val="8DC8179D"/>
    <w:lvl w:ilvl="0" w:tentative="0">
      <w:start w:val="1"/>
      <w:numFmt w:val="decimal"/>
      <w:pStyle w:val="22"/>
      <w:lvlText w:val="%1."/>
      <w:lvlJc w:val="left"/>
      <w:pPr>
        <w:tabs>
          <w:tab w:val="left" w:pos="780"/>
        </w:tabs>
        <w:ind w:left="780" w:hanging="360"/>
      </w:pPr>
    </w:lvl>
  </w:abstractNum>
  <w:abstractNum w:abstractNumId="1">
    <w:nsid w:val="9514F9CF"/>
    <w:multiLevelType w:val="singleLevel"/>
    <w:tmpl w:val="9514F9CF"/>
    <w:lvl w:ilvl="0" w:tentative="0">
      <w:start w:val="8"/>
      <w:numFmt w:val="decimal"/>
      <w:suff w:val="nothing"/>
      <w:lvlText w:val="%1）"/>
      <w:lvlJc w:val="left"/>
    </w:lvl>
  </w:abstractNum>
  <w:abstractNum w:abstractNumId="2">
    <w:nsid w:val="BCFAE7D0"/>
    <w:multiLevelType w:val="singleLevel"/>
    <w:tmpl w:val="BCFAE7D0"/>
    <w:lvl w:ilvl="0" w:tentative="0">
      <w:start w:val="5"/>
      <w:numFmt w:val="chineseCounting"/>
      <w:suff w:val="nothing"/>
      <w:lvlText w:val="%1、"/>
      <w:lvlJc w:val="left"/>
      <w:rPr>
        <w:rFonts w:hint="eastAsia"/>
      </w:rPr>
    </w:lvl>
  </w:abstractNum>
  <w:abstractNum w:abstractNumId="3">
    <w:nsid w:val="D81C5D70"/>
    <w:multiLevelType w:val="singleLevel"/>
    <w:tmpl w:val="D81C5D70"/>
    <w:lvl w:ilvl="0" w:tentative="0">
      <w:start w:val="7"/>
      <w:numFmt w:val="decimal"/>
      <w:suff w:val="nothing"/>
      <w:lvlText w:val="%1）"/>
      <w:lvlJc w:val="left"/>
    </w:lvl>
  </w:abstractNum>
  <w:abstractNum w:abstractNumId="4">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5">
    <w:nsid w:val="0000000B"/>
    <w:multiLevelType w:val="multilevel"/>
    <w:tmpl w:val="0000000B"/>
    <w:lvl w:ilvl="0" w:tentative="0">
      <w:start w:val="9"/>
      <w:numFmt w:val="decimal"/>
      <w:pStyle w:val="547"/>
      <w:lvlText w:val="第%1篇"/>
      <w:lvlJc w:val="left"/>
      <w:pPr>
        <w:tabs>
          <w:tab w:val="left" w:pos="840"/>
        </w:tabs>
        <w:ind w:left="840" w:hanging="840"/>
      </w:pPr>
      <w:rPr>
        <w:rFonts w:hint="eastAsia"/>
      </w:rPr>
    </w:lvl>
    <w:lvl w:ilvl="1" w:tentative="0">
      <w:start w:val="1"/>
      <w:numFmt w:val="chineseCountingThousand"/>
      <w:lvlText w:val="（%2）"/>
      <w:lvlJc w:val="left"/>
      <w:pPr>
        <w:tabs>
          <w:tab w:val="left" w:pos="825"/>
        </w:tabs>
        <w:ind w:left="825" w:hanging="720"/>
      </w:pPr>
      <w:rPr>
        <w:rFonts w:hint="eastAsia"/>
        <w:lang w:val="en-US"/>
      </w:rPr>
    </w:lvl>
    <w:lvl w:ilvl="2" w:tentative="0">
      <w:start w:val="7"/>
      <w:numFmt w:val="japaneseCounting"/>
      <w:lvlText w:val="第%3篇"/>
      <w:lvlJc w:val="left"/>
      <w:pPr>
        <w:tabs>
          <w:tab w:val="left" w:pos="2115"/>
        </w:tabs>
        <w:ind w:left="2115" w:hanging="1275"/>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0C"/>
    <w:multiLevelType w:val="multilevel"/>
    <w:tmpl w:val="0000000C"/>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8"/>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0000000E"/>
    <w:multiLevelType w:val="singleLevel"/>
    <w:tmpl w:val="0000000E"/>
    <w:lvl w:ilvl="0" w:tentative="0">
      <w:start w:val="1"/>
      <w:numFmt w:val="decimal"/>
      <w:lvlText w:val="%1."/>
      <w:lvlJc w:val="left"/>
      <w:pPr>
        <w:tabs>
          <w:tab w:val="left" w:pos="300"/>
        </w:tabs>
        <w:ind w:left="300" w:hanging="300"/>
      </w:pPr>
      <w:rPr>
        <w:rFonts w:hint="eastAsia"/>
      </w:rPr>
    </w:lvl>
  </w:abstractNum>
  <w:abstractNum w:abstractNumId="8">
    <w:nsid w:val="00000013"/>
    <w:multiLevelType w:val="multilevel"/>
    <w:tmpl w:val="00000013"/>
    <w:lvl w:ilvl="0" w:tentative="0">
      <w:start w:val="1"/>
      <w:numFmt w:val="japaneseCounting"/>
      <w:pStyle w:val="827"/>
      <w:lvlText w:val="第%1章"/>
      <w:lvlJc w:val="left"/>
      <w:pPr>
        <w:tabs>
          <w:tab w:val="left" w:pos="2250"/>
        </w:tabs>
        <w:ind w:left="2250" w:hanging="1125"/>
      </w:pPr>
      <w:rPr>
        <w:rFonts w:hint="eastAsia"/>
      </w:rPr>
    </w:lvl>
    <w:lvl w:ilvl="1" w:tentative="0">
      <w:start w:val="1"/>
      <w:numFmt w:val="lowerLetter"/>
      <w:lvlText w:val="%2)"/>
      <w:lvlJc w:val="left"/>
      <w:pPr>
        <w:tabs>
          <w:tab w:val="left" w:pos="1965"/>
        </w:tabs>
        <w:ind w:left="1965" w:hanging="420"/>
      </w:pPr>
    </w:lvl>
    <w:lvl w:ilvl="2" w:tentative="0">
      <w:start w:val="1"/>
      <w:numFmt w:val="lowerRoman"/>
      <w:lvlText w:val="%3."/>
      <w:lvlJc w:val="right"/>
      <w:pPr>
        <w:tabs>
          <w:tab w:val="left" w:pos="2385"/>
        </w:tabs>
        <w:ind w:left="2385" w:hanging="420"/>
      </w:pPr>
    </w:lvl>
    <w:lvl w:ilvl="3" w:tentative="0">
      <w:start w:val="1"/>
      <w:numFmt w:val="decimal"/>
      <w:lvlText w:val="%4."/>
      <w:lvlJc w:val="left"/>
      <w:pPr>
        <w:tabs>
          <w:tab w:val="left" w:pos="2805"/>
        </w:tabs>
        <w:ind w:left="2805" w:hanging="420"/>
      </w:pPr>
    </w:lvl>
    <w:lvl w:ilvl="4" w:tentative="0">
      <w:start w:val="1"/>
      <w:numFmt w:val="lowerLetter"/>
      <w:lvlText w:val="%5)"/>
      <w:lvlJc w:val="left"/>
      <w:pPr>
        <w:tabs>
          <w:tab w:val="left" w:pos="3225"/>
        </w:tabs>
        <w:ind w:left="3225" w:hanging="420"/>
      </w:pPr>
    </w:lvl>
    <w:lvl w:ilvl="5" w:tentative="0">
      <w:start w:val="1"/>
      <w:numFmt w:val="lowerRoman"/>
      <w:lvlText w:val="%6."/>
      <w:lvlJc w:val="right"/>
      <w:pPr>
        <w:tabs>
          <w:tab w:val="left" w:pos="3645"/>
        </w:tabs>
        <w:ind w:left="3645" w:hanging="420"/>
      </w:pPr>
    </w:lvl>
    <w:lvl w:ilvl="6" w:tentative="0">
      <w:start w:val="1"/>
      <w:numFmt w:val="decimal"/>
      <w:lvlText w:val="%7."/>
      <w:lvlJc w:val="left"/>
      <w:pPr>
        <w:tabs>
          <w:tab w:val="left" w:pos="4065"/>
        </w:tabs>
        <w:ind w:left="4065" w:hanging="420"/>
      </w:pPr>
    </w:lvl>
    <w:lvl w:ilvl="7" w:tentative="0">
      <w:start w:val="1"/>
      <w:numFmt w:val="lowerLetter"/>
      <w:lvlText w:val="%8)"/>
      <w:lvlJc w:val="left"/>
      <w:pPr>
        <w:tabs>
          <w:tab w:val="left" w:pos="4485"/>
        </w:tabs>
        <w:ind w:left="4485" w:hanging="420"/>
      </w:pPr>
    </w:lvl>
    <w:lvl w:ilvl="8" w:tentative="0">
      <w:start w:val="1"/>
      <w:numFmt w:val="lowerRoman"/>
      <w:lvlText w:val="%9."/>
      <w:lvlJc w:val="right"/>
      <w:pPr>
        <w:tabs>
          <w:tab w:val="left" w:pos="4905"/>
        </w:tabs>
        <w:ind w:left="4905" w:hanging="420"/>
      </w:pPr>
    </w:lvl>
  </w:abstractNum>
  <w:abstractNum w:abstractNumId="9">
    <w:nsid w:val="0000001E"/>
    <w:multiLevelType w:val="multilevel"/>
    <w:tmpl w:val="0000001E"/>
    <w:lvl w:ilvl="0" w:tentative="0">
      <w:start w:val="1"/>
      <w:numFmt w:val="decimal"/>
      <w:pStyle w:val="334"/>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10">
    <w:nsid w:val="00000021"/>
    <w:multiLevelType w:val="multilevel"/>
    <w:tmpl w:val="00000021"/>
    <w:lvl w:ilvl="0" w:tentative="0">
      <w:start w:val="1"/>
      <w:numFmt w:val="chineseCountingThousand"/>
      <w:pStyle w:val="279"/>
      <w:lvlText w:val=" (%1)"/>
      <w:lvlJc w:val="left"/>
      <w:pPr>
        <w:tabs>
          <w:tab w:val="left" w:pos="1287"/>
        </w:tabs>
        <w:ind w:left="1134" w:hanging="567"/>
      </w:pPr>
      <w:rPr>
        <w:rFonts w:hint="eastAsia"/>
      </w:rPr>
    </w:lvl>
    <w:lvl w:ilvl="1" w:tentative="0">
      <w:start w:val="1"/>
      <w:numFmt w:val="decimal"/>
      <w:lvlText w:val="%2."/>
      <w:lvlJc w:val="left"/>
      <w:pPr>
        <w:tabs>
          <w:tab w:val="left" w:pos="987"/>
        </w:tabs>
        <w:ind w:left="987" w:hanging="567"/>
      </w:pPr>
      <w:rPr>
        <w:rFonts w:hint="default"/>
      </w:rPr>
    </w:lvl>
    <w:lvl w:ilvl="2" w:tentative="0">
      <w:start w:val="1"/>
      <w:numFmt w:val="decimal"/>
      <w:lvlText w:val="%3、"/>
      <w:lvlJc w:val="left"/>
      <w:pPr>
        <w:tabs>
          <w:tab w:val="left" w:pos="1200"/>
        </w:tabs>
        <w:ind w:left="1200" w:hanging="360"/>
      </w:pPr>
      <w:rPr>
        <w:rFonts w:hint="eastAsia"/>
      </w:rPr>
    </w:lvl>
    <w:lvl w:ilvl="3" w:tentative="0">
      <w:start w:val="1"/>
      <w:numFmt w:val="japaneseCounting"/>
      <w:lvlText w:val="%4、"/>
      <w:lvlJc w:val="left"/>
      <w:pPr>
        <w:tabs>
          <w:tab w:val="left" w:pos="3240"/>
        </w:tabs>
        <w:ind w:left="3240" w:hanging="198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4E04736"/>
    <w:multiLevelType w:val="singleLevel"/>
    <w:tmpl w:val="04E04736"/>
    <w:lvl w:ilvl="0" w:tentative="0">
      <w:start w:val="1"/>
      <w:numFmt w:val="decimal"/>
      <w:pStyle w:val="899"/>
      <w:lvlText w:val="%1）"/>
      <w:lvlJc w:val="left"/>
      <w:pPr>
        <w:tabs>
          <w:tab w:val="left" w:pos="1004"/>
        </w:tabs>
        <w:ind w:left="425" w:hanging="141"/>
      </w:pPr>
      <w:rPr>
        <w:rFonts w:hint="eastAsia"/>
      </w:rPr>
    </w:lvl>
  </w:abstractNum>
  <w:abstractNum w:abstractNumId="12">
    <w:nsid w:val="098C7407"/>
    <w:multiLevelType w:val="multilevel"/>
    <w:tmpl w:val="098C7407"/>
    <w:lvl w:ilvl="0" w:tentative="0">
      <w:start w:val="1"/>
      <w:numFmt w:val="bullet"/>
      <w:pStyle w:val="909"/>
      <w:lvlText w:val=""/>
      <w:lvlJc w:val="left"/>
      <w:pPr>
        <w:tabs>
          <w:tab w:val="left" w:pos="779"/>
        </w:tabs>
        <w:ind w:left="779" w:hanging="420"/>
      </w:pPr>
      <w:rPr>
        <w:rFonts w:hint="default" w:ascii="Wingdings" w:hAnsi="Wingdings"/>
      </w:rPr>
    </w:lvl>
    <w:lvl w:ilvl="1" w:tentative="0">
      <w:start w:val="1"/>
      <w:numFmt w:val="bullet"/>
      <w:lvlText w:val=""/>
      <w:lvlJc w:val="left"/>
      <w:pPr>
        <w:tabs>
          <w:tab w:val="left" w:pos="1199"/>
        </w:tabs>
        <w:ind w:left="1199" w:hanging="420"/>
      </w:pPr>
      <w:rPr>
        <w:rFonts w:hint="default" w:ascii="Wingdings" w:hAnsi="Wingdings"/>
      </w:rPr>
    </w:lvl>
    <w:lvl w:ilvl="2" w:tentative="0">
      <w:start w:val="1"/>
      <w:numFmt w:val="bullet"/>
      <w:lvlText w:val=""/>
      <w:lvlJc w:val="left"/>
      <w:pPr>
        <w:tabs>
          <w:tab w:val="left" w:pos="1619"/>
        </w:tabs>
        <w:ind w:left="1619" w:hanging="420"/>
      </w:pPr>
      <w:rPr>
        <w:rFonts w:hint="default" w:ascii="Wingdings" w:hAnsi="Wingdings"/>
      </w:rPr>
    </w:lvl>
    <w:lvl w:ilvl="3" w:tentative="0">
      <w:start w:val="1"/>
      <w:numFmt w:val="bullet"/>
      <w:lvlText w:val=""/>
      <w:lvlJc w:val="left"/>
      <w:pPr>
        <w:tabs>
          <w:tab w:val="left" w:pos="2039"/>
        </w:tabs>
        <w:ind w:left="2039" w:hanging="420"/>
      </w:pPr>
      <w:rPr>
        <w:rFonts w:hint="default" w:ascii="Wingdings" w:hAnsi="Wingdings"/>
      </w:rPr>
    </w:lvl>
    <w:lvl w:ilvl="4" w:tentative="0">
      <w:start w:val="1"/>
      <w:numFmt w:val="bullet"/>
      <w:lvlText w:val=""/>
      <w:lvlJc w:val="left"/>
      <w:pPr>
        <w:tabs>
          <w:tab w:val="left" w:pos="2459"/>
        </w:tabs>
        <w:ind w:left="2459" w:hanging="420"/>
      </w:pPr>
      <w:rPr>
        <w:rFonts w:hint="default" w:ascii="Wingdings" w:hAnsi="Wingdings"/>
      </w:rPr>
    </w:lvl>
    <w:lvl w:ilvl="5" w:tentative="0">
      <w:start w:val="1"/>
      <w:numFmt w:val="bullet"/>
      <w:lvlText w:val=""/>
      <w:lvlJc w:val="left"/>
      <w:pPr>
        <w:tabs>
          <w:tab w:val="left" w:pos="2879"/>
        </w:tabs>
        <w:ind w:left="2879" w:hanging="420"/>
      </w:pPr>
      <w:rPr>
        <w:rFonts w:hint="default" w:ascii="Wingdings" w:hAnsi="Wingdings"/>
      </w:rPr>
    </w:lvl>
    <w:lvl w:ilvl="6" w:tentative="0">
      <w:start w:val="1"/>
      <w:numFmt w:val="bullet"/>
      <w:lvlText w:val=""/>
      <w:lvlJc w:val="left"/>
      <w:pPr>
        <w:tabs>
          <w:tab w:val="left" w:pos="3299"/>
        </w:tabs>
        <w:ind w:left="3299" w:hanging="420"/>
      </w:pPr>
      <w:rPr>
        <w:rFonts w:hint="default" w:ascii="Wingdings" w:hAnsi="Wingdings"/>
      </w:rPr>
    </w:lvl>
    <w:lvl w:ilvl="7" w:tentative="0">
      <w:start w:val="1"/>
      <w:numFmt w:val="bullet"/>
      <w:lvlText w:val=""/>
      <w:lvlJc w:val="left"/>
      <w:pPr>
        <w:tabs>
          <w:tab w:val="left" w:pos="3719"/>
        </w:tabs>
        <w:ind w:left="3719" w:hanging="420"/>
      </w:pPr>
      <w:rPr>
        <w:rFonts w:hint="default" w:ascii="Wingdings" w:hAnsi="Wingdings"/>
      </w:rPr>
    </w:lvl>
    <w:lvl w:ilvl="8" w:tentative="0">
      <w:start w:val="1"/>
      <w:numFmt w:val="bullet"/>
      <w:lvlText w:val=""/>
      <w:lvlJc w:val="left"/>
      <w:pPr>
        <w:tabs>
          <w:tab w:val="left" w:pos="4139"/>
        </w:tabs>
        <w:ind w:left="4139" w:hanging="420"/>
      </w:pPr>
      <w:rPr>
        <w:rFonts w:hint="default" w:ascii="Wingdings" w:hAnsi="Wingdings"/>
      </w:rPr>
    </w:lvl>
  </w:abstractNum>
  <w:abstractNum w:abstractNumId="13">
    <w:nsid w:val="35CA3958"/>
    <w:multiLevelType w:val="multilevel"/>
    <w:tmpl w:val="35CA395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DA1F89"/>
    <w:multiLevelType w:val="multilevel"/>
    <w:tmpl w:val="40DA1F89"/>
    <w:lvl w:ilvl="0" w:tentative="0">
      <w:start w:val="1"/>
      <w:numFmt w:val="bullet"/>
      <w:pStyle w:val="88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50F6C75A"/>
    <w:multiLevelType w:val="singleLevel"/>
    <w:tmpl w:val="50F6C75A"/>
    <w:lvl w:ilvl="0" w:tentative="0">
      <w:start w:val="1"/>
      <w:numFmt w:val="decimal"/>
      <w:suff w:val="nothing"/>
      <w:lvlText w:val="%1）"/>
      <w:lvlJc w:val="left"/>
    </w:lvl>
  </w:abstractNum>
  <w:abstractNum w:abstractNumId="17">
    <w:nsid w:val="525546F8"/>
    <w:multiLevelType w:val="singleLevel"/>
    <w:tmpl w:val="525546F8"/>
    <w:lvl w:ilvl="0" w:tentative="0">
      <w:start w:val="6"/>
      <w:numFmt w:val="chineseCounting"/>
      <w:suff w:val="nothing"/>
      <w:lvlText w:val="%1、"/>
      <w:lvlJc w:val="left"/>
      <w:rPr>
        <w:rFonts w:hint="eastAsia"/>
      </w:rPr>
    </w:lvl>
  </w:abstractNum>
  <w:abstractNum w:abstractNumId="18">
    <w:nsid w:val="54C849DA"/>
    <w:multiLevelType w:val="multilevel"/>
    <w:tmpl w:val="54C849DA"/>
    <w:lvl w:ilvl="0" w:tentative="0">
      <w:start w:val="1"/>
      <w:numFmt w:val="decimal"/>
      <w:pStyle w:val="521"/>
      <w:lvlText w:val="%1"/>
      <w:lvlJc w:val="left"/>
      <w:pPr>
        <w:ind w:left="425" w:hanging="425"/>
      </w:pPr>
      <w:rPr>
        <w:rFonts w:hint="eastAsia" w:cs="Times New Roman"/>
      </w:rPr>
    </w:lvl>
    <w:lvl w:ilvl="1" w:tentative="0">
      <w:start w:val="1"/>
      <w:numFmt w:val="decimal"/>
      <w:pStyle w:val="684"/>
      <w:lvlText w:val="%1.%2"/>
      <w:lvlJc w:val="left"/>
      <w:pPr>
        <w:ind w:left="992" w:hanging="567"/>
      </w:pPr>
      <w:rPr>
        <w:rFonts w:hint="eastAsia" w:cs="Times New Roman"/>
      </w:rPr>
    </w:lvl>
    <w:lvl w:ilvl="2" w:tentative="0">
      <w:start w:val="1"/>
      <w:numFmt w:val="decimal"/>
      <w:pStyle w:val="162"/>
      <w:lvlText w:val="%1.%2.%3"/>
      <w:lvlJc w:val="left"/>
      <w:pPr>
        <w:ind w:left="567" w:hanging="567"/>
      </w:pPr>
      <w:rPr>
        <w:rFonts w:hint="eastAsia" w:cs="Times New Roman"/>
      </w:rPr>
    </w:lvl>
    <w:lvl w:ilvl="3" w:tentative="0">
      <w:start w:val="1"/>
      <w:numFmt w:val="decimal"/>
      <w:pStyle w:val="267"/>
      <w:lvlText w:val="%1.%2.%3.%4"/>
      <w:lvlJc w:val="left"/>
      <w:pPr>
        <w:ind w:left="113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9">
    <w:nsid w:val="66BB698F"/>
    <w:multiLevelType w:val="multilevel"/>
    <w:tmpl w:val="66BB698F"/>
    <w:lvl w:ilvl="0" w:tentative="0">
      <w:start w:val="1"/>
      <w:numFmt w:val="decimal"/>
      <w:lvlText w:val="%1"/>
      <w:lvlJc w:val="left"/>
      <w:pPr>
        <w:tabs>
          <w:tab w:val="left" w:pos="432"/>
        </w:tabs>
        <w:ind w:left="432" w:hanging="432"/>
      </w:pPr>
    </w:lvl>
    <w:lvl w:ilvl="1" w:tentative="0">
      <w:start w:val="1"/>
      <w:numFmt w:val="decimal"/>
      <w:pStyle w:val="902"/>
      <w:lvlText w:val="%1.%2"/>
      <w:lvlJc w:val="left"/>
      <w:pPr>
        <w:tabs>
          <w:tab w:val="left" w:pos="576"/>
        </w:tabs>
        <w:ind w:left="576" w:hanging="576"/>
      </w:pPr>
    </w:lvl>
    <w:lvl w:ilvl="2" w:tentative="0">
      <w:start w:val="1"/>
      <w:numFmt w:val="decimal"/>
      <w:pStyle w:val="903"/>
      <w:lvlText w:val="%1.%2.%3"/>
      <w:lvlJc w:val="left"/>
      <w:pPr>
        <w:tabs>
          <w:tab w:val="left" w:pos="720"/>
        </w:tabs>
        <w:ind w:left="720" w:hanging="720"/>
      </w:pPr>
    </w:lvl>
    <w:lvl w:ilvl="3" w:tentative="0">
      <w:start w:val="1"/>
      <w:numFmt w:val="decimal"/>
      <w:pStyle w:val="90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0">
    <w:nsid w:val="67413FF7"/>
    <w:multiLevelType w:val="singleLevel"/>
    <w:tmpl w:val="67413FF7"/>
    <w:lvl w:ilvl="0" w:tentative="0">
      <w:start w:val="4"/>
      <w:numFmt w:val="decimal"/>
      <w:suff w:val="nothing"/>
      <w:lvlText w:val="%1、"/>
      <w:lvlJc w:val="left"/>
    </w:lvl>
  </w:abstractNum>
  <w:abstractNum w:abstractNumId="21">
    <w:nsid w:val="6DD9647E"/>
    <w:multiLevelType w:val="multilevel"/>
    <w:tmpl w:val="6DD9647E"/>
    <w:lvl w:ilvl="0" w:tentative="0">
      <w:start w:val="1"/>
      <w:numFmt w:val="decimal"/>
      <w:pStyle w:val="907"/>
      <w:lvlText w:val="%1."/>
      <w:lvlJc w:val="left"/>
      <w:pPr>
        <w:tabs>
          <w:tab w:val="left" w:pos="537"/>
        </w:tabs>
        <w:ind w:left="537" w:hanging="42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964"/>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0C45358"/>
    <w:multiLevelType w:val="multilevel"/>
    <w:tmpl w:val="70C45358"/>
    <w:lvl w:ilvl="0" w:tentative="0">
      <w:start w:val="1"/>
      <w:numFmt w:val="decimal"/>
      <w:pStyle w:val="673"/>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567"/>
        </w:tabs>
        <w:ind w:left="0" w:firstLine="0"/>
      </w:pPr>
      <w:rPr>
        <w:rFonts w:hint="eastAsia"/>
      </w:rPr>
    </w:lvl>
    <w:lvl w:ilvl="3" w:tentative="0">
      <w:start w:val="1"/>
      <w:numFmt w:val="decimal"/>
      <w:pStyle w:val="336"/>
      <w:lvlText w:val="%1.%2.%3.%4"/>
      <w:lvlJc w:val="left"/>
      <w:pPr>
        <w:tabs>
          <w:tab w:val="left" w:pos="567"/>
        </w:tabs>
        <w:ind w:left="0" w:firstLine="0"/>
      </w:pPr>
      <w:rPr>
        <w:rFonts w:hint="eastAsia"/>
      </w:rPr>
    </w:lvl>
    <w:lvl w:ilvl="4" w:tentative="0">
      <w:start w:val="1"/>
      <w:numFmt w:val="decimal"/>
      <w:pStyle w:val="558"/>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7D8D69CA"/>
    <w:multiLevelType w:val="multilevel"/>
    <w:tmpl w:val="7D8D69CA"/>
    <w:lvl w:ilvl="0" w:tentative="0">
      <w:start w:val="1"/>
      <w:numFmt w:val="decimal"/>
      <w:pStyle w:val="483"/>
      <w:lvlText w:val="%1."/>
      <w:lvlJc w:val="left"/>
      <w:pPr>
        <w:ind w:left="425" w:hanging="425"/>
      </w:pPr>
      <w:rPr>
        <w:rFonts w:hint="default" w:ascii="Arial" w:hAnsi="Arial" w:cs="Arial"/>
      </w:rPr>
    </w:lvl>
    <w:lvl w:ilvl="1" w:tentative="0">
      <w:start w:val="1"/>
      <w:numFmt w:val="decimal"/>
      <w:lvlText w:val="%1.%2."/>
      <w:lvlJc w:val="left"/>
      <w:pPr>
        <w:ind w:left="567" w:hanging="567"/>
      </w:pPr>
      <w:rPr>
        <w:rFonts w:hint="default" w:ascii="Arial" w:hAnsi="Arial" w:cs="Arial"/>
      </w:rPr>
    </w:lvl>
    <w:lvl w:ilvl="2" w:tentative="0">
      <w:start w:val="1"/>
      <w:numFmt w:val="decimal"/>
      <w:lvlText w:val="%1.%2.%3."/>
      <w:lvlJc w:val="left"/>
      <w:pPr>
        <w:ind w:left="709" w:hanging="709"/>
      </w:pPr>
      <w:rPr>
        <w:rFonts w:hint="default" w:ascii="Arial" w:hAnsi="Arial" w:cs="Arial"/>
      </w:rPr>
    </w:lvl>
    <w:lvl w:ilvl="3" w:tentative="0">
      <w:start w:val="1"/>
      <w:numFmt w:val="decimal"/>
      <w:lvlText w:val="%1.%2.%3.%4."/>
      <w:lvlJc w:val="left"/>
      <w:pPr>
        <w:ind w:left="851" w:hanging="851"/>
      </w:pPr>
      <w:rPr>
        <w:rFonts w:hint="default" w:ascii="Arial" w:hAnsi="Arial" w:cs="Arial"/>
      </w:rPr>
    </w:lvl>
    <w:lvl w:ilvl="4" w:tentative="0">
      <w:start w:val="1"/>
      <w:numFmt w:val="decimal"/>
      <w:lvlText w:val="%1.%2.%3.%4.%5."/>
      <w:lvlJc w:val="left"/>
      <w:pPr>
        <w:ind w:left="992" w:hanging="992"/>
      </w:pPr>
      <w:rPr>
        <w:rFonts w:hint="default" w:ascii="Arial" w:hAnsi="Arial" w:cs="Arial"/>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6"/>
  </w:num>
  <w:num w:numId="2">
    <w:abstractNumId w:val="0"/>
  </w:num>
  <w:num w:numId="3">
    <w:abstractNumId w:val="4"/>
  </w:num>
  <w:num w:numId="4">
    <w:abstractNumId w:val="18"/>
  </w:num>
  <w:num w:numId="5">
    <w:abstractNumId w:val="10"/>
  </w:num>
  <w:num w:numId="6">
    <w:abstractNumId w:val="9"/>
  </w:num>
  <w:num w:numId="7">
    <w:abstractNumId w:val="22"/>
  </w:num>
  <w:num w:numId="8">
    <w:abstractNumId w:val="23"/>
  </w:num>
  <w:num w:numId="9">
    <w:abstractNumId w:val="5"/>
  </w:num>
  <w:num w:numId="10">
    <w:abstractNumId w:val="8"/>
  </w:num>
  <w:num w:numId="11">
    <w:abstractNumId w:val="14"/>
  </w:num>
  <w:num w:numId="12">
    <w:abstractNumId w:val="11"/>
  </w:num>
  <w:num w:numId="13">
    <w:abstractNumId w:val="19"/>
  </w:num>
  <w:num w:numId="14">
    <w:abstractNumId w:val="21"/>
  </w:num>
  <w:num w:numId="15">
    <w:abstractNumId w:val="12"/>
  </w:num>
  <w:num w:numId="16">
    <w:abstractNumId w:val="20"/>
  </w:num>
  <w:num w:numId="17">
    <w:abstractNumId w:val="16"/>
  </w:num>
  <w:num w:numId="18">
    <w:abstractNumId w:val="3"/>
  </w:num>
  <w:num w:numId="19">
    <w:abstractNumId w:val="1"/>
  </w:num>
  <w:num w:numId="20">
    <w:abstractNumId w:val="7"/>
  </w:num>
  <w:num w:numId="21">
    <w:abstractNumId w:val="13"/>
  </w:num>
  <w:num w:numId="22">
    <w:abstractNumId w:val="2"/>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kOTU1M2E5NTRjNzQ1NzY5ZWY5YzE1OGUzNTEifQ=="/>
  </w:docVars>
  <w:rsids>
    <w:rsidRoot w:val="00172A27"/>
    <w:rsid w:val="00001491"/>
    <w:rsid w:val="00001FFE"/>
    <w:rsid w:val="00005167"/>
    <w:rsid w:val="000056A2"/>
    <w:rsid w:val="0000671B"/>
    <w:rsid w:val="00007BCF"/>
    <w:rsid w:val="000105FD"/>
    <w:rsid w:val="0001206F"/>
    <w:rsid w:val="0001256B"/>
    <w:rsid w:val="00012ADF"/>
    <w:rsid w:val="00012BB1"/>
    <w:rsid w:val="00016ECB"/>
    <w:rsid w:val="00016FFF"/>
    <w:rsid w:val="000170CD"/>
    <w:rsid w:val="00021CB7"/>
    <w:rsid w:val="000226DA"/>
    <w:rsid w:val="00025126"/>
    <w:rsid w:val="00025942"/>
    <w:rsid w:val="00027AC6"/>
    <w:rsid w:val="00032DE4"/>
    <w:rsid w:val="0003395A"/>
    <w:rsid w:val="00035B00"/>
    <w:rsid w:val="00035E62"/>
    <w:rsid w:val="0003784C"/>
    <w:rsid w:val="000405A9"/>
    <w:rsid w:val="00040C2A"/>
    <w:rsid w:val="00041D23"/>
    <w:rsid w:val="00043F88"/>
    <w:rsid w:val="000456A4"/>
    <w:rsid w:val="000459C6"/>
    <w:rsid w:val="00045D7E"/>
    <w:rsid w:val="000504CD"/>
    <w:rsid w:val="000507B2"/>
    <w:rsid w:val="00050960"/>
    <w:rsid w:val="00050CC3"/>
    <w:rsid w:val="000516B1"/>
    <w:rsid w:val="000516E6"/>
    <w:rsid w:val="00051D3C"/>
    <w:rsid w:val="00052047"/>
    <w:rsid w:val="000561CF"/>
    <w:rsid w:val="0005688A"/>
    <w:rsid w:val="0006097C"/>
    <w:rsid w:val="00060DD8"/>
    <w:rsid w:val="00064A9B"/>
    <w:rsid w:val="0006600C"/>
    <w:rsid w:val="00070320"/>
    <w:rsid w:val="00073EDE"/>
    <w:rsid w:val="00074350"/>
    <w:rsid w:val="00074AE6"/>
    <w:rsid w:val="00074E71"/>
    <w:rsid w:val="00081148"/>
    <w:rsid w:val="0008119F"/>
    <w:rsid w:val="000839E9"/>
    <w:rsid w:val="00084C6A"/>
    <w:rsid w:val="000863F2"/>
    <w:rsid w:val="00087B74"/>
    <w:rsid w:val="00087C2D"/>
    <w:rsid w:val="00090963"/>
    <w:rsid w:val="00092013"/>
    <w:rsid w:val="000927E3"/>
    <w:rsid w:val="00094F56"/>
    <w:rsid w:val="00095314"/>
    <w:rsid w:val="000954D2"/>
    <w:rsid w:val="00097591"/>
    <w:rsid w:val="000A20C9"/>
    <w:rsid w:val="000A3FF0"/>
    <w:rsid w:val="000A6143"/>
    <w:rsid w:val="000B2174"/>
    <w:rsid w:val="000B3CA7"/>
    <w:rsid w:val="000B4427"/>
    <w:rsid w:val="000B48B6"/>
    <w:rsid w:val="000B718C"/>
    <w:rsid w:val="000B74DA"/>
    <w:rsid w:val="000C15AB"/>
    <w:rsid w:val="000C16E1"/>
    <w:rsid w:val="000C29F3"/>
    <w:rsid w:val="000C339F"/>
    <w:rsid w:val="000C4100"/>
    <w:rsid w:val="000C55F6"/>
    <w:rsid w:val="000C5737"/>
    <w:rsid w:val="000C5EED"/>
    <w:rsid w:val="000D24CB"/>
    <w:rsid w:val="000D2DB1"/>
    <w:rsid w:val="000D64DF"/>
    <w:rsid w:val="000D6B26"/>
    <w:rsid w:val="000E1548"/>
    <w:rsid w:val="000E1B88"/>
    <w:rsid w:val="000E1BF6"/>
    <w:rsid w:val="000E7759"/>
    <w:rsid w:val="000F0515"/>
    <w:rsid w:val="000F058B"/>
    <w:rsid w:val="000F0A54"/>
    <w:rsid w:val="000F1AB9"/>
    <w:rsid w:val="000F28E2"/>
    <w:rsid w:val="000F4169"/>
    <w:rsid w:val="000F483A"/>
    <w:rsid w:val="000F569D"/>
    <w:rsid w:val="000F759C"/>
    <w:rsid w:val="000F7638"/>
    <w:rsid w:val="00101C4D"/>
    <w:rsid w:val="001026D7"/>
    <w:rsid w:val="00102A9C"/>
    <w:rsid w:val="00103D8B"/>
    <w:rsid w:val="001047CB"/>
    <w:rsid w:val="00106464"/>
    <w:rsid w:val="0011024B"/>
    <w:rsid w:val="00111EF6"/>
    <w:rsid w:val="00112AF6"/>
    <w:rsid w:val="00114735"/>
    <w:rsid w:val="00114EAA"/>
    <w:rsid w:val="0011712D"/>
    <w:rsid w:val="00120879"/>
    <w:rsid w:val="00123FEE"/>
    <w:rsid w:val="0012616B"/>
    <w:rsid w:val="00127459"/>
    <w:rsid w:val="00133658"/>
    <w:rsid w:val="001366E8"/>
    <w:rsid w:val="00136B0A"/>
    <w:rsid w:val="00137C67"/>
    <w:rsid w:val="0014049D"/>
    <w:rsid w:val="001406A6"/>
    <w:rsid w:val="00141674"/>
    <w:rsid w:val="001435F3"/>
    <w:rsid w:val="00143648"/>
    <w:rsid w:val="00144E30"/>
    <w:rsid w:val="00145406"/>
    <w:rsid w:val="00146D06"/>
    <w:rsid w:val="00146D0D"/>
    <w:rsid w:val="00147A9D"/>
    <w:rsid w:val="00147EB2"/>
    <w:rsid w:val="00151563"/>
    <w:rsid w:val="00153250"/>
    <w:rsid w:val="0015343D"/>
    <w:rsid w:val="001536CD"/>
    <w:rsid w:val="00153E20"/>
    <w:rsid w:val="00154813"/>
    <w:rsid w:val="00156A0C"/>
    <w:rsid w:val="00156B9D"/>
    <w:rsid w:val="00157049"/>
    <w:rsid w:val="00157FD1"/>
    <w:rsid w:val="001606DC"/>
    <w:rsid w:val="0016175C"/>
    <w:rsid w:val="00162021"/>
    <w:rsid w:val="001630A5"/>
    <w:rsid w:val="00163A00"/>
    <w:rsid w:val="0016439A"/>
    <w:rsid w:val="0016754D"/>
    <w:rsid w:val="00167E43"/>
    <w:rsid w:val="00172261"/>
    <w:rsid w:val="00172A27"/>
    <w:rsid w:val="0017303F"/>
    <w:rsid w:val="00173A19"/>
    <w:rsid w:val="00175B94"/>
    <w:rsid w:val="001803D9"/>
    <w:rsid w:val="001803E6"/>
    <w:rsid w:val="0018059A"/>
    <w:rsid w:val="00180780"/>
    <w:rsid w:val="00182779"/>
    <w:rsid w:val="00183F44"/>
    <w:rsid w:val="00185EDF"/>
    <w:rsid w:val="0018703B"/>
    <w:rsid w:val="00187EF0"/>
    <w:rsid w:val="00190457"/>
    <w:rsid w:val="00190622"/>
    <w:rsid w:val="00190CEC"/>
    <w:rsid w:val="00192403"/>
    <w:rsid w:val="001944D0"/>
    <w:rsid w:val="00196331"/>
    <w:rsid w:val="001A04CF"/>
    <w:rsid w:val="001A11FA"/>
    <w:rsid w:val="001A1D0F"/>
    <w:rsid w:val="001A2E2A"/>
    <w:rsid w:val="001A2EF8"/>
    <w:rsid w:val="001A3135"/>
    <w:rsid w:val="001A3B8D"/>
    <w:rsid w:val="001A7C32"/>
    <w:rsid w:val="001B0115"/>
    <w:rsid w:val="001B06D7"/>
    <w:rsid w:val="001B19C7"/>
    <w:rsid w:val="001B1C06"/>
    <w:rsid w:val="001B26D1"/>
    <w:rsid w:val="001B2F06"/>
    <w:rsid w:val="001B3A67"/>
    <w:rsid w:val="001B4531"/>
    <w:rsid w:val="001B5B78"/>
    <w:rsid w:val="001B6854"/>
    <w:rsid w:val="001B7672"/>
    <w:rsid w:val="001C2010"/>
    <w:rsid w:val="001C291E"/>
    <w:rsid w:val="001C5155"/>
    <w:rsid w:val="001C68D1"/>
    <w:rsid w:val="001D05C2"/>
    <w:rsid w:val="001D14C7"/>
    <w:rsid w:val="001D1FEB"/>
    <w:rsid w:val="001D2046"/>
    <w:rsid w:val="001D37E9"/>
    <w:rsid w:val="001D586D"/>
    <w:rsid w:val="001D5A09"/>
    <w:rsid w:val="001D6BE7"/>
    <w:rsid w:val="001E1763"/>
    <w:rsid w:val="001E258B"/>
    <w:rsid w:val="001E29B3"/>
    <w:rsid w:val="001E4536"/>
    <w:rsid w:val="001E6B5C"/>
    <w:rsid w:val="001E6EF9"/>
    <w:rsid w:val="001E7602"/>
    <w:rsid w:val="001F15FC"/>
    <w:rsid w:val="001F19FA"/>
    <w:rsid w:val="001F1BDE"/>
    <w:rsid w:val="001F2BF7"/>
    <w:rsid w:val="001F3B7C"/>
    <w:rsid w:val="001F45B4"/>
    <w:rsid w:val="001F54A4"/>
    <w:rsid w:val="001F5B03"/>
    <w:rsid w:val="001F719F"/>
    <w:rsid w:val="001F7456"/>
    <w:rsid w:val="001F7ACE"/>
    <w:rsid w:val="00202163"/>
    <w:rsid w:val="00202C35"/>
    <w:rsid w:val="00203684"/>
    <w:rsid w:val="002043FA"/>
    <w:rsid w:val="00205A50"/>
    <w:rsid w:val="00206B6E"/>
    <w:rsid w:val="0020775E"/>
    <w:rsid w:val="00210A9C"/>
    <w:rsid w:val="00211694"/>
    <w:rsid w:val="0021290D"/>
    <w:rsid w:val="002137FC"/>
    <w:rsid w:val="002142ED"/>
    <w:rsid w:val="00216295"/>
    <w:rsid w:val="002168D2"/>
    <w:rsid w:val="00216D03"/>
    <w:rsid w:val="00217A3C"/>
    <w:rsid w:val="00220BAE"/>
    <w:rsid w:val="002212B2"/>
    <w:rsid w:val="002218E6"/>
    <w:rsid w:val="0022561B"/>
    <w:rsid w:val="002259F3"/>
    <w:rsid w:val="00225A79"/>
    <w:rsid w:val="00225EE5"/>
    <w:rsid w:val="002265D3"/>
    <w:rsid w:val="00230318"/>
    <w:rsid w:val="002312BD"/>
    <w:rsid w:val="00233083"/>
    <w:rsid w:val="002337D2"/>
    <w:rsid w:val="00234B54"/>
    <w:rsid w:val="00235B5F"/>
    <w:rsid w:val="00235D85"/>
    <w:rsid w:val="00236BE7"/>
    <w:rsid w:val="0023783B"/>
    <w:rsid w:val="00241FBE"/>
    <w:rsid w:val="002428D1"/>
    <w:rsid w:val="00243349"/>
    <w:rsid w:val="00243741"/>
    <w:rsid w:val="002439EA"/>
    <w:rsid w:val="002454F3"/>
    <w:rsid w:val="00246FAB"/>
    <w:rsid w:val="002505DE"/>
    <w:rsid w:val="00250808"/>
    <w:rsid w:val="00251FCC"/>
    <w:rsid w:val="00252421"/>
    <w:rsid w:val="00253E39"/>
    <w:rsid w:val="0025484D"/>
    <w:rsid w:val="00255441"/>
    <w:rsid w:val="00255FD0"/>
    <w:rsid w:val="00256040"/>
    <w:rsid w:val="00257C76"/>
    <w:rsid w:val="00260A3B"/>
    <w:rsid w:val="00261664"/>
    <w:rsid w:val="002643AA"/>
    <w:rsid w:val="00265318"/>
    <w:rsid w:val="00271111"/>
    <w:rsid w:val="00272B0C"/>
    <w:rsid w:val="00272E06"/>
    <w:rsid w:val="00273020"/>
    <w:rsid w:val="002735D5"/>
    <w:rsid w:val="00274FB7"/>
    <w:rsid w:val="00275677"/>
    <w:rsid w:val="002756FA"/>
    <w:rsid w:val="00277826"/>
    <w:rsid w:val="00277EEA"/>
    <w:rsid w:val="00282E6C"/>
    <w:rsid w:val="0028466E"/>
    <w:rsid w:val="002849E6"/>
    <w:rsid w:val="00284CC5"/>
    <w:rsid w:val="0028667D"/>
    <w:rsid w:val="00291C42"/>
    <w:rsid w:val="00292B59"/>
    <w:rsid w:val="0029564D"/>
    <w:rsid w:val="002967B2"/>
    <w:rsid w:val="002970DA"/>
    <w:rsid w:val="002973B6"/>
    <w:rsid w:val="00297A46"/>
    <w:rsid w:val="002A0421"/>
    <w:rsid w:val="002A18AE"/>
    <w:rsid w:val="002A2064"/>
    <w:rsid w:val="002A2E4B"/>
    <w:rsid w:val="002A420E"/>
    <w:rsid w:val="002A499E"/>
    <w:rsid w:val="002A60E2"/>
    <w:rsid w:val="002A71C6"/>
    <w:rsid w:val="002A75B5"/>
    <w:rsid w:val="002B2BB1"/>
    <w:rsid w:val="002C0745"/>
    <w:rsid w:val="002C0CF5"/>
    <w:rsid w:val="002C187A"/>
    <w:rsid w:val="002C3C34"/>
    <w:rsid w:val="002C4BF1"/>
    <w:rsid w:val="002C4FFC"/>
    <w:rsid w:val="002C5ABE"/>
    <w:rsid w:val="002C5D20"/>
    <w:rsid w:val="002C6DE1"/>
    <w:rsid w:val="002C7534"/>
    <w:rsid w:val="002C7E50"/>
    <w:rsid w:val="002C7E8E"/>
    <w:rsid w:val="002D1DA1"/>
    <w:rsid w:val="002D3C41"/>
    <w:rsid w:val="002D3D50"/>
    <w:rsid w:val="002D4F2E"/>
    <w:rsid w:val="002D4F3E"/>
    <w:rsid w:val="002D7155"/>
    <w:rsid w:val="002D7640"/>
    <w:rsid w:val="002E0374"/>
    <w:rsid w:val="002E0537"/>
    <w:rsid w:val="002E0545"/>
    <w:rsid w:val="002E076C"/>
    <w:rsid w:val="002E5E2C"/>
    <w:rsid w:val="002E671F"/>
    <w:rsid w:val="002E67F5"/>
    <w:rsid w:val="002E6A36"/>
    <w:rsid w:val="002E6C58"/>
    <w:rsid w:val="002E7348"/>
    <w:rsid w:val="002F0F5D"/>
    <w:rsid w:val="002F1C2B"/>
    <w:rsid w:val="002F50A7"/>
    <w:rsid w:val="002F510A"/>
    <w:rsid w:val="002F5735"/>
    <w:rsid w:val="002F6E5B"/>
    <w:rsid w:val="002F72EC"/>
    <w:rsid w:val="002F74C6"/>
    <w:rsid w:val="0030173C"/>
    <w:rsid w:val="00304C85"/>
    <w:rsid w:val="003109E8"/>
    <w:rsid w:val="003126B5"/>
    <w:rsid w:val="00312A01"/>
    <w:rsid w:val="00313E83"/>
    <w:rsid w:val="0031405A"/>
    <w:rsid w:val="003140EF"/>
    <w:rsid w:val="003167E8"/>
    <w:rsid w:val="00316F9E"/>
    <w:rsid w:val="0032054A"/>
    <w:rsid w:val="00322BE4"/>
    <w:rsid w:val="0032349C"/>
    <w:rsid w:val="003239FF"/>
    <w:rsid w:val="0033091B"/>
    <w:rsid w:val="00332078"/>
    <w:rsid w:val="003324BE"/>
    <w:rsid w:val="0033326B"/>
    <w:rsid w:val="00336D25"/>
    <w:rsid w:val="00340B09"/>
    <w:rsid w:val="00340F6B"/>
    <w:rsid w:val="003444D9"/>
    <w:rsid w:val="00344C25"/>
    <w:rsid w:val="00344F7B"/>
    <w:rsid w:val="003460B8"/>
    <w:rsid w:val="00347BFA"/>
    <w:rsid w:val="00350506"/>
    <w:rsid w:val="00351399"/>
    <w:rsid w:val="00351B21"/>
    <w:rsid w:val="003540A3"/>
    <w:rsid w:val="00356878"/>
    <w:rsid w:val="0035719F"/>
    <w:rsid w:val="00357D70"/>
    <w:rsid w:val="00357D93"/>
    <w:rsid w:val="00362DBD"/>
    <w:rsid w:val="00363680"/>
    <w:rsid w:val="00363790"/>
    <w:rsid w:val="00363DFA"/>
    <w:rsid w:val="003645C2"/>
    <w:rsid w:val="003651BC"/>
    <w:rsid w:val="003652C5"/>
    <w:rsid w:val="00365BFE"/>
    <w:rsid w:val="00366B8B"/>
    <w:rsid w:val="003673B6"/>
    <w:rsid w:val="00367742"/>
    <w:rsid w:val="00370C0A"/>
    <w:rsid w:val="003712F5"/>
    <w:rsid w:val="0037732B"/>
    <w:rsid w:val="00377337"/>
    <w:rsid w:val="00377E9B"/>
    <w:rsid w:val="003836A6"/>
    <w:rsid w:val="00384BD0"/>
    <w:rsid w:val="0038502B"/>
    <w:rsid w:val="00391217"/>
    <w:rsid w:val="00394BB6"/>
    <w:rsid w:val="0039595D"/>
    <w:rsid w:val="0039646E"/>
    <w:rsid w:val="003975F5"/>
    <w:rsid w:val="00397D15"/>
    <w:rsid w:val="00397F0C"/>
    <w:rsid w:val="003A084C"/>
    <w:rsid w:val="003A174A"/>
    <w:rsid w:val="003A1C9F"/>
    <w:rsid w:val="003A5359"/>
    <w:rsid w:val="003A669B"/>
    <w:rsid w:val="003B4622"/>
    <w:rsid w:val="003B544F"/>
    <w:rsid w:val="003B5703"/>
    <w:rsid w:val="003B6428"/>
    <w:rsid w:val="003B690C"/>
    <w:rsid w:val="003B72AD"/>
    <w:rsid w:val="003C084D"/>
    <w:rsid w:val="003C0CF9"/>
    <w:rsid w:val="003C18EE"/>
    <w:rsid w:val="003C38FC"/>
    <w:rsid w:val="003C45A0"/>
    <w:rsid w:val="003C4B42"/>
    <w:rsid w:val="003C5871"/>
    <w:rsid w:val="003C7292"/>
    <w:rsid w:val="003D078D"/>
    <w:rsid w:val="003D2F0C"/>
    <w:rsid w:val="003D3437"/>
    <w:rsid w:val="003D376D"/>
    <w:rsid w:val="003D3E19"/>
    <w:rsid w:val="003D422A"/>
    <w:rsid w:val="003D52E6"/>
    <w:rsid w:val="003D79A6"/>
    <w:rsid w:val="003E000E"/>
    <w:rsid w:val="003E0088"/>
    <w:rsid w:val="003E0224"/>
    <w:rsid w:val="003E1D8A"/>
    <w:rsid w:val="003E2389"/>
    <w:rsid w:val="003E2EC2"/>
    <w:rsid w:val="003E6DAC"/>
    <w:rsid w:val="003E724F"/>
    <w:rsid w:val="003E74B0"/>
    <w:rsid w:val="003F026B"/>
    <w:rsid w:val="003F1BD9"/>
    <w:rsid w:val="003F2C40"/>
    <w:rsid w:val="003F3C4B"/>
    <w:rsid w:val="003F460A"/>
    <w:rsid w:val="003F4871"/>
    <w:rsid w:val="003F59AB"/>
    <w:rsid w:val="003F792C"/>
    <w:rsid w:val="00402468"/>
    <w:rsid w:val="00402517"/>
    <w:rsid w:val="004079CF"/>
    <w:rsid w:val="00412E5C"/>
    <w:rsid w:val="00415206"/>
    <w:rsid w:val="00415E5A"/>
    <w:rsid w:val="0041657B"/>
    <w:rsid w:val="00420086"/>
    <w:rsid w:val="004201E7"/>
    <w:rsid w:val="004214E3"/>
    <w:rsid w:val="00421ADB"/>
    <w:rsid w:val="00422484"/>
    <w:rsid w:val="00423E97"/>
    <w:rsid w:val="0042532C"/>
    <w:rsid w:val="004257B4"/>
    <w:rsid w:val="00427013"/>
    <w:rsid w:val="004300FE"/>
    <w:rsid w:val="00432B80"/>
    <w:rsid w:val="00434628"/>
    <w:rsid w:val="0043532C"/>
    <w:rsid w:val="0043622D"/>
    <w:rsid w:val="004378DC"/>
    <w:rsid w:val="00437C2B"/>
    <w:rsid w:val="00437CBD"/>
    <w:rsid w:val="00437DD1"/>
    <w:rsid w:val="00440B14"/>
    <w:rsid w:val="00440B9B"/>
    <w:rsid w:val="004426E0"/>
    <w:rsid w:val="0044285A"/>
    <w:rsid w:val="00444646"/>
    <w:rsid w:val="00445209"/>
    <w:rsid w:val="00447DD7"/>
    <w:rsid w:val="004514E8"/>
    <w:rsid w:val="00452B51"/>
    <w:rsid w:val="00455168"/>
    <w:rsid w:val="00455684"/>
    <w:rsid w:val="00460CEA"/>
    <w:rsid w:val="0046227D"/>
    <w:rsid w:val="00462E16"/>
    <w:rsid w:val="00463EF6"/>
    <w:rsid w:val="004661EE"/>
    <w:rsid w:val="0046638C"/>
    <w:rsid w:val="00474BF6"/>
    <w:rsid w:val="0047613F"/>
    <w:rsid w:val="00481026"/>
    <w:rsid w:val="00482A6C"/>
    <w:rsid w:val="00484558"/>
    <w:rsid w:val="004862D8"/>
    <w:rsid w:val="004869BF"/>
    <w:rsid w:val="00490278"/>
    <w:rsid w:val="0049087C"/>
    <w:rsid w:val="00490DAF"/>
    <w:rsid w:val="00490FD0"/>
    <w:rsid w:val="004929FB"/>
    <w:rsid w:val="004953C2"/>
    <w:rsid w:val="004960FA"/>
    <w:rsid w:val="004972BB"/>
    <w:rsid w:val="004A0792"/>
    <w:rsid w:val="004A0956"/>
    <w:rsid w:val="004A2878"/>
    <w:rsid w:val="004A3A2E"/>
    <w:rsid w:val="004A3CF7"/>
    <w:rsid w:val="004A626F"/>
    <w:rsid w:val="004B145F"/>
    <w:rsid w:val="004B30D4"/>
    <w:rsid w:val="004B3B06"/>
    <w:rsid w:val="004B46C3"/>
    <w:rsid w:val="004B48EC"/>
    <w:rsid w:val="004B5237"/>
    <w:rsid w:val="004B563D"/>
    <w:rsid w:val="004B59AE"/>
    <w:rsid w:val="004B62AE"/>
    <w:rsid w:val="004B6587"/>
    <w:rsid w:val="004C01D9"/>
    <w:rsid w:val="004C041D"/>
    <w:rsid w:val="004C1982"/>
    <w:rsid w:val="004C41E7"/>
    <w:rsid w:val="004C46AD"/>
    <w:rsid w:val="004C6181"/>
    <w:rsid w:val="004C6D74"/>
    <w:rsid w:val="004D0789"/>
    <w:rsid w:val="004D0B39"/>
    <w:rsid w:val="004D0D81"/>
    <w:rsid w:val="004D2274"/>
    <w:rsid w:val="004D236D"/>
    <w:rsid w:val="004D3027"/>
    <w:rsid w:val="004D41EA"/>
    <w:rsid w:val="004D539A"/>
    <w:rsid w:val="004D5F55"/>
    <w:rsid w:val="004D6F60"/>
    <w:rsid w:val="004D7DA6"/>
    <w:rsid w:val="004E0080"/>
    <w:rsid w:val="004E0886"/>
    <w:rsid w:val="004E2147"/>
    <w:rsid w:val="004E35E7"/>
    <w:rsid w:val="004E49FF"/>
    <w:rsid w:val="004E54D3"/>
    <w:rsid w:val="004F06C6"/>
    <w:rsid w:val="004F16CD"/>
    <w:rsid w:val="004F174D"/>
    <w:rsid w:val="004F27E7"/>
    <w:rsid w:val="004F4068"/>
    <w:rsid w:val="004F4156"/>
    <w:rsid w:val="004F483F"/>
    <w:rsid w:val="004F5F90"/>
    <w:rsid w:val="004F6516"/>
    <w:rsid w:val="004F69E0"/>
    <w:rsid w:val="004F7272"/>
    <w:rsid w:val="004F7332"/>
    <w:rsid w:val="00500126"/>
    <w:rsid w:val="005006EB"/>
    <w:rsid w:val="0050126A"/>
    <w:rsid w:val="00502B66"/>
    <w:rsid w:val="00503861"/>
    <w:rsid w:val="00504467"/>
    <w:rsid w:val="00504A37"/>
    <w:rsid w:val="005051EE"/>
    <w:rsid w:val="00505CEB"/>
    <w:rsid w:val="00507B10"/>
    <w:rsid w:val="005105AF"/>
    <w:rsid w:val="00511CE0"/>
    <w:rsid w:val="0051410A"/>
    <w:rsid w:val="00515E0F"/>
    <w:rsid w:val="00520EDB"/>
    <w:rsid w:val="0052178F"/>
    <w:rsid w:val="00522F3B"/>
    <w:rsid w:val="005232C8"/>
    <w:rsid w:val="005244CB"/>
    <w:rsid w:val="00525CB0"/>
    <w:rsid w:val="0052659B"/>
    <w:rsid w:val="0053174B"/>
    <w:rsid w:val="0053203B"/>
    <w:rsid w:val="00532A1B"/>
    <w:rsid w:val="00533420"/>
    <w:rsid w:val="00533AC1"/>
    <w:rsid w:val="005346A6"/>
    <w:rsid w:val="0053498E"/>
    <w:rsid w:val="00535C19"/>
    <w:rsid w:val="00536D69"/>
    <w:rsid w:val="0053767A"/>
    <w:rsid w:val="005378F6"/>
    <w:rsid w:val="00540DD2"/>
    <w:rsid w:val="005413C8"/>
    <w:rsid w:val="0054372B"/>
    <w:rsid w:val="00544DED"/>
    <w:rsid w:val="00544E7E"/>
    <w:rsid w:val="005455F9"/>
    <w:rsid w:val="00545624"/>
    <w:rsid w:val="005466E0"/>
    <w:rsid w:val="00546972"/>
    <w:rsid w:val="0054711D"/>
    <w:rsid w:val="0055367E"/>
    <w:rsid w:val="00554C96"/>
    <w:rsid w:val="0055650C"/>
    <w:rsid w:val="00557298"/>
    <w:rsid w:val="00560758"/>
    <w:rsid w:val="005618DB"/>
    <w:rsid w:val="005628BE"/>
    <w:rsid w:val="005654ED"/>
    <w:rsid w:val="00571D4F"/>
    <w:rsid w:val="005742EE"/>
    <w:rsid w:val="0057500D"/>
    <w:rsid w:val="00575A4D"/>
    <w:rsid w:val="00581C51"/>
    <w:rsid w:val="00590A2F"/>
    <w:rsid w:val="00592386"/>
    <w:rsid w:val="00592451"/>
    <w:rsid w:val="005924A3"/>
    <w:rsid w:val="00592DCB"/>
    <w:rsid w:val="00593011"/>
    <w:rsid w:val="00597980"/>
    <w:rsid w:val="00597C3D"/>
    <w:rsid w:val="00597FA5"/>
    <w:rsid w:val="005A1169"/>
    <w:rsid w:val="005A221B"/>
    <w:rsid w:val="005A4221"/>
    <w:rsid w:val="005B1405"/>
    <w:rsid w:val="005B33F0"/>
    <w:rsid w:val="005B6AE7"/>
    <w:rsid w:val="005B71ED"/>
    <w:rsid w:val="005C0680"/>
    <w:rsid w:val="005C26D9"/>
    <w:rsid w:val="005C2993"/>
    <w:rsid w:val="005C3DB3"/>
    <w:rsid w:val="005C5EA8"/>
    <w:rsid w:val="005C708E"/>
    <w:rsid w:val="005D1CFC"/>
    <w:rsid w:val="005D2380"/>
    <w:rsid w:val="005D3986"/>
    <w:rsid w:val="005D4875"/>
    <w:rsid w:val="005E03C9"/>
    <w:rsid w:val="005E1436"/>
    <w:rsid w:val="005E2C2C"/>
    <w:rsid w:val="005E3DAB"/>
    <w:rsid w:val="005E68D1"/>
    <w:rsid w:val="005F07FC"/>
    <w:rsid w:val="005F08EF"/>
    <w:rsid w:val="005F0C5C"/>
    <w:rsid w:val="005F2FDC"/>
    <w:rsid w:val="005F64A3"/>
    <w:rsid w:val="00601F23"/>
    <w:rsid w:val="006034FC"/>
    <w:rsid w:val="00606D1A"/>
    <w:rsid w:val="00606F0A"/>
    <w:rsid w:val="00610261"/>
    <w:rsid w:val="00612D28"/>
    <w:rsid w:val="006136DB"/>
    <w:rsid w:val="00614CC4"/>
    <w:rsid w:val="006165AB"/>
    <w:rsid w:val="0061709E"/>
    <w:rsid w:val="00621B1A"/>
    <w:rsid w:val="00624404"/>
    <w:rsid w:val="00625078"/>
    <w:rsid w:val="00625921"/>
    <w:rsid w:val="006277C2"/>
    <w:rsid w:val="006315E8"/>
    <w:rsid w:val="00631D9E"/>
    <w:rsid w:val="00631E89"/>
    <w:rsid w:val="00633AD6"/>
    <w:rsid w:val="00634C6E"/>
    <w:rsid w:val="00636FCF"/>
    <w:rsid w:val="00637101"/>
    <w:rsid w:val="00637CB6"/>
    <w:rsid w:val="00641FD6"/>
    <w:rsid w:val="00645CBA"/>
    <w:rsid w:val="0064667C"/>
    <w:rsid w:val="00647E4A"/>
    <w:rsid w:val="006500B4"/>
    <w:rsid w:val="0065039F"/>
    <w:rsid w:val="00650620"/>
    <w:rsid w:val="00650F4B"/>
    <w:rsid w:val="00654A7E"/>
    <w:rsid w:val="00660EA6"/>
    <w:rsid w:val="006628B1"/>
    <w:rsid w:val="00663138"/>
    <w:rsid w:val="0066366E"/>
    <w:rsid w:val="00664498"/>
    <w:rsid w:val="00664885"/>
    <w:rsid w:val="00665D3A"/>
    <w:rsid w:val="006661B3"/>
    <w:rsid w:val="00667907"/>
    <w:rsid w:val="00673B7A"/>
    <w:rsid w:val="0067467B"/>
    <w:rsid w:val="006778F3"/>
    <w:rsid w:val="00677FAB"/>
    <w:rsid w:val="00681F84"/>
    <w:rsid w:val="0068204B"/>
    <w:rsid w:val="006832F7"/>
    <w:rsid w:val="00683FE0"/>
    <w:rsid w:val="00686111"/>
    <w:rsid w:val="00686E09"/>
    <w:rsid w:val="00687654"/>
    <w:rsid w:val="00690389"/>
    <w:rsid w:val="00691822"/>
    <w:rsid w:val="00693B9D"/>
    <w:rsid w:val="00694862"/>
    <w:rsid w:val="006949A6"/>
    <w:rsid w:val="006953E2"/>
    <w:rsid w:val="006A04BB"/>
    <w:rsid w:val="006A1BB3"/>
    <w:rsid w:val="006A1F51"/>
    <w:rsid w:val="006A3040"/>
    <w:rsid w:val="006A3438"/>
    <w:rsid w:val="006A3904"/>
    <w:rsid w:val="006A5F8F"/>
    <w:rsid w:val="006A63C5"/>
    <w:rsid w:val="006A7EE5"/>
    <w:rsid w:val="006B0579"/>
    <w:rsid w:val="006B118D"/>
    <w:rsid w:val="006B3190"/>
    <w:rsid w:val="006B3CD6"/>
    <w:rsid w:val="006B677D"/>
    <w:rsid w:val="006B6B71"/>
    <w:rsid w:val="006B7B93"/>
    <w:rsid w:val="006C0467"/>
    <w:rsid w:val="006C2D62"/>
    <w:rsid w:val="006C4904"/>
    <w:rsid w:val="006C5201"/>
    <w:rsid w:val="006C6F54"/>
    <w:rsid w:val="006D094C"/>
    <w:rsid w:val="006D152E"/>
    <w:rsid w:val="006D169B"/>
    <w:rsid w:val="006D419F"/>
    <w:rsid w:val="006D432E"/>
    <w:rsid w:val="006D4F5C"/>
    <w:rsid w:val="006E09E2"/>
    <w:rsid w:val="006E2419"/>
    <w:rsid w:val="006E3E60"/>
    <w:rsid w:val="006E60BA"/>
    <w:rsid w:val="006E6386"/>
    <w:rsid w:val="006E63AA"/>
    <w:rsid w:val="006F112A"/>
    <w:rsid w:val="006F145E"/>
    <w:rsid w:val="006F4CEF"/>
    <w:rsid w:val="006F50A2"/>
    <w:rsid w:val="006F548D"/>
    <w:rsid w:val="006F5C24"/>
    <w:rsid w:val="00701148"/>
    <w:rsid w:val="007038B0"/>
    <w:rsid w:val="0070440B"/>
    <w:rsid w:val="007109D0"/>
    <w:rsid w:val="007109DB"/>
    <w:rsid w:val="00710ADA"/>
    <w:rsid w:val="007129A6"/>
    <w:rsid w:val="00713E35"/>
    <w:rsid w:val="007145B7"/>
    <w:rsid w:val="00714CFD"/>
    <w:rsid w:val="00715117"/>
    <w:rsid w:val="0071549C"/>
    <w:rsid w:val="0071693F"/>
    <w:rsid w:val="007173F0"/>
    <w:rsid w:val="007208D7"/>
    <w:rsid w:val="00720FCB"/>
    <w:rsid w:val="00720FE1"/>
    <w:rsid w:val="00721D5E"/>
    <w:rsid w:val="00722079"/>
    <w:rsid w:val="00722B04"/>
    <w:rsid w:val="00722F2F"/>
    <w:rsid w:val="00724DA5"/>
    <w:rsid w:val="007273C7"/>
    <w:rsid w:val="00727930"/>
    <w:rsid w:val="00730755"/>
    <w:rsid w:val="00732AD3"/>
    <w:rsid w:val="0073389A"/>
    <w:rsid w:val="007349AE"/>
    <w:rsid w:val="00736D14"/>
    <w:rsid w:val="00740775"/>
    <w:rsid w:val="00740C59"/>
    <w:rsid w:val="0074233F"/>
    <w:rsid w:val="00747B68"/>
    <w:rsid w:val="00750422"/>
    <w:rsid w:val="00750D84"/>
    <w:rsid w:val="0075176E"/>
    <w:rsid w:val="00754B62"/>
    <w:rsid w:val="00755475"/>
    <w:rsid w:val="00756BDC"/>
    <w:rsid w:val="00756C52"/>
    <w:rsid w:val="00757099"/>
    <w:rsid w:val="007574D5"/>
    <w:rsid w:val="00757F78"/>
    <w:rsid w:val="007610B1"/>
    <w:rsid w:val="007617C1"/>
    <w:rsid w:val="00761800"/>
    <w:rsid w:val="00762806"/>
    <w:rsid w:val="00767575"/>
    <w:rsid w:val="00770C35"/>
    <w:rsid w:val="0077228B"/>
    <w:rsid w:val="007726FC"/>
    <w:rsid w:val="00772B93"/>
    <w:rsid w:val="00775AD3"/>
    <w:rsid w:val="00776256"/>
    <w:rsid w:val="00780525"/>
    <w:rsid w:val="00780A1D"/>
    <w:rsid w:val="007820DA"/>
    <w:rsid w:val="00783559"/>
    <w:rsid w:val="007839C9"/>
    <w:rsid w:val="007878F3"/>
    <w:rsid w:val="00793290"/>
    <w:rsid w:val="00793C6A"/>
    <w:rsid w:val="007A0085"/>
    <w:rsid w:val="007A02F1"/>
    <w:rsid w:val="007A4543"/>
    <w:rsid w:val="007A60C8"/>
    <w:rsid w:val="007B08B4"/>
    <w:rsid w:val="007B0C00"/>
    <w:rsid w:val="007B1321"/>
    <w:rsid w:val="007B48CB"/>
    <w:rsid w:val="007B59F0"/>
    <w:rsid w:val="007B70E1"/>
    <w:rsid w:val="007B7F9D"/>
    <w:rsid w:val="007C0C5D"/>
    <w:rsid w:val="007C1F88"/>
    <w:rsid w:val="007C3B7E"/>
    <w:rsid w:val="007D1D43"/>
    <w:rsid w:val="007D6D9D"/>
    <w:rsid w:val="007D7381"/>
    <w:rsid w:val="007D76FC"/>
    <w:rsid w:val="007E6A0A"/>
    <w:rsid w:val="007F15DB"/>
    <w:rsid w:val="007F1CC1"/>
    <w:rsid w:val="007F2305"/>
    <w:rsid w:val="007F28CC"/>
    <w:rsid w:val="007F4C51"/>
    <w:rsid w:val="007F621F"/>
    <w:rsid w:val="007F799C"/>
    <w:rsid w:val="0080050C"/>
    <w:rsid w:val="008008F2"/>
    <w:rsid w:val="0080573B"/>
    <w:rsid w:val="00805C85"/>
    <w:rsid w:val="00805DE4"/>
    <w:rsid w:val="008072F8"/>
    <w:rsid w:val="0080779F"/>
    <w:rsid w:val="00811D53"/>
    <w:rsid w:val="008130B1"/>
    <w:rsid w:val="00813A77"/>
    <w:rsid w:val="0081503C"/>
    <w:rsid w:val="008201F7"/>
    <w:rsid w:val="008218AD"/>
    <w:rsid w:val="008228B8"/>
    <w:rsid w:val="008231F1"/>
    <w:rsid w:val="0082425D"/>
    <w:rsid w:val="00824E6B"/>
    <w:rsid w:val="00826E4B"/>
    <w:rsid w:val="00827EAB"/>
    <w:rsid w:val="008301DC"/>
    <w:rsid w:val="00830720"/>
    <w:rsid w:val="00830EC2"/>
    <w:rsid w:val="00831F14"/>
    <w:rsid w:val="00832A0E"/>
    <w:rsid w:val="00833884"/>
    <w:rsid w:val="008339E0"/>
    <w:rsid w:val="00834DE7"/>
    <w:rsid w:val="00834ECB"/>
    <w:rsid w:val="00840577"/>
    <w:rsid w:val="00841EE7"/>
    <w:rsid w:val="0084225F"/>
    <w:rsid w:val="008436CA"/>
    <w:rsid w:val="008471DD"/>
    <w:rsid w:val="008524CE"/>
    <w:rsid w:val="00853210"/>
    <w:rsid w:val="00853BC9"/>
    <w:rsid w:val="00860543"/>
    <w:rsid w:val="00860C3F"/>
    <w:rsid w:val="00861BB4"/>
    <w:rsid w:val="00867256"/>
    <w:rsid w:val="00870A80"/>
    <w:rsid w:val="00871342"/>
    <w:rsid w:val="0088084D"/>
    <w:rsid w:val="00881219"/>
    <w:rsid w:val="00881B8A"/>
    <w:rsid w:val="00882271"/>
    <w:rsid w:val="00883C29"/>
    <w:rsid w:val="00884165"/>
    <w:rsid w:val="00886A99"/>
    <w:rsid w:val="00886CE9"/>
    <w:rsid w:val="00887355"/>
    <w:rsid w:val="0088799D"/>
    <w:rsid w:val="008905C8"/>
    <w:rsid w:val="00895D8C"/>
    <w:rsid w:val="00896860"/>
    <w:rsid w:val="008A0DED"/>
    <w:rsid w:val="008A48AA"/>
    <w:rsid w:val="008A551C"/>
    <w:rsid w:val="008A57C1"/>
    <w:rsid w:val="008A6E11"/>
    <w:rsid w:val="008A79D9"/>
    <w:rsid w:val="008A7E61"/>
    <w:rsid w:val="008A7F60"/>
    <w:rsid w:val="008A7FFB"/>
    <w:rsid w:val="008B159B"/>
    <w:rsid w:val="008B48F8"/>
    <w:rsid w:val="008B4D5C"/>
    <w:rsid w:val="008B5C76"/>
    <w:rsid w:val="008B7359"/>
    <w:rsid w:val="008B794C"/>
    <w:rsid w:val="008C04EE"/>
    <w:rsid w:val="008C0923"/>
    <w:rsid w:val="008C17D9"/>
    <w:rsid w:val="008C1A99"/>
    <w:rsid w:val="008C2230"/>
    <w:rsid w:val="008C3C31"/>
    <w:rsid w:val="008C441A"/>
    <w:rsid w:val="008D4F92"/>
    <w:rsid w:val="008D73D6"/>
    <w:rsid w:val="008D7D3A"/>
    <w:rsid w:val="008E0472"/>
    <w:rsid w:val="008E05E8"/>
    <w:rsid w:val="008E2E96"/>
    <w:rsid w:val="008E4C66"/>
    <w:rsid w:val="008F0CD2"/>
    <w:rsid w:val="008F1060"/>
    <w:rsid w:val="008F114A"/>
    <w:rsid w:val="008F119E"/>
    <w:rsid w:val="008F334C"/>
    <w:rsid w:val="008F4A13"/>
    <w:rsid w:val="008F4CC7"/>
    <w:rsid w:val="008F609F"/>
    <w:rsid w:val="008F7568"/>
    <w:rsid w:val="008F75F5"/>
    <w:rsid w:val="008F7E94"/>
    <w:rsid w:val="00900513"/>
    <w:rsid w:val="00901849"/>
    <w:rsid w:val="009022DD"/>
    <w:rsid w:val="00904390"/>
    <w:rsid w:val="00905797"/>
    <w:rsid w:val="00913627"/>
    <w:rsid w:val="00913759"/>
    <w:rsid w:val="00914312"/>
    <w:rsid w:val="00914435"/>
    <w:rsid w:val="009146C1"/>
    <w:rsid w:val="00914EDF"/>
    <w:rsid w:val="00920827"/>
    <w:rsid w:val="00923D51"/>
    <w:rsid w:val="00924786"/>
    <w:rsid w:val="00924A9F"/>
    <w:rsid w:val="0092660D"/>
    <w:rsid w:val="009308D2"/>
    <w:rsid w:val="00933958"/>
    <w:rsid w:val="00936AE3"/>
    <w:rsid w:val="00936DBC"/>
    <w:rsid w:val="0094408B"/>
    <w:rsid w:val="00946A34"/>
    <w:rsid w:val="009506C2"/>
    <w:rsid w:val="00951AB9"/>
    <w:rsid w:val="00952025"/>
    <w:rsid w:val="00953BA2"/>
    <w:rsid w:val="00954333"/>
    <w:rsid w:val="00956AB9"/>
    <w:rsid w:val="00960A61"/>
    <w:rsid w:val="0096281D"/>
    <w:rsid w:val="00963A10"/>
    <w:rsid w:val="00971373"/>
    <w:rsid w:val="00971531"/>
    <w:rsid w:val="0097188C"/>
    <w:rsid w:val="009727A5"/>
    <w:rsid w:val="0097310E"/>
    <w:rsid w:val="00973D0F"/>
    <w:rsid w:val="009747ED"/>
    <w:rsid w:val="00974F76"/>
    <w:rsid w:val="00976408"/>
    <w:rsid w:val="0098019E"/>
    <w:rsid w:val="00980F5F"/>
    <w:rsid w:val="00983FDD"/>
    <w:rsid w:val="00985B23"/>
    <w:rsid w:val="00987BCE"/>
    <w:rsid w:val="00990024"/>
    <w:rsid w:val="00990AF1"/>
    <w:rsid w:val="009914A2"/>
    <w:rsid w:val="00991A59"/>
    <w:rsid w:val="00991C2C"/>
    <w:rsid w:val="00993373"/>
    <w:rsid w:val="00993942"/>
    <w:rsid w:val="00995301"/>
    <w:rsid w:val="00996AD4"/>
    <w:rsid w:val="00997DB7"/>
    <w:rsid w:val="009A0FB0"/>
    <w:rsid w:val="009A11FB"/>
    <w:rsid w:val="009A34B8"/>
    <w:rsid w:val="009A34D7"/>
    <w:rsid w:val="009A3FD1"/>
    <w:rsid w:val="009A42CD"/>
    <w:rsid w:val="009A4D84"/>
    <w:rsid w:val="009A5E5A"/>
    <w:rsid w:val="009A5EE5"/>
    <w:rsid w:val="009A67E9"/>
    <w:rsid w:val="009B0127"/>
    <w:rsid w:val="009B0FB3"/>
    <w:rsid w:val="009B10D7"/>
    <w:rsid w:val="009B361F"/>
    <w:rsid w:val="009B3A82"/>
    <w:rsid w:val="009B3E5D"/>
    <w:rsid w:val="009B444C"/>
    <w:rsid w:val="009B4AE1"/>
    <w:rsid w:val="009C15F4"/>
    <w:rsid w:val="009C378E"/>
    <w:rsid w:val="009D034D"/>
    <w:rsid w:val="009D0BA0"/>
    <w:rsid w:val="009D2F7C"/>
    <w:rsid w:val="009D34F3"/>
    <w:rsid w:val="009D388A"/>
    <w:rsid w:val="009D3FC0"/>
    <w:rsid w:val="009D542C"/>
    <w:rsid w:val="009D6BA6"/>
    <w:rsid w:val="009D6D8D"/>
    <w:rsid w:val="009D7C6C"/>
    <w:rsid w:val="009E01C3"/>
    <w:rsid w:val="009E1532"/>
    <w:rsid w:val="009E1780"/>
    <w:rsid w:val="009E2356"/>
    <w:rsid w:val="009E41C1"/>
    <w:rsid w:val="009E453C"/>
    <w:rsid w:val="009E478C"/>
    <w:rsid w:val="009E61FF"/>
    <w:rsid w:val="009E7977"/>
    <w:rsid w:val="009F420B"/>
    <w:rsid w:val="009F4AB3"/>
    <w:rsid w:val="009F4B98"/>
    <w:rsid w:val="009F4DAE"/>
    <w:rsid w:val="009F4EBE"/>
    <w:rsid w:val="009F4FD2"/>
    <w:rsid w:val="009F598C"/>
    <w:rsid w:val="009F6623"/>
    <w:rsid w:val="009F7351"/>
    <w:rsid w:val="00A00770"/>
    <w:rsid w:val="00A007FB"/>
    <w:rsid w:val="00A01C5E"/>
    <w:rsid w:val="00A01DC7"/>
    <w:rsid w:val="00A04035"/>
    <w:rsid w:val="00A04438"/>
    <w:rsid w:val="00A049E3"/>
    <w:rsid w:val="00A0522B"/>
    <w:rsid w:val="00A05621"/>
    <w:rsid w:val="00A06204"/>
    <w:rsid w:val="00A064B9"/>
    <w:rsid w:val="00A07E11"/>
    <w:rsid w:val="00A1058D"/>
    <w:rsid w:val="00A107D4"/>
    <w:rsid w:val="00A12351"/>
    <w:rsid w:val="00A1296A"/>
    <w:rsid w:val="00A15DB9"/>
    <w:rsid w:val="00A169D1"/>
    <w:rsid w:val="00A16F0A"/>
    <w:rsid w:val="00A200DE"/>
    <w:rsid w:val="00A22106"/>
    <w:rsid w:val="00A24568"/>
    <w:rsid w:val="00A27728"/>
    <w:rsid w:val="00A30BDD"/>
    <w:rsid w:val="00A314D9"/>
    <w:rsid w:val="00A31D46"/>
    <w:rsid w:val="00A3212C"/>
    <w:rsid w:val="00A33F80"/>
    <w:rsid w:val="00A36952"/>
    <w:rsid w:val="00A3750B"/>
    <w:rsid w:val="00A411BB"/>
    <w:rsid w:val="00A420C1"/>
    <w:rsid w:val="00A42D72"/>
    <w:rsid w:val="00A43FF4"/>
    <w:rsid w:val="00A444D0"/>
    <w:rsid w:val="00A4583A"/>
    <w:rsid w:val="00A46025"/>
    <w:rsid w:val="00A463AD"/>
    <w:rsid w:val="00A50622"/>
    <w:rsid w:val="00A511E4"/>
    <w:rsid w:val="00A52EBD"/>
    <w:rsid w:val="00A531A5"/>
    <w:rsid w:val="00A537FF"/>
    <w:rsid w:val="00A573E8"/>
    <w:rsid w:val="00A57F9E"/>
    <w:rsid w:val="00A605C6"/>
    <w:rsid w:val="00A62299"/>
    <w:rsid w:val="00A6267F"/>
    <w:rsid w:val="00A627E8"/>
    <w:rsid w:val="00A6346D"/>
    <w:rsid w:val="00A6425E"/>
    <w:rsid w:val="00A64F86"/>
    <w:rsid w:val="00A66D83"/>
    <w:rsid w:val="00A67F18"/>
    <w:rsid w:val="00A70692"/>
    <w:rsid w:val="00A74143"/>
    <w:rsid w:val="00A75406"/>
    <w:rsid w:val="00A76669"/>
    <w:rsid w:val="00A76975"/>
    <w:rsid w:val="00A814E7"/>
    <w:rsid w:val="00A81572"/>
    <w:rsid w:val="00A8377D"/>
    <w:rsid w:val="00A846AF"/>
    <w:rsid w:val="00A85496"/>
    <w:rsid w:val="00A85B39"/>
    <w:rsid w:val="00A86DB6"/>
    <w:rsid w:val="00A90D30"/>
    <w:rsid w:val="00A91F23"/>
    <w:rsid w:val="00A92A00"/>
    <w:rsid w:val="00A92B57"/>
    <w:rsid w:val="00A93F69"/>
    <w:rsid w:val="00A94372"/>
    <w:rsid w:val="00A9502C"/>
    <w:rsid w:val="00A9569A"/>
    <w:rsid w:val="00A96043"/>
    <w:rsid w:val="00A96B51"/>
    <w:rsid w:val="00A96DB3"/>
    <w:rsid w:val="00AA0ABD"/>
    <w:rsid w:val="00AA0D86"/>
    <w:rsid w:val="00AA1FA7"/>
    <w:rsid w:val="00AA24EE"/>
    <w:rsid w:val="00AA3827"/>
    <w:rsid w:val="00AA38AC"/>
    <w:rsid w:val="00AA4825"/>
    <w:rsid w:val="00AB147F"/>
    <w:rsid w:val="00AB1772"/>
    <w:rsid w:val="00AB1929"/>
    <w:rsid w:val="00AB3A37"/>
    <w:rsid w:val="00AB60E3"/>
    <w:rsid w:val="00AB7BA1"/>
    <w:rsid w:val="00AC0CDE"/>
    <w:rsid w:val="00AC5B8B"/>
    <w:rsid w:val="00AC7EA2"/>
    <w:rsid w:val="00AC7FB4"/>
    <w:rsid w:val="00AD0119"/>
    <w:rsid w:val="00AD0205"/>
    <w:rsid w:val="00AD3DDD"/>
    <w:rsid w:val="00AD4252"/>
    <w:rsid w:val="00AD472B"/>
    <w:rsid w:val="00AD7172"/>
    <w:rsid w:val="00AE0629"/>
    <w:rsid w:val="00AE10BA"/>
    <w:rsid w:val="00AE1634"/>
    <w:rsid w:val="00AE17D6"/>
    <w:rsid w:val="00AF1CE0"/>
    <w:rsid w:val="00AF2E58"/>
    <w:rsid w:val="00AF3ACB"/>
    <w:rsid w:val="00AF563F"/>
    <w:rsid w:val="00AF5DE7"/>
    <w:rsid w:val="00AF7B14"/>
    <w:rsid w:val="00B0063F"/>
    <w:rsid w:val="00B014ED"/>
    <w:rsid w:val="00B016AD"/>
    <w:rsid w:val="00B02475"/>
    <w:rsid w:val="00B02F15"/>
    <w:rsid w:val="00B078E9"/>
    <w:rsid w:val="00B10B18"/>
    <w:rsid w:val="00B12F45"/>
    <w:rsid w:val="00B167AF"/>
    <w:rsid w:val="00B17E0D"/>
    <w:rsid w:val="00B211A5"/>
    <w:rsid w:val="00B21430"/>
    <w:rsid w:val="00B224B1"/>
    <w:rsid w:val="00B22FD9"/>
    <w:rsid w:val="00B24CD9"/>
    <w:rsid w:val="00B25437"/>
    <w:rsid w:val="00B26179"/>
    <w:rsid w:val="00B262DB"/>
    <w:rsid w:val="00B30921"/>
    <w:rsid w:val="00B31C47"/>
    <w:rsid w:val="00B3361F"/>
    <w:rsid w:val="00B33E72"/>
    <w:rsid w:val="00B35F7F"/>
    <w:rsid w:val="00B36760"/>
    <w:rsid w:val="00B41AAA"/>
    <w:rsid w:val="00B42C4D"/>
    <w:rsid w:val="00B430FC"/>
    <w:rsid w:val="00B43275"/>
    <w:rsid w:val="00B44090"/>
    <w:rsid w:val="00B444E4"/>
    <w:rsid w:val="00B447EF"/>
    <w:rsid w:val="00B45095"/>
    <w:rsid w:val="00B50FD8"/>
    <w:rsid w:val="00B53449"/>
    <w:rsid w:val="00B5352A"/>
    <w:rsid w:val="00B53E15"/>
    <w:rsid w:val="00B54859"/>
    <w:rsid w:val="00B5571F"/>
    <w:rsid w:val="00B56307"/>
    <w:rsid w:val="00B57422"/>
    <w:rsid w:val="00B57DBA"/>
    <w:rsid w:val="00B603E8"/>
    <w:rsid w:val="00B62EBA"/>
    <w:rsid w:val="00B66EFC"/>
    <w:rsid w:val="00B67EE8"/>
    <w:rsid w:val="00B722BF"/>
    <w:rsid w:val="00B74859"/>
    <w:rsid w:val="00B7524F"/>
    <w:rsid w:val="00B76950"/>
    <w:rsid w:val="00B779D9"/>
    <w:rsid w:val="00B81AC8"/>
    <w:rsid w:val="00B81D1E"/>
    <w:rsid w:val="00B82503"/>
    <w:rsid w:val="00B85C57"/>
    <w:rsid w:val="00B91531"/>
    <w:rsid w:val="00B91A59"/>
    <w:rsid w:val="00B92B82"/>
    <w:rsid w:val="00B931C8"/>
    <w:rsid w:val="00B942CC"/>
    <w:rsid w:val="00B962AC"/>
    <w:rsid w:val="00B969C8"/>
    <w:rsid w:val="00B96EC7"/>
    <w:rsid w:val="00BA2B62"/>
    <w:rsid w:val="00BA5DF9"/>
    <w:rsid w:val="00BA5E40"/>
    <w:rsid w:val="00BA625A"/>
    <w:rsid w:val="00BB32D1"/>
    <w:rsid w:val="00BB37D7"/>
    <w:rsid w:val="00BB3C60"/>
    <w:rsid w:val="00BB4361"/>
    <w:rsid w:val="00BB4C67"/>
    <w:rsid w:val="00BB4E84"/>
    <w:rsid w:val="00BB5444"/>
    <w:rsid w:val="00BB5475"/>
    <w:rsid w:val="00BB6CBA"/>
    <w:rsid w:val="00BC1F8C"/>
    <w:rsid w:val="00BC265A"/>
    <w:rsid w:val="00BC361C"/>
    <w:rsid w:val="00BC37F4"/>
    <w:rsid w:val="00BC4036"/>
    <w:rsid w:val="00BC55FA"/>
    <w:rsid w:val="00BC626E"/>
    <w:rsid w:val="00BC7F9C"/>
    <w:rsid w:val="00BD0105"/>
    <w:rsid w:val="00BD0704"/>
    <w:rsid w:val="00BD0D7C"/>
    <w:rsid w:val="00BD2BF5"/>
    <w:rsid w:val="00BD2D4D"/>
    <w:rsid w:val="00BD462E"/>
    <w:rsid w:val="00BD76F7"/>
    <w:rsid w:val="00BE3743"/>
    <w:rsid w:val="00BE749B"/>
    <w:rsid w:val="00BF01DD"/>
    <w:rsid w:val="00BF6FFE"/>
    <w:rsid w:val="00BF78D6"/>
    <w:rsid w:val="00BF7EFC"/>
    <w:rsid w:val="00C000CF"/>
    <w:rsid w:val="00C0538A"/>
    <w:rsid w:val="00C05D4B"/>
    <w:rsid w:val="00C070B6"/>
    <w:rsid w:val="00C114C0"/>
    <w:rsid w:val="00C131A2"/>
    <w:rsid w:val="00C143FD"/>
    <w:rsid w:val="00C1628D"/>
    <w:rsid w:val="00C208CC"/>
    <w:rsid w:val="00C20D3C"/>
    <w:rsid w:val="00C21B14"/>
    <w:rsid w:val="00C22347"/>
    <w:rsid w:val="00C25490"/>
    <w:rsid w:val="00C27203"/>
    <w:rsid w:val="00C300CC"/>
    <w:rsid w:val="00C3035B"/>
    <w:rsid w:val="00C30ACF"/>
    <w:rsid w:val="00C30DB9"/>
    <w:rsid w:val="00C32BB0"/>
    <w:rsid w:val="00C34810"/>
    <w:rsid w:val="00C34B5A"/>
    <w:rsid w:val="00C36697"/>
    <w:rsid w:val="00C376C2"/>
    <w:rsid w:val="00C4100D"/>
    <w:rsid w:val="00C410FF"/>
    <w:rsid w:val="00C44814"/>
    <w:rsid w:val="00C45A84"/>
    <w:rsid w:val="00C45BF7"/>
    <w:rsid w:val="00C46AC2"/>
    <w:rsid w:val="00C46AFB"/>
    <w:rsid w:val="00C46EF2"/>
    <w:rsid w:val="00C474B8"/>
    <w:rsid w:val="00C474CC"/>
    <w:rsid w:val="00C5024F"/>
    <w:rsid w:val="00C5291F"/>
    <w:rsid w:val="00C53376"/>
    <w:rsid w:val="00C533E5"/>
    <w:rsid w:val="00C552EE"/>
    <w:rsid w:val="00C568DF"/>
    <w:rsid w:val="00C57770"/>
    <w:rsid w:val="00C57B1E"/>
    <w:rsid w:val="00C57CBA"/>
    <w:rsid w:val="00C6216D"/>
    <w:rsid w:val="00C62B6A"/>
    <w:rsid w:val="00C63ECC"/>
    <w:rsid w:val="00C65249"/>
    <w:rsid w:val="00C708CF"/>
    <w:rsid w:val="00C726B8"/>
    <w:rsid w:val="00C72F52"/>
    <w:rsid w:val="00C731DD"/>
    <w:rsid w:val="00C74436"/>
    <w:rsid w:val="00C82E9D"/>
    <w:rsid w:val="00C83077"/>
    <w:rsid w:val="00C837B9"/>
    <w:rsid w:val="00C83CF6"/>
    <w:rsid w:val="00C90A9B"/>
    <w:rsid w:val="00C90BAC"/>
    <w:rsid w:val="00C910A5"/>
    <w:rsid w:val="00C934E5"/>
    <w:rsid w:val="00C9385E"/>
    <w:rsid w:val="00C957DD"/>
    <w:rsid w:val="00C95EED"/>
    <w:rsid w:val="00C97853"/>
    <w:rsid w:val="00CA0EDC"/>
    <w:rsid w:val="00CA0F3B"/>
    <w:rsid w:val="00CA1CB4"/>
    <w:rsid w:val="00CA45D7"/>
    <w:rsid w:val="00CA6947"/>
    <w:rsid w:val="00CB22F9"/>
    <w:rsid w:val="00CB3C90"/>
    <w:rsid w:val="00CB45D7"/>
    <w:rsid w:val="00CB5D14"/>
    <w:rsid w:val="00CB5E63"/>
    <w:rsid w:val="00CB6EDB"/>
    <w:rsid w:val="00CC1763"/>
    <w:rsid w:val="00CC2C89"/>
    <w:rsid w:val="00CC4B92"/>
    <w:rsid w:val="00CC6941"/>
    <w:rsid w:val="00CC746E"/>
    <w:rsid w:val="00CC7955"/>
    <w:rsid w:val="00CD1461"/>
    <w:rsid w:val="00CD16B1"/>
    <w:rsid w:val="00CD1961"/>
    <w:rsid w:val="00CD20C2"/>
    <w:rsid w:val="00CD2115"/>
    <w:rsid w:val="00CD2E32"/>
    <w:rsid w:val="00CD325A"/>
    <w:rsid w:val="00CD3E59"/>
    <w:rsid w:val="00CD7E92"/>
    <w:rsid w:val="00CE1DF2"/>
    <w:rsid w:val="00CE36EA"/>
    <w:rsid w:val="00CE394F"/>
    <w:rsid w:val="00CE44A7"/>
    <w:rsid w:val="00CE498E"/>
    <w:rsid w:val="00CE5404"/>
    <w:rsid w:val="00CE54B9"/>
    <w:rsid w:val="00CE6083"/>
    <w:rsid w:val="00CE7925"/>
    <w:rsid w:val="00CF0F1B"/>
    <w:rsid w:val="00CF4933"/>
    <w:rsid w:val="00D01503"/>
    <w:rsid w:val="00D0185C"/>
    <w:rsid w:val="00D02581"/>
    <w:rsid w:val="00D0343E"/>
    <w:rsid w:val="00D03542"/>
    <w:rsid w:val="00D0448A"/>
    <w:rsid w:val="00D04DEF"/>
    <w:rsid w:val="00D053C9"/>
    <w:rsid w:val="00D07BA9"/>
    <w:rsid w:val="00D07F1A"/>
    <w:rsid w:val="00D11D8D"/>
    <w:rsid w:val="00D128D8"/>
    <w:rsid w:val="00D1373B"/>
    <w:rsid w:val="00D137C6"/>
    <w:rsid w:val="00D13852"/>
    <w:rsid w:val="00D14CAB"/>
    <w:rsid w:val="00D14EC9"/>
    <w:rsid w:val="00D16225"/>
    <w:rsid w:val="00D222B5"/>
    <w:rsid w:val="00D2472D"/>
    <w:rsid w:val="00D2477C"/>
    <w:rsid w:val="00D26F2A"/>
    <w:rsid w:val="00D2796A"/>
    <w:rsid w:val="00D279B4"/>
    <w:rsid w:val="00D279DB"/>
    <w:rsid w:val="00D302BE"/>
    <w:rsid w:val="00D317F3"/>
    <w:rsid w:val="00D31F67"/>
    <w:rsid w:val="00D328E2"/>
    <w:rsid w:val="00D32C39"/>
    <w:rsid w:val="00D3469E"/>
    <w:rsid w:val="00D35387"/>
    <w:rsid w:val="00D35793"/>
    <w:rsid w:val="00D4074B"/>
    <w:rsid w:val="00D408FD"/>
    <w:rsid w:val="00D41E8A"/>
    <w:rsid w:val="00D43200"/>
    <w:rsid w:val="00D43604"/>
    <w:rsid w:val="00D436A8"/>
    <w:rsid w:val="00D45233"/>
    <w:rsid w:val="00D47124"/>
    <w:rsid w:val="00D51F34"/>
    <w:rsid w:val="00D5471F"/>
    <w:rsid w:val="00D55A6E"/>
    <w:rsid w:val="00D55AEB"/>
    <w:rsid w:val="00D55E83"/>
    <w:rsid w:val="00D57694"/>
    <w:rsid w:val="00D57869"/>
    <w:rsid w:val="00D6088C"/>
    <w:rsid w:val="00D60E33"/>
    <w:rsid w:val="00D6180A"/>
    <w:rsid w:val="00D61937"/>
    <w:rsid w:val="00D62348"/>
    <w:rsid w:val="00D636C0"/>
    <w:rsid w:val="00D63C16"/>
    <w:rsid w:val="00D6507B"/>
    <w:rsid w:val="00D67ACD"/>
    <w:rsid w:val="00D715F8"/>
    <w:rsid w:val="00D72F92"/>
    <w:rsid w:val="00D74174"/>
    <w:rsid w:val="00D74251"/>
    <w:rsid w:val="00D76664"/>
    <w:rsid w:val="00D801FB"/>
    <w:rsid w:val="00D80B20"/>
    <w:rsid w:val="00D80F71"/>
    <w:rsid w:val="00D80FAB"/>
    <w:rsid w:val="00D822AC"/>
    <w:rsid w:val="00D85240"/>
    <w:rsid w:val="00D85FA2"/>
    <w:rsid w:val="00D87F9E"/>
    <w:rsid w:val="00D90665"/>
    <w:rsid w:val="00D90C8C"/>
    <w:rsid w:val="00D933C7"/>
    <w:rsid w:val="00D9348A"/>
    <w:rsid w:val="00D945CA"/>
    <w:rsid w:val="00D94BE3"/>
    <w:rsid w:val="00D9561F"/>
    <w:rsid w:val="00D9604B"/>
    <w:rsid w:val="00DA1396"/>
    <w:rsid w:val="00DA1EB0"/>
    <w:rsid w:val="00DA4AF1"/>
    <w:rsid w:val="00DA59E7"/>
    <w:rsid w:val="00DA7293"/>
    <w:rsid w:val="00DA75A9"/>
    <w:rsid w:val="00DB144A"/>
    <w:rsid w:val="00DB6538"/>
    <w:rsid w:val="00DC0B13"/>
    <w:rsid w:val="00DC1EEF"/>
    <w:rsid w:val="00DC2B00"/>
    <w:rsid w:val="00DC3A82"/>
    <w:rsid w:val="00DC3DB4"/>
    <w:rsid w:val="00DC4305"/>
    <w:rsid w:val="00DC4569"/>
    <w:rsid w:val="00DC4DE1"/>
    <w:rsid w:val="00DC5FC6"/>
    <w:rsid w:val="00DC610E"/>
    <w:rsid w:val="00DD24E8"/>
    <w:rsid w:val="00DD7880"/>
    <w:rsid w:val="00DD79E8"/>
    <w:rsid w:val="00DE0C1E"/>
    <w:rsid w:val="00DE1B15"/>
    <w:rsid w:val="00DE5185"/>
    <w:rsid w:val="00DE587C"/>
    <w:rsid w:val="00DE6235"/>
    <w:rsid w:val="00DE62CB"/>
    <w:rsid w:val="00DE644D"/>
    <w:rsid w:val="00DF24B6"/>
    <w:rsid w:val="00DF5609"/>
    <w:rsid w:val="00DF587C"/>
    <w:rsid w:val="00DF76AF"/>
    <w:rsid w:val="00DF7731"/>
    <w:rsid w:val="00E00A95"/>
    <w:rsid w:val="00E0320B"/>
    <w:rsid w:val="00E04189"/>
    <w:rsid w:val="00E04933"/>
    <w:rsid w:val="00E06535"/>
    <w:rsid w:val="00E07ADF"/>
    <w:rsid w:val="00E122EB"/>
    <w:rsid w:val="00E1398B"/>
    <w:rsid w:val="00E14051"/>
    <w:rsid w:val="00E14277"/>
    <w:rsid w:val="00E146B9"/>
    <w:rsid w:val="00E14B6D"/>
    <w:rsid w:val="00E1553A"/>
    <w:rsid w:val="00E20BEA"/>
    <w:rsid w:val="00E21BB1"/>
    <w:rsid w:val="00E2292A"/>
    <w:rsid w:val="00E22A35"/>
    <w:rsid w:val="00E22C2C"/>
    <w:rsid w:val="00E23F4B"/>
    <w:rsid w:val="00E249B3"/>
    <w:rsid w:val="00E24F82"/>
    <w:rsid w:val="00E25339"/>
    <w:rsid w:val="00E312F5"/>
    <w:rsid w:val="00E3584E"/>
    <w:rsid w:val="00E35865"/>
    <w:rsid w:val="00E35A51"/>
    <w:rsid w:val="00E36C19"/>
    <w:rsid w:val="00E51FB4"/>
    <w:rsid w:val="00E524DA"/>
    <w:rsid w:val="00E53144"/>
    <w:rsid w:val="00E54E67"/>
    <w:rsid w:val="00E55053"/>
    <w:rsid w:val="00E57251"/>
    <w:rsid w:val="00E6163B"/>
    <w:rsid w:val="00E620BC"/>
    <w:rsid w:val="00E63853"/>
    <w:rsid w:val="00E64895"/>
    <w:rsid w:val="00E66B3C"/>
    <w:rsid w:val="00E67017"/>
    <w:rsid w:val="00E712F8"/>
    <w:rsid w:val="00E71C44"/>
    <w:rsid w:val="00E7496F"/>
    <w:rsid w:val="00E761F3"/>
    <w:rsid w:val="00E76AC2"/>
    <w:rsid w:val="00E77833"/>
    <w:rsid w:val="00E815A2"/>
    <w:rsid w:val="00E826AB"/>
    <w:rsid w:val="00E8342E"/>
    <w:rsid w:val="00E847A8"/>
    <w:rsid w:val="00E84B25"/>
    <w:rsid w:val="00E8555E"/>
    <w:rsid w:val="00E8599A"/>
    <w:rsid w:val="00E859EA"/>
    <w:rsid w:val="00E85AC0"/>
    <w:rsid w:val="00E8643B"/>
    <w:rsid w:val="00E8709E"/>
    <w:rsid w:val="00E879CE"/>
    <w:rsid w:val="00E918CC"/>
    <w:rsid w:val="00E921C7"/>
    <w:rsid w:val="00E92C12"/>
    <w:rsid w:val="00E92D27"/>
    <w:rsid w:val="00E94B2C"/>
    <w:rsid w:val="00E95A5E"/>
    <w:rsid w:val="00E9672B"/>
    <w:rsid w:val="00EA00F9"/>
    <w:rsid w:val="00EA3526"/>
    <w:rsid w:val="00EA4F0F"/>
    <w:rsid w:val="00EA67CA"/>
    <w:rsid w:val="00EA6A22"/>
    <w:rsid w:val="00EA75F8"/>
    <w:rsid w:val="00EB020C"/>
    <w:rsid w:val="00EB0482"/>
    <w:rsid w:val="00EB18EC"/>
    <w:rsid w:val="00EB2369"/>
    <w:rsid w:val="00EB249A"/>
    <w:rsid w:val="00EB366A"/>
    <w:rsid w:val="00EB4117"/>
    <w:rsid w:val="00EB6F43"/>
    <w:rsid w:val="00EC0F66"/>
    <w:rsid w:val="00EC1749"/>
    <w:rsid w:val="00EC2C4C"/>
    <w:rsid w:val="00EC3C4F"/>
    <w:rsid w:val="00ED04F2"/>
    <w:rsid w:val="00ED52C0"/>
    <w:rsid w:val="00ED58A4"/>
    <w:rsid w:val="00ED5968"/>
    <w:rsid w:val="00ED5E92"/>
    <w:rsid w:val="00ED6AA4"/>
    <w:rsid w:val="00EE03D8"/>
    <w:rsid w:val="00EE12A0"/>
    <w:rsid w:val="00EE15C6"/>
    <w:rsid w:val="00EE42F5"/>
    <w:rsid w:val="00EE4E86"/>
    <w:rsid w:val="00EE7726"/>
    <w:rsid w:val="00EE7934"/>
    <w:rsid w:val="00EF168F"/>
    <w:rsid w:val="00EF32D6"/>
    <w:rsid w:val="00EF387F"/>
    <w:rsid w:val="00EF4A2F"/>
    <w:rsid w:val="00EF4A59"/>
    <w:rsid w:val="00EF4DA5"/>
    <w:rsid w:val="00EF6899"/>
    <w:rsid w:val="00EF78A0"/>
    <w:rsid w:val="00F02072"/>
    <w:rsid w:val="00F0229F"/>
    <w:rsid w:val="00F0461F"/>
    <w:rsid w:val="00F0473D"/>
    <w:rsid w:val="00F04DD1"/>
    <w:rsid w:val="00F06E11"/>
    <w:rsid w:val="00F07554"/>
    <w:rsid w:val="00F07583"/>
    <w:rsid w:val="00F1191B"/>
    <w:rsid w:val="00F12FD9"/>
    <w:rsid w:val="00F13861"/>
    <w:rsid w:val="00F15BA6"/>
    <w:rsid w:val="00F17B83"/>
    <w:rsid w:val="00F2007A"/>
    <w:rsid w:val="00F20180"/>
    <w:rsid w:val="00F328B2"/>
    <w:rsid w:val="00F3538D"/>
    <w:rsid w:val="00F3639A"/>
    <w:rsid w:val="00F36971"/>
    <w:rsid w:val="00F415C6"/>
    <w:rsid w:val="00F4207A"/>
    <w:rsid w:val="00F42F0B"/>
    <w:rsid w:val="00F44869"/>
    <w:rsid w:val="00F456B0"/>
    <w:rsid w:val="00F45D09"/>
    <w:rsid w:val="00F46963"/>
    <w:rsid w:val="00F475FB"/>
    <w:rsid w:val="00F516FA"/>
    <w:rsid w:val="00F537D6"/>
    <w:rsid w:val="00F545A0"/>
    <w:rsid w:val="00F60FB8"/>
    <w:rsid w:val="00F614C8"/>
    <w:rsid w:val="00F61BFF"/>
    <w:rsid w:val="00F629F9"/>
    <w:rsid w:val="00F63527"/>
    <w:rsid w:val="00F669E3"/>
    <w:rsid w:val="00F71649"/>
    <w:rsid w:val="00F73766"/>
    <w:rsid w:val="00F75BFE"/>
    <w:rsid w:val="00F768D5"/>
    <w:rsid w:val="00F76A37"/>
    <w:rsid w:val="00F8212F"/>
    <w:rsid w:val="00F83378"/>
    <w:rsid w:val="00F843B1"/>
    <w:rsid w:val="00F84D62"/>
    <w:rsid w:val="00F8512B"/>
    <w:rsid w:val="00F852D6"/>
    <w:rsid w:val="00F904D6"/>
    <w:rsid w:val="00F918AC"/>
    <w:rsid w:val="00F93279"/>
    <w:rsid w:val="00F9380E"/>
    <w:rsid w:val="00F94D56"/>
    <w:rsid w:val="00F95BC3"/>
    <w:rsid w:val="00F96332"/>
    <w:rsid w:val="00F9649C"/>
    <w:rsid w:val="00F97912"/>
    <w:rsid w:val="00FA0EEE"/>
    <w:rsid w:val="00FA25CC"/>
    <w:rsid w:val="00FA2E51"/>
    <w:rsid w:val="00FA4FD3"/>
    <w:rsid w:val="00FA7964"/>
    <w:rsid w:val="00FB0A00"/>
    <w:rsid w:val="00FB0CD4"/>
    <w:rsid w:val="00FB1AB3"/>
    <w:rsid w:val="00FB2001"/>
    <w:rsid w:val="00FB2488"/>
    <w:rsid w:val="00FB266C"/>
    <w:rsid w:val="00FB2B51"/>
    <w:rsid w:val="00FB3BBD"/>
    <w:rsid w:val="00FB463B"/>
    <w:rsid w:val="00FB4C93"/>
    <w:rsid w:val="00FB75AF"/>
    <w:rsid w:val="00FB7B8F"/>
    <w:rsid w:val="00FB7FC8"/>
    <w:rsid w:val="00FC1109"/>
    <w:rsid w:val="00FC1C8C"/>
    <w:rsid w:val="00FC2B48"/>
    <w:rsid w:val="00FC3AE5"/>
    <w:rsid w:val="00FC44E8"/>
    <w:rsid w:val="00FC652B"/>
    <w:rsid w:val="00FD1699"/>
    <w:rsid w:val="00FD3955"/>
    <w:rsid w:val="00FD4637"/>
    <w:rsid w:val="00FD5245"/>
    <w:rsid w:val="00FD5F35"/>
    <w:rsid w:val="00FD6478"/>
    <w:rsid w:val="00FE17E3"/>
    <w:rsid w:val="00FE1888"/>
    <w:rsid w:val="00FE3125"/>
    <w:rsid w:val="00FE73E4"/>
    <w:rsid w:val="00FE7E19"/>
    <w:rsid w:val="00FF11AE"/>
    <w:rsid w:val="00FF2245"/>
    <w:rsid w:val="00FF51CE"/>
    <w:rsid w:val="00FF6056"/>
    <w:rsid w:val="00FF6AA8"/>
    <w:rsid w:val="011B51E5"/>
    <w:rsid w:val="01230E7C"/>
    <w:rsid w:val="01525B7C"/>
    <w:rsid w:val="019D2818"/>
    <w:rsid w:val="01CB06D2"/>
    <w:rsid w:val="01D152A8"/>
    <w:rsid w:val="01EF43BB"/>
    <w:rsid w:val="02303A0F"/>
    <w:rsid w:val="023C48A3"/>
    <w:rsid w:val="03492039"/>
    <w:rsid w:val="034C3232"/>
    <w:rsid w:val="03604B36"/>
    <w:rsid w:val="040925C1"/>
    <w:rsid w:val="045018AC"/>
    <w:rsid w:val="047C31DE"/>
    <w:rsid w:val="05044556"/>
    <w:rsid w:val="0535496D"/>
    <w:rsid w:val="055A339B"/>
    <w:rsid w:val="05843075"/>
    <w:rsid w:val="05C7701F"/>
    <w:rsid w:val="060A2544"/>
    <w:rsid w:val="061442EB"/>
    <w:rsid w:val="06554281"/>
    <w:rsid w:val="0687620D"/>
    <w:rsid w:val="06877F30"/>
    <w:rsid w:val="06C25F8C"/>
    <w:rsid w:val="06FF5068"/>
    <w:rsid w:val="07035F04"/>
    <w:rsid w:val="073B4DF9"/>
    <w:rsid w:val="07771AD1"/>
    <w:rsid w:val="07B9514D"/>
    <w:rsid w:val="08312208"/>
    <w:rsid w:val="088A63D3"/>
    <w:rsid w:val="08B45607"/>
    <w:rsid w:val="08FB4EA0"/>
    <w:rsid w:val="09221D56"/>
    <w:rsid w:val="093D5446"/>
    <w:rsid w:val="09764283"/>
    <w:rsid w:val="09CC2C58"/>
    <w:rsid w:val="09D04F81"/>
    <w:rsid w:val="09D94847"/>
    <w:rsid w:val="0A555F2A"/>
    <w:rsid w:val="0A643BC8"/>
    <w:rsid w:val="0A922F91"/>
    <w:rsid w:val="0AF00BF3"/>
    <w:rsid w:val="0B6A5888"/>
    <w:rsid w:val="0B92153A"/>
    <w:rsid w:val="0B964B87"/>
    <w:rsid w:val="0C3E7152"/>
    <w:rsid w:val="0C5069C0"/>
    <w:rsid w:val="0C751923"/>
    <w:rsid w:val="0C8A1888"/>
    <w:rsid w:val="0C8C7361"/>
    <w:rsid w:val="0C8E2081"/>
    <w:rsid w:val="0C924465"/>
    <w:rsid w:val="0CB4386D"/>
    <w:rsid w:val="0CBA1399"/>
    <w:rsid w:val="0DC16E3E"/>
    <w:rsid w:val="0E4F25E4"/>
    <w:rsid w:val="0EE41E7A"/>
    <w:rsid w:val="0F192A90"/>
    <w:rsid w:val="0F44006B"/>
    <w:rsid w:val="0F5E7A48"/>
    <w:rsid w:val="0F6230C7"/>
    <w:rsid w:val="0F884219"/>
    <w:rsid w:val="0FD52E01"/>
    <w:rsid w:val="100002C7"/>
    <w:rsid w:val="100B3263"/>
    <w:rsid w:val="1022288C"/>
    <w:rsid w:val="10772560"/>
    <w:rsid w:val="10A24D3F"/>
    <w:rsid w:val="11785E6C"/>
    <w:rsid w:val="118879FB"/>
    <w:rsid w:val="1215447D"/>
    <w:rsid w:val="13177D4C"/>
    <w:rsid w:val="137923D5"/>
    <w:rsid w:val="13AF4625"/>
    <w:rsid w:val="13BE029B"/>
    <w:rsid w:val="14AD25D3"/>
    <w:rsid w:val="15871308"/>
    <w:rsid w:val="1588725F"/>
    <w:rsid w:val="15BF1916"/>
    <w:rsid w:val="16F335AA"/>
    <w:rsid w:val="17CB6C1A"/>
    <w:rsid w:val="181E6E6F"/>
    <w:rsid w:val="182E53D2"/>
    <w:rsid w:val="189701E7"/>
    <w:rsid w:val="18A500C4"/>
    <w:rsid w:val="18AE16AC"/>
    <w:rsid w:val="18E51CC6"/>
    <w:rsid w:val="19246764"/>
    <w:rsid w:val="19D63D0A"/>
    <w:rsid w:val="19FE0F55"/>
    <w:rsid w:val="1A0F1CA4"/>
    <w:rsid w:val="1A1471D6"/>
    <w:rsid w:val="1A1D3F51"/>
    <w:rsid w:val="1A8109C6"/>
    <w:rsid w:val="1AB83718"/>
    <w:rsid w:val="1B3E72DE"/>
    <w:rsid w:val="1B8E1773"/>
    <w:rsid w:val="1BB51963"/>
    <w:rsid w:val="1C1D52EA"/>
    <w:rsid w:val="1C664760"/>
    <w:rsid w:val="1CD51C99"/>
    <w:rsid w:val="1D474577"/>
    <w:rsid w:val="1D7760E2"/>
    <w:rsid w:val="1DD57E69"/>
    <w:rsid w:val="1EB5128B"/>
    <w:rsid w:val="1EB55D91"/>
    <w:rsid w:val="1EBC4EE2"/>
    <w:rsid w:val="1F757972"/>
    <w:rsid w:val="1FAB3E48"/>
    <w:rsid w:val="20602D4E"/>
    <w:rsid w:val="20B27A40"/>
    <w:rsid w:val="20E26C3F"/>
    <w:rsid w:val="213909EF"/>
    <w:rsid w:val="213E0D6A"/>
    <w:rsid w:val="215C2987"/>
    <w:rsid w:val="21815F8F"/>
    <w:rsid w:val="21A47AEF"/>
    <w:rsid w:val="225930D1"/>
    <w:rsid w:val="22A55BD1"/>
    <w:rsid w:val="232A2E4E"/>
    <w:rsid w:val="23D258DA"/>
    <w:rsid w:val="23F17438"/>
    <w:rsid w:val="242F21F5"/>
    <w:rsid w:val="24BC4868"/>
    <w:rsid w:val="24DB0897"/>
    <w:rsid w:val="25810F24"/>
    <w:rsid w:val="259A07FA"/>
    <w:rsid w:val="25D957D7"/>
    <w:rsid w:val="26021530"/>
    <w:rsid w:val="26753DA9"/>
    <w:rsid w:val="267E3122"/>
    <w:rsid w:val="269F36CC"/>
    <w:rsid w:val="26A41F26"/>
    <w:rsid w:val="26E333FB"/>
    <w:rsid w:val="26EB3FB6"/>
    <w:rsid w:val="270178AF"/>
    <w:rsid w:val="27962142"/>
    <w:rsid w:val="27A93331"/>
    <w:rsid w:val="28084430"/>
    <w:rsid w:val="281B0904"/>
    <w:rsid w:val="283004D7"/>
    <w:rsid w:val="28767E7C"/>
    <w:rsid w:val="290D35B3"/>
    <w:rsid w:val="294162A2"/>
    <w:rsid w:val="298E633C"/>
    <w:rsid w:val="29B529B4"/>
    <w:rsid w:val="29E25F1B"/>
    <w:rsid w:val="29E64692"/>
    <w:rsid w:val="2A0827DB"/>
    <w:rsid w:val="2A6036A9"/>
    <w:rsid w:val="2AB67F10"/>
    <w:rsid w:val="2B023BFC"/>
    <w:rsid w:val="2B7A72E5"/>
    <w:rsid w:val="2BBB1529"/>
    <w:rsid w:val="2BD22826"/>
    <w:rsid w:val="2C8B235C"/>
    <w:rsid w:val="2CDB12E7"/>
    <w:rsid w:val="2D0F03D5"/>
    <w:rsid w:val="2D4C25C6"/>
    <w:rsid w:val="2D7A7ACD"/>
    <w:rsid w:val="2DA718AB"/>
    <w:rsid w:val="2DFC0470"/>
    <w:rsid w:val="2E01600E"/>
    <w:rsid w:val="2E2D23DB"/>
    <w:rsid w:val="2E4C3807"/>
    <w:rsid w:val="2E6804B3"/>
    <w:rsid w:val="2E68517D"/>
    <w:rsid w:val="2EF65AF8"/>
    <w:rsid w:val="2F835C1E"/>
    <w:rsid w:val="2FFC5348"/>
    <w:rsid w:val="307E62CF"/>
    <w:rsid w:val="311E729C"/>
    <w:rsid w:val="31331A45"/>
    <w:rsid w:val="315D249E"/>
    <w:rsid w:val="31EB3724"/>
    <w:rsid w:val="320F4998"/>
    <w:rsid w:val="326E2404"/>
    <w:rsid w:val="328D35A3"/>
    <w:rsid w:val="32F015B6"/>
    <w:rsid w:val="33A37CE7"/>
    <w:rsid w:val="33E26D79"/>
    <w:rsid w:val="340D0454"/>
    <w:rsid w:val="340E362D"/>
    <w:rsid w:val="34226AA2"/>
    <w:rsid w:val="34A068A1"/>
    <w:rsid w:val="356C1B34"/>
    <w:rsid w:val="359C77CF"/>
    <w:rsid w:val="365E3050"/>
    <w:rsid w:val="36822BFC"/>
    <w:rsid w:val="36A00F3D"/>
    <w:rsid w:val="36C27C20"/>
    <w:rsid w:val="36D4216D"/>
    <w:rsid w:val="370A201F"/>
    <w:rsid w:val="37423E8E"/>
    <w:rsid w:val="37482552"/>
    <w:rsid w:val="374B48A2"/>
    <w:rsid w:val="37CE75B8"/>
    <w:rsid w:val="3801007B"/>
    <w:rsid w:val="38383629"/>
    <w:rsid w:val="39A425F1"/>
    <w:rsid w:val="39E64F5B"/>
    <w:rsid w:val="3A150160"/>
    <w:rsid w:val="3A3D3F88"/>
    <w:rsid w:val="3A551E63"/>
    <w:rsid w:val="3A670606"/>
    <w:rsid w:val="3A9A7A47"/>
    <w:rsid w:val="3A9B59DB"/>
    <w:rsid w:val="3AA26D4C"/>
    <w:rsid w:val="3AAA7CAF"/>
    <w:rsid w:val="3ACE2D77"/>
    <w:rsid w:val="3AD81C6B"/>
    <w:rsid w:val="3B750D8E"/>
    <w:rsid w:val="3BC8452E"/>
    <w:rsid w:val="3BE43ADE"/>
    <w:rsid w:val="3C5031B7"/>
    <w:rsid w:val="3CBB4C10"/>
    <w:rsid w:val="3CC612ED"/>
    <w:rsid w:val="3DDD4B6F"/>
    <w:rsid w:val="3E6B5007"/>
    <w:rsid w:val="3EBE4BBD"/>
    <w:rsid w:val="3ED21934"/>
    <w:rsid w:val="3EDC4EDB"/>
    <w:rsid w:val="3EFC4961"/>
    <w:rsid w:val="3F19167E"/>
    <w:rsid w:val="3F617200"/>
    <w:rsid w:val="3FB757BD"/>
    <w:rsid w:val="3FFA50F5"/>
    <w:rsid w:val="4001466B"/>
    <w:rsid w:val="40606116"/>
    <w:rsid w:val="409043FD"/>
    <w:rsid w:val="40BB58CD"/>
    <w:rsid w:val="40F75BBA"/>
    <w:rsid w:val="414620A9"/>
    <w:rsid w:val="415927B9"/>
    <w:rsid w:val="416158D6"/>
    <w:rsid w:val="416A7C47"/>
    <w:rsid w:val="41B44AB9"/>
    <w:rsid w:val="41D672A3"/>
    <w:rsid w:val="41D759B3"/>
    <w:rsid w:val="41F47B26"/>
    <w:rsid w:val="421A71E2"/>
    <w:rsid w:val="427332AB"/>
    <w:rsid w:val="428916B8"/>
    <w:rsid w:val="42A76BFB"/>
    <w:rsid w:val="42D0489B"/>
    <w:rsid w:val="431C5106"/>
    <w:rsid w:val="436A1086"/>
    <w:rsid w:val="43B17A0B"/>
    <w:rsid w:val="43E4647A"/>
    <w:rsid w:val="43E53C24"/>
    <w:rsid w:val="43EA06FB"/>
    <w:rsid w:val="44910D8C"/>
    <w:rsid w:val="45244DE3"/>
    <w:rsid w:val="45941A22"/>
    <w:rsid w:val="45AD3542"/>
    <w:rsid w:val="45CD0383"/>
    <w:rsid w:val="45F43992"/>
    <w:rsid w:val="46035A46"/>
    <w:rsid w:val="46080139"/>
    <w:rsid w:val="460D738A"/>
    <w:rsid w:val="46522DBD"/>
    <w:rsid w:val="4704654A"/>
    <w:rsid w:val="47837765"/>
    <w:rsid w:val="481507DA"/>
    <w:rsid w:val="484B522B"/>
    <w:rsid w:val="48596879"/>
    <w:rsid w:val="486401D4"/>
    <w:rsid w:val="48BE188F"/>
    <w:rsid w:val="494B4F17"/>
    <w:rsid w:val="49844D96"/>
    <w:rsid w:val="49E33540"/>
    <w:rsid w:val="4A463A88"/>
    <w:rsid w:val="4A9F36B6"/>
    <w:rsid w:val="4ABF2172"/>
    <w:rsid w:val="4AF87E55"/>
    <w:rsid w:val="4B1258EB"/>
    <w:rsid w:val="4B353D66"/>
    <w:rsid w:val="4BDA50C4"/>
    <w:rsid w:val="4BFC1AF5"/>
    <w:rsid w:val="4C2A7FE3"/>
    <w:rsid w:val="4C801A25"/>
    <w:rsid w:val="4C8D708D"/>
    <w:rsid w:val="4D0706AF"/>
    <w:rsid w:val="4DBE357D"/>
    <w:rsid w:val="4E3F7754"/>
    <w:rsid w:val="4F497CBC"/>
    <w:rsid w:val="4FB22053"/>
    <w:rsid w:val="4FD96448"/>
    <w:rsid w:val="4FE00405"/>
    <w:rsid w:val="50851FB0"/>
    <w:rsid w:val="510D6FFF"/>
    <w:rsid w:val="5112105D"/>
    <w:rsid w:val="51B20262"/>
    <w:rsid w:val="5205020B"/>
    <w:rsid w:val="52150614"/>
    <w:rsid w:val="5279082A"/>
    <w:rsid w:val="528C1A01"/>
    <w:rsid w:val="5329555B"/>
    <w:rsid w:val="53AF6FF8"/>
    <w:rsid w:val="53F3661A"/>
    <w:rsid w:val="54017009"/>
    <w:rsid w:val="5447444E"/>
    <w:rsid w:val="54772BA2"/>
    <w:rsid w:val="54CE302B"/>
    <w:rsid w:val="54EE2BFB"/>
    <w:rsid w:val="551002DB"/>
    <w:rsid w:val="55D94E6C"/>
    <w:rsid w:val="56C7102D"/>
    <w:rsid w:val="56F31AD8"/>
    <w:rsid w:val="5714565C"/>
    <w:rsid w:val="5726422E"/>
    <w:rsid w:val="573B6A5B"/>
    <w:rsid w:val="57525628"/>
    <w:rsid w:val="57701DAC"/>
    <w:rsid w:val="5796443F"/>
    <w:rsid w:val="582D21D6"/>
    <w:rsid w:val="582E7539"/>
    <w:rsid w:val="586965CB"/>
    <w:rsid w:val="58C62885"/>
    <w:rsid w:val="59292A64"/>
    <w:rsid w:val="593C5252"/>
    <w:rsid w:val="59C74F4B"/>
    <w:rsid w:val="59D60CB1"/>
    <w:rsid w:val="5A072FF0"/>
    <w:rsid w:val="5A2F10F5"/>
    <w:rsid w:val="5A427C66"/>
    <w:rsid w:val="5A4934DA"/>
    <w:rsid w:val="5A6C0163"/>
    <w:rsid w:val="5AA44F7C"/>
    <w:rsid w:val="5BC77FDD"/>
    <w:rsid w:val="5BF17573"/>
    <w:rsid w:val="5BF8580B"/>
    <w:rsid w:val="5C204F2B"/>
    <w:rsid w:val="5DE77B7C"/>
    <w:rsid w:val="5DFD5F09"/>
    <w:rsid w:val="5E8724CF"/>
    <w:rsid w:val="5EBD79D5"/>
    <w:rsid w:val="5F206723"/>
    <w:rsid w:val="5F2916D0"/>
    <w:rsid w:val="5FB90D30"/>
    <w:rsid w:val="5FC74A29"/>
    <w:rsid w:val="5FF7563B"/>
    <w:rsid w:val="608200D2"/>
    <w:rsid w:val="60C86809"/>
    <w:rsid w:val="60D333C6"/>
    <w:rsid w:val="60E50C67"/>
    <w:rsid w:val="61B84B40"/>
    <w:rsid w:val="62CB15F4"/>
    <w:rsid w:val="62EA45E0"/>
    <w:rsid w:val="62EB743A"/>
    <w:rsid w:val="632C76DD"/>
    <w:rsid w:val="63370EA6"/>
    <w:rsid w:val="63703703"/>
    <w:rsid w:val="637A5C2F"/>
    <w:rsid w:val="63843BB2"/>
    <w:rsid w:val="63BD643F"/>
    <w:rsid w:val="63D80EE2"/>
    <w:rsid w:val="64013392"/>
    <w:rsid w:val="64217B10"/>
    <w:rsid w:val="65806F14"/>
    <w:rsid w:val="658C075D"/>
    <w:rsid w:val="65970350"/>
    <w:rsid w:val="65F6396F"/>
    <w:rsid w:val="6616533C"/>
    <w:rsid w:val="666B187B"/>
    <w:rsid w:val="66835AEE"/>
    <w:rsid w:val="6688222A"/>
    <w:rsid w:val="66FF7FB0"/>
    <w:rsid w:val="671F4351"/>
    <w:rsid w:val="675C3900"/>
    <w:rsid w:val="676B34B9"/>
    <w:rsid w:val="67E216F5"/>
    <w:rsid w:val="67FD4B3A"/>
    <w:rsid w:val="68467F6C"/>
    <w:rsid w:val="6864136C"/>
    <w:rsid w:val="68C44CA2"/>
    <w:rsid w:val="68EC3B0E"/>
    <w:rsid w:val="692B3716"/>
    <w:rsid w:val="695634BB"/>
    <w:rsid w:val="69741659"/>
    <w:rsid w:val="698469F1"/>
    <w:rsid w:val="69C72611"/>
    <w:rsid w:val="6A8E15D4"/>
    <w:rsid w:val="6B5856C1"/>
    <w:rsid w:val="6B9701DD"/>
    <w:rsid w:val="6BFA68DC"/>
    <w:rsid w:val="6C5D19CC"/>
    <w:rsid w:val="6C9C160A"/>
    <w:rsid w:val="6CC402E5"/>
    <w:rsid w:val="6CCD3D85"/>
    <w:rsid w:val="6D1F7DC0"/>
    <w:rsid w:val="6D2876D8"/>
    <w:rsid w:val="6D794290"/>
    <w:rsid w:val="6DDD531E"/>
    <w:rsid w:val="6E0143E0"/>
    <w:rsid w:val="6E1D5EF9"/>
    <w:rsid w:val="6E265E09"/>
    <w:rsid w:val="6EC27DF8"/>
    <w:rsid w:val="6F0C6C3B"/>
    <w:rsid w:val="6F11687E"/>
    <w:rsid w:val="6F14778A"/>
    <w:rsid w:val="6F8D4574"/>
    <w:rsid w:val="6FAA05C6"/>
    <w:rsid w:val="70791B00"/>
    <w:rsid w:val="70816852"/>
    <w:rsid w:val="70D7618B"/>
    <w:rsid w:val="717D3C9D"/>
    <w:rsid w:val="71884895"/>
    <w:rsid w:val="71F20915"/>
    <w:rsid w:val="71F346B7"/>
    <w:rsid w:val="725173D6"/>
    <w:rsid w:val="726A35B0"/>
    <w:rsid w:val="72987694"/>
    <w:rsid w:val="72A642D3"/>
    <w:rsid w:val="73695DB3"/>
    <w:rsid w:val="737E2B3D"/>
    <w:rsid w:val="73B15053"/>
    <w:rsid w:val="73FC6CC0"/>
    <w:rsid w:val="751833D6"/>
    <w:rsid w:val="75CF49E1"/>
    <w:rsid w:val="75E6338E"/>
    <w:rsid w:val="75FD5B0B"/>
    <w:rsid w:val="761D6EAE"/>
    <w:rsid w:val="769C1281"/>
    <w:rsid w:val="76C4380F"/>
    <w:rsid w:val="76D55CCE"/>
    <w:rsid w:val="771E3FC2"/>
    <w:rsid w:val="775B23A9"/>
    <w:rsid w:val="775F555C"/>
    <w:rsid w:val="7799563A"/>
    <w:rsid w:val="77BE7E80"/>
    <w:rsid w:val="787235C9"/>
    <w:rsid w:val="787A3990"/>
    <w:rsid w:val="796025A6"/>
    <w:rsid w:val="79D32ABD"/>
    <w:rsid w:val="79F91C04"/>
    <w:rsid w:val="7A5979E3"/>
    <w:rsid w:val="7A9D16CE"/>
    <w:rsid w:val="7AB526B2"/>
    <w:rsid w:val="7AB638F2"/>
    <w:rsid w:val="7B615807"/>
    <w:rsid w:val="7B7123D1"/>
    <w:rsid w:val="7B794E03"/>
    <w:rsid w:val="7BF35760"/>
    <w:rsid w:val="7C9F22C9"/>
    <w:rsid w:val="7CE04392"/>
    <w:rsid w:val="7CEB7B00"/>
    <w:rsid w:val="7D2C4342"/>
    <w:rsid w:val="7D4F380B"/>
    <w:rsid w:val="7DA11E21"/>
    <w:rsid w:val="7DFC655D"/>
    <w:rsid w:val="7E430AA2"/>
    <w:rsid w:val="7E7D22A3"/>
    <w:rsid w:val="7E8E7C8F"/>
    <w:rsid w:val="7E943231"/>
    <w:rsid w:val="7EDE038F"/>
    <w:rsid w:val="7F0A422C"/>
    <w:rsid w:val="7F1B09D5"/>
    <w:rsid w:val="7F29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99"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iPriority="99"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sz w:val="24"/>
      <w:lang w:val="en-US" w:eastAsia="zh-CN" w:bidi="ar-SA"/>
    </w:rPr>
  </w:style>
  <w:style w:type="paragraph" w:styleId="6">
    <w:name w:val="heading 1"/>
    <w:basedOn w:val="1"/>
    <w:next w:val="1"/>
    <w:link w:val="84"/>
    <w:qFormat/>
    <w:uiPriority w:val="0"/>
    <w:pPr>
      <w:keepNext/>
      <w:keepLines/>
      <w:spacing w:before="340" w:after="330" w:line="576" w:lineRule="auto"/>
      <w:outlineLvl w:val="0"/>
    </w:pPr>
    <w:rPr>
      <w:b/>
      <w:kern w:val="44"/>
      <w:sz w:val="44"/>
    </w:rPr>
  </w:style>
  <w:style w:type="paragraph" w:styleId="7">
    <w:name w:val="heading 2"/>
    <w:basedOn w:val="1"/>
    <w:next w:val="1"/>
    <w:link w:val="83"/>
    <w:qFormat/>
    <w:uiPriority w:val="0"/>
    <w:pPr>
      <w:keepNext/>
      <w:keepLines/>
      <w:adjustRightInd w:val="0"/>
      <w:spacing w:before="260" w:after="260" w:line="416" w:lineRule="atLeast"/>
      <w:textAlignment w:val="baseline"/>
      <w:outlineLvl w:val="1"/>
    </w:pPr>
    <w:rPr>
      <w:rFonts w:eastAsia="黑体"/>
      <w:b/>
      <w:sz w:val="32"/>
    </w:rPr>
  </w:style>
  <w:style w:type="paragraph" w:styleId="8">
    <w:name w:val="heading 3"/>
    <w:basedOn w:val="1"/>
    <w:next w:val="1"/>
    <w:link w:val="85"/>
    <w:qFormat/>
    <w:uiPriority w:val="0"/>
    <w:pPr>
      <w:keepNext/>
      <w:keepLines/>
      <w:numPr>
        <w:ilvl w:val="2"/>
        <w:numId w:val="1"/>
      </w:numPr>
      <w:adjustRightInd w:val="0"/>
      <w:spacing w:before="260" w:after="260" w:line="416" w:lineRule="atLeast"/>
      <w:textAlignment w:val="baseline"/>
      <w:outlineLvl w:val="2"/>
    </w:pPr>
    <w:rPr>
      <w:b/>
      <w:sz w:val="32"/>
    </w:rPr>
  </w:style>
  <w:style w:type="paragraph" w:styleId="9">
    <w:name w:val="heading 4"/>
    <w:basedOn w:val="1"/>
    <w:next w:val="1"/>
    <w:link w:val="86"/>
    <w:qFormat/>
    <w:uiPriority w:val="0"/>
    <w:pPr>
      <w:keepNext/>
      <w:keepLines/>
      <w:spacing w:before="280" w:after="290" w:line="372" w:lineRule="auto"/>
      <w:outlineLvl w:val="3"/>
    </w:pPr>
    <w:rPr>
      <w:rFonts w:eastAsia="黑体"/>
      <w:b/>
      <w:sz w:val="28"/>
    </w:rPr>
  </w:style>
  <w:style w:type="paragraph" w:styleId="10">
    <w:name w:val="heading 5"/>
    <w:basedOn w:val="1"/>
    <w:next w:val="1"/>
    <w:link w:val="88"/>
    <w:qFormat/>
    <w:uiPriority w:val="0"/>
    <w:pPr>
      <w:keepNext/>
      <w:keepLines/>
      <w:tabs>
        <w:tab w:val="left" w:pos="780"/>
      </w:tabs>
      <w:spacing w:before="280" w:after="290" w:line="372" w:lineRule="auto"/>
      <w:outlineLvl w:val="4"/>
    </w:pPr>
    <w:rPr>
      <w:b/>
      <w:sz w:val="28"/>
    </w:rPr>
  </w:style>
  <w:style w:type="paragraph" w:styleId="11">
    <w:name w:val="heading 6"/>
    <w:basedOn w:val="1"/>
    <w:next w:val="12"/>
    <w:link w:val="89"/>
    <w:qFormat/>
    <w:uiPriority w:val="0"/>
    <w:pPr>
      <w:keepNext/>
      <w:keepLines/>
      <w:spacing w:before="240" w:after="64" w:line="317" w:lineRule="auto"/>
      <w:outlineLvl w:val="5"/>
    </w:pPr>
    <w:rPr>
      <w:rFonts w:eastAsia="黑体"/>
      <w:b/>
    </w:rPr>
  </w:style>
  <w:style w:type="paragraph" w:styleId="13">
    <w:name w:val="heading 7"/>
    <w:basedOn w:val="1"/>
    <w:next w:val="12"/>
    <w:link w:val="90"/>
    <w:qFormat/>
    <w:uiPriority w:val="0"/>
    <w:pPr>
      <w:keepNext/>
      <w:keepLines/>
      <w:spacing w:before="240" w:after="64" w:line="317" w:lineRule="auto"/>
      <w:outlineLvl w:val="6"/>
    </w:pPr>
    <w:rPr>
      <w:b/>
    </w:rPr>
  </w:style>
  <w:style w:type="paragraph" w:styleId="14">
    <w:name w:val="heading 8"/>
    <w:basedOn w:val="1"/>
    <w:next w:val="12"/>
    <w:link w:val="91"/>
    <w:qFormat/>
    <w:uiPriority w:val="0"/>
    <w:pPr>
      <w:keepNext/>
      <w:keepLines/>
      <w:spacing w:before="240" w:after="64" w:line="317" w:lineRule="auto"/>
      <w:outlineLvl w:val="7"/>
    </w:pPr>
    <w:rPr>
      <w:rFonts w:eastAsia="黑体"/>
    </w:rPr>
  </w:style>
  <w:style w:type="paragraph" w:styleId="15">
    <w:name w:val="heading 9"/>
    <w:basedOn w:val="1"/>
    <w:next w:val="12"/>
    <w:link w:val="92"/>
    <w:qFormat/>
    <w:uiPriority w:val="0"/>
    <w:pPr>
      <w:keepNext/>
      <w:keepLines/>
      <w:spacing w:before="240" w:after="64" w:line="317" w:lineRule="auto"/>
      <w:outlineLvl w:val="8"/>
    </w:pPr>
    <w:rPr>
      <w:rFonts w:eastAsia="黑体"/>
    </w:rPr>
  </w:style>
  <w:style w:type="character" w:default="1" w:styleId="63">
    <w:name w:val="Default Paragraph Font"/>
    <w:unhideWhenUsed/>
    <w:qFormat/>
    <w:uiPriority w:val="1"/>
  </w:style>
  <w:style w:type="table" w:default="1" w:styleId="7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link w:val="115"/>
    <w:qFormat/>
    <w:uiPriority w:val="0"/>
    <w:pPr>
      <w:spacing w:after="120"/>
      <w:ind w:left="420" w:leftChars="200" w:firstLine="420" w:firstLineChars="200"/>
    </w:pPr>
    <w:rPr>
      <w:szCs w:val="24"/>
    </w:rPr>
  </w:style>
  <w:style w:type="paragraph" w:styleId="3">
    <w:name w:val="Body Text Indent"/>
    <w:basedOn w:val="1"/>
    <w:next w:val="4"/>
    <w:link w:val="98"/>
    <w:qFormat/>
    <w:uiPriority w:val="0"/>
    <w:pPr>
      <w:ind w:left="359" w:leftChars="171" w:firstLine="179" w:firstLineChars="85"/>
    </w:pPr>
    <w:rPr>
      <w:rFonts w:ascii="宋体" w:hAnsi="宋体"/>
      <w:b/>
    </w:rPr>
  </w:style>
  <w:style w:type="paragraph" w:styleId="4">
    <w:name w:val="toc 4"/>
    <w:basedOn w:val="1"/>
    <w:next w:val="1"/>
    <w:qFormat/>
    <w:uiPriority w:val="39"/>
    <w:pPr>
      <w:tabs>
        <w:tab w:val="right" w:leader="dot" w:pos="8303"/>
      </w:tabs>
      <w:spacing w:line="300" w:lineRule="exact"/>
      <w:ind w:firstLine="424" w:firstLineChars="202"/>
    </w:pPr>
  </w:style>
  <w:style w:type="paragraph" w:styleId="5">
    <w:name w:val="Body Text"/>
    <w:basedOn w:val="1"/>
    <w:next w:val="1"/>
    <w:link w:val="97"/>
    <w:qFormat/>
    <w:uiPriority w:val="99"/>
    <w:pPr>
      <w:autoSpaceDE w:val="0"/>
      <w:autoSpaceDN w:val="0"/>
      <w:adjustRightInd w:val="0"/>
      <w:jc w:val="left"/>
    </w:pPr>
    <w:rPr>
      <w:rFonts w:ascii="宋体"/>
      <w:sz w:val="28"/>
    </w:rPr>
  </w:style>
  <w:style w:type="paragraph" w:styleId="12">
    <w:name w:val="Normal Indent"/>
    <w:basedOn w:val="1"/>
    <w:link w:val="87"/>
    <w:qFormat/>
    <w:uiPriority w:val="0"/>
    <w:pPr>
      <w:ind w:firstLine="420"/>
    </w:pPr>
  </w:style>
  <w:style w:type="paragraph" w:styleId="16">
    <w:name w:val="annotation subject"/>
    <w:basedOn w:val="17"/>
    <w:next w:val="17"/>
    <w:link w:val="113"/>
    <w:qFormat/>
    <w:uiPriority w:val="99"/>
    <w:rPr>
      <w:b/>
    </w:rPr>
  </w:style>
  <w:style w:type="paragraph" w:styleId="17">
    <w:name w:val="annotation text"/>
    <w:basedOn w:val="1"/>
    <w:link w:val="95"/>
    <w:qFormat/>
    <w:uiPriority w:val="0"/>
    <w:pPr>
      <w:jc w:val="left"/>
    </w:pPr>
  </w:style>
  <w:style w:type="paragraph" w:styleId="18">
    <w:name w:val="toc 7"/>
    <w:basedOn w:val="19"/>
    <w:next w:val="1"/>
    <w:qFormat/>
    <w:uiPriority w:val="39"/>
    <w:pPr>
      <w:tabs>
        <w:tab w:val="right" w:leader="dot" w:pos="8303"/>
      </w:tabs>
      <w:ind w:left="1260"/>
    </w:pPr>
  </w:style>
  <w:style w:type="paragraph" w:styleId="19">
    <w:name w:val="toc 6"/>
    <w:basedOn w:val="20"/>
    <w:next w:val="1"/>
    <w:qFormat/>
    <w:uiPriority w:val="39"/>
    <w:pPr>
      <w:tabs>
        <w:tab w:val="right" w:leader="dot" w:pos="8303"/>
      </w:tabs>
      <w:ind w:left="1050"/>
    </w:pPr>
  </w:style>
  <w:style w:type="paragraph" w:styleId="20">
    <w:name w:val="toc 5"/>
    <w:basedOn w:val="4"/>
    <w:next w:val="1"/>
    <w:qFormat/>
    <w:uiPriority w:val="39"/>
    <w:pPr>
      <w:ind w:left="840"/>
      <w:jc w:val="left"/>
    </w:pPr>
    <w:rPr>
      <w:sz w:val="18"/>
    </w:rPr>
  </w:style>
  <w:style w:type="paragraph" w:styleId="21">
    <w:name w:val="Body Text First Indent"/>
    <w:basedOn w:val="5"/>
    <w:link w:val="114"/>
    <w:qFormat/>
    <w:uiPriority w:val="99"/>
    <w:pPr>
      <w:autoSpaceDE/>
      <w:autoSpaceDN/>
      <w:adjustRightInd/>
      <w:spacing w:after="120"/>
      <w:ind w:firstLine="420" w:firstLineChars="100"/>
      <w:jc w:val="both"/>
    </w:pPr>
    <w:rPr>
      <w:sz w:val="21"/>
    </w:rPr>
  </w:style>
  <w:style w:type="paragraph" w:styleId="22">
    <w:name w:val="List Number 2"/>
    <w:basedOn w:val="1"/>
    <w:qFormat/>
    <w:uiPriority w:val="0"/>
    <w:pPr>
      <w:numPr>
        <w:ilvl w:val="0"/>
        <w:numId w:val="2"/>
      </w:numPr>
    </w:pPr>
  </w:style>
  <w:style w:type="paragraph" w:styleId="23">
    <w:name w:val="index 8"/>
    <w:basedOn w:val="1"/>
    <w:next w:val="1"/>
    <w:qFormat/>
    <w:uiPriority w:val="0"/>
    <w:pPr>
      <w:ind w:left="1400" w:leftChars="1400"/>
    </w:pPr>
    <w:rPr>
      <w:szCs w:val="24"/>
    </w:rPr>
  </w:style>
  <w:style w:type="paragraph" w:styleId="24">
    <w:name w:val="caption"/>
    <w:basedOn w:val="1"/>
    <w:next w:val="1"/>
    <w:link w:val="93"/>
    <w:qFormat/>
    <w:uiPriority w:val="0"/>
    <w:pPr>
      <w:spacing w:before="152" w:after="160"/>
    </w:pPr>
    <w:rPr>
      <w:rFonts w:eastAsia="黑体"/>
      <w:sz w:val="20"/>
    </w:rPr>
  </w:style>
  <w:style w:type="paragraph" w:styleId="25">
    <w:name w:val="List Bullet"/>
    <w:basedOn w:val="1"/>
    <w:qFormat/>
    <w:uiPriority w:val="0"/>
    <w:pPr>
      <w:numPr>
        <w:ilvl w:val="0"/>
        <w:numId w:val="3"/>
      </w:numPr>
      <w:contextualSpacing/>
    </w:pPr>
    <w:rPr>
      <w:szCs w:val="24"/>
    </w:rPr>
  </w:style>
  <w:style w:type="paragraph" w:styleId="26">
    <w:name w:val="Document Map"/>
    <w:basedOn w:val="1"/>
    <w:link w:val="94"/>
    <w:qFormat/>
    <w:uiPriority w:val="99"/>
    <w:pPr>
      <w:shd w:val="clear" w:color="auto" w:fill="000080"/>
    </w:pPr>
  </w:style>
  <w:style w:type="paragraph" w:styleId="27">
    <w:name w:val="toa heading"/>
    <w:basedOn w:val="1"/>
    <w:next w:val="1"/>
    <w:qFormat/>
    <w:uiPriority w:val="0"/>
    <w:pPr>
      <w:autoSpaceDE w:val="0"/>
      <w:autoSpaceDN w:val="0"/>
      <w:adjustRightInd w:val="0"/>
      <w:snapToGrid w:val="0"/>
      <w:spacing w:before="120" w:line="360" w:lineRule="auto"/>
    </w:pPr>
    <w:rPr>
      <w:snapToGrid w:val="0"/>
      <w:color w:val="000000"/>
    </w:rPr>
  </w:style>
  <w:style w:type="paragraph" w:styleId="28">
    <w:name w:val="Salutation"/>
    <w:basedOn w:val="1"/>
    <w:next w:val="1"/>
    <w:qFormat/>
    <w:uiPriority w:val="0"/>
    <w:rPr>
      <w:rFonts w:eastAsia="黑体"/>
    </w:rPr>
  </w:style>
  <w:style w:type="paragraph" w:styleId="29">
    <w:name w:val="Body Text 3"/>
    <w:basedOn w:val="1"/>
    <w:link w:val="96"/>
    <w:qFormat/>
    <w:uiPriority w:val="0"/>
    <w:pPr>
      <w:spacing w:after="60"/>
      <w:jc w:val="center"/>
    </w:pPr>
    <w:rPr>
      <w:rFonts w:ascii="华康简标题宋" w:eastAsia="华康简标题宋"/>
      <w:sz w:val="52"/>
    </w:rPr>
  </w:style>
  <w:style w:type="paragraph" w:styleId="30">
    <w:name w:val="List Number 3"/>
    <w:basedOn w:val="1"/>
    <w:unhideWhenUsed/>
    <w:qFormat/>
    <w:uiPriority w:val="99"/>
    <w:pPr>
      <w:tabs>
        <w:tab w:val="left" w:pos="1200"/>
      </w:tabs>
      <w:ind w:left="425" w:hanging="425"/>
    </w:pPr>
    <w:rPr>
      <w:rFonts w:ascii="Calibri" w:hAnsi="Calibri"/>
      <w:szCs w:val="22"/>
    </w:rPr>
  </w:style>
  <w:style w:type="paragraph" w:styleId="31">
    <w:name w:val="List 2"/>
    <w:basedOn w:val="1"/>
    <w:qFormat/>
    <w:uiPriority w:val="0"/>
    <w:pPr>
      <w:spacing w:line="360" w:lineRule="auto"/>
      <w:ind w:left="100" w:leftChars="200" w:hanging="200" w:hangingChars="200"/>
    </w:pPr>
  </w:style>
  <w:style w:type="paragraph" w:styleId="32">
    <w:name w:val="List Continue"/>
    <w:basedOn w:val="1"/>
    <w:qFormat/>
    <w:uiPriority w:val="0"/>
    <w:pPr>
      <w:spacing w:after="120"/>
      <w:ind w:left="420" w:leftChars="200"/>
    </w:pPr>
    <w:rPr>
      <w:szCs w:val="24"/>
    </w:rPr>
  </w:style>
  <w:style w:type="paragraph" w:styleId="33">
    <w:name w:val="Block Text"/>
    <w:basedOn w:val="1"/>
    <w:qFormat/>
    <w:uiPriority w:val="0"/>
    <w:pPr>
      <w:ind w:left="1440" w:leftChars="700" w:right="700" w:rightChars="700"/>
    </w:pPr>
    <w:rPr>
      <w:rFonts w:ascii="Calibri" w:hAnsi="Calibri"/>
      <w:szCs w:val="24"/>
    </w:rPr>
  </w:style>
  <w:style w:type="paragraph" w:styleId="34">
    <w:name w:val="List Bullet 2"/>
    <w:basedOn w:val="1"/>
    <w:qFormat/>
    <w:uiPriority w:val="0"/>
    <w:pPr>
      <w:tabs>
        <w:tab w:val="left" w:pos="720"/>
      </w:tabs>
      <w:adjustRightInd w:val="0"/>
      <w:spacing w:line="312" w:lineRule="atLeast"/>
      <w:ind w:left="720" w:hanging="720"/>
      <w:textAlignment w:val="baseline"/>
    </w:pPr>
    <w:rPr>
      <w:rFonts w:ascii="宋体" w:hAnsi="宋体"/>
    </w:rPr>
  </w:style>
  <w:style w:type="paragraph" w:styleId="35">
    <w:name w:val="HTML Address"/>
    <w:basedOn w:val="1"/>
    <w:link w:val="99"/>
    <w:qFormat/>
    <w:uiPriority w:val="0"/>
    <w:rPr>
      <w:i/>
    </w:rPr>
  </w:style>
  <w:style w:type="paragraph" w:styleId="36">
    <w:name w:val="toc 3"/>
    <w:basedOn w:val="1"/>
    <w:next w:val="1"/>
    <w:qFormat/>
    <w:uiPriority w:val="39"/>
    <w:pPr>
      <w:tabs>
        <w:tab w:val="right" w:leader="dot" w:pos="8303"/>
      </w:tabs>
      <w:spacing w:line="300" w:lineRule="exact"/>
      <w:ind w:left="424" w:leftChars="202" w:firstLine="2"/>
    </w:pPr>
  </w:style>
  <w:style w:type="paragraph" w:styleId="37">
    <w:name w:val="Plain Text"/>
    <w:basedOn w:val="1"/>
    <w:link w:val="100"/>
    <w:qFormat/>
    <w:uiPriority w:val="0"/>
    <w:rPr>
      <w:rFonts w:ascii="宋体" w:hAnsi="Courier New"/>
    </w:rPr>
  </w:style>
  <w:style w:type="paragraph" w:styleId="38">
    <w:name w:val="List Bullet 5"/>
    <w:basedOn w:val="1"/>
    <w:qFormat/>
    <w:uiPriority w:val="0"/>
    <w:pPr>
      <w:tabs>
        <w:tab w:val="left" w:pos="2040"/>
      </w:tabs>
      <w:adjustRightInd w:val="0"/>
      <w:spacing w:line="312" w:lineRule="atLeast"/>
      <w:ind w:left="2040" w:hanging="360"/>
      <w:textAlignment w:val="baseline"/>
    </w:pPr>
    <w:rPr>
      <w:rFonts w:ascii="宋体" w:hAnsi="宋体"/>
    </w:rPr>
  </w:style>
  <w:style w:type="paragraph" w:styleId="39">
    <w:name w:val="toc 8"/>
    <w:basedOn w:val="18"/>
    <w:next w:val="1"/>
    <w:qFormat/>
    <w:uiPriority w:val="39"/>
    <w:pPr>
      <w:ind w:left="1470"/>
    </w:pPr>
  </w:style>
  <w:style w:type="paragraph" w:styleId="40">
    <w:name w:val="index 3"/>
    <w:basedOn w:val="1"/>
    <w:next w:val="1"/>
    <w:qFormat/>
    <w:uiPriority w:val="99"/>
    <w:pPr>
      <w:ind w:left="400" w:leftChars="400"/>
    </w:pPr>
    <w:rPr>
      <w:rFonts w:ascii="Calibri" w:hAnsi="Calibri"/>
      <w:szCs w:val="22"/>
    </w:rPr>
  </w:style>
  <w:style w:type="paragraph" w:styleId="41">
    <w:name w:val="Date"/>
    <w:basedOn w:val="1"/>
    <w:next w:val="1"/>
    <w:link w:val="101"/>
    <w:qFormat/>
    <w:uiPriority w:val="0"/>
    <w:pPr>
      <w:autoSpaceDE w:val="0"/>
      <w:autoSpaceDN w:val="0"/>
      <w:adjustRightInd w:val="0"/>
    </w:pPr>
    <w:rPr>
      <w:rFonts w:ascii="宋体"/>
      <w:sz w:val="28"/>
    </w:rPr>
  </w:style>
  <w:style w:type="paragraph" w:styleId="42">
    <w:name w:val="Body Text Indent 2"/>
    <w:basedOn w:val="1"/>
    <w:link w:val="102"/>
    <w:qFormat/>
    <w:uiPriority w:val="0"/>
    <w:pPr>
      <w:spacing w:line="360" w:lineRule="auto"/>
      <w:ind w:firstLine="720"/>
    </w:pPr>
    <w:rPr>
      <w:rFonts w:ascii="宋体"/>
      <w:sz w:val="28"/>
    </w:rPr>
  </w:style>
  <w:style w:type="paragraph" w:styleId="43">
    <w:name w:val="endnote text"/>
    <w:basedOn w:val="1"/>
    <w:link w:val="103"/>
    <w:qFormat/>
    <w:uiPriority w:val="0"/>
    <w:pPr>
      <w:adjustRightInd w:val="0"/>
      <w:spacing w:line="315" w:lineRule="atLeast"/>
      <w:ind w:firstLine="425"/>
      <w:jc w:val="left"/>
      <w:textAlignment w:val="baseline"/>
    </w:pPr>
    <w:rPr>
      <w:rFonts w:ascii="宋体"/>
    </w:rPr>
  </w:style>
  <w:style w:type="paragraph" w:styleId="44">
    <w:name w:val="Balloon Text"/>
    <w:basedOn w:val="1"/>
    <w:link w:val="104"/>
    <w:qFormat/>
    <w:uiPriority w:val="99"/>
    <w:rPr>
      <w:sz w:val="18"/>
    </w:rPr>
  </w:style>
  <w:style w:type="paragraph" w:styleId="45">
    <w:name w:val="footer"/>
    <w:basedOn w:val="1"/>
    <w:link w:val="105"/>
    <w:qFormat/>
    <w:uiPriority w:val="99"/>
    <w:pPr>
      <w:tabs>
        <w:tab w:val="center" w:pos="4153"/>
        <w:tab w:val="right" w:pos="8306"/>
      </w:tabs>
      <w:autoSpaceDE w:val="0"/>
      <w:autoSpaceDN w:val="0"/>
      <w:adjustRightInd w:val="0"/>
      <w:snapToGrid w:val="0"/>
      <w:jc w:val="left"/>
      <w:textAlignment w:val="baseline"/>
    </w:pPr>
    <w:rPr>
      <w:rFonts w:ascii="宋体"/>
      <w:sz w:val="18"/>
    </w:rPr>
  </w:style>
  <w:style w:type="paragraph" w:styleId="46">
    <w:name w:val="envelope return"/>
    <w:basedOn w:val="1"/>
    <w:qFormat/>
    <w:uiPriority w:val="0"/>
    <w:pPr>
      <w:snapToGrid w:val="0"/>
    </w:pPr>
  </w:style>
  <w:style w:type="paragraph" w:styleId="47">
    <w:name w:val="header"/>
    <w:basedOn w:val="1"/>
    <w:link w:val="106"/>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sz w:val="18"/>
    </w:rPr>
  </w:style>
  <w:style w:type="paragraph" w:styleId="48">
    <w:name w:val="toc 1"/>
    <w:basedOn w:val="1"/>
    <w:next w:val="1"/>
    <w:qFormat/>
    <w:uiPriority w:val="0"/>
    <w:pPr>
      <w:tabs>
        <w:tab w:val="right" w:leader="dot" w:pos="8303"/>
      </w:tabs>
      <w:spacing w:after="78" w:afterLines="25"/>
    </w:pPr>
    <w:rPr>
      <w:rFonts w:ascii="宋体" w:hAnsi="宋体"/>
      <w:b/>
    </w:rPr>
  </w:style>
  <w:style w:type="paragraph" w:styleId="49">
    <w:name w:val="index heading"/>
    <w:basedOn w:val="1"/>
    <w:next w:val="50"/>
    <w:qFormat/>
    <w:uiPriority w:val="0"/>
  </w:style>
  <w:style w:type="paragraph" w:styleId="50">
    <w:name w:val="index 1"/>
    <w:basedOn w:val="1"/>
    <w:next w:val="1"/>
    <w:qFormat/>
    <w:uiPriority w:val="0"/>
    <w:pPr>
      <w:jc w:val="center"/>
    </w:pPr>
  </w:style>
  <w:style w:type="paragraph" w:styleId="51">
    <w:name w:val="Subtitle"/>
    <w:basedOn w:val="1"/>
    <w:next w:val="1"/>
    <w:link w:val="107"/>
    <w:qFormat/>
    <w:uiPriority w:val="0"/>
    <w:pPr>
      <w:widowControl/>
      <w:spacing w:before="240" w:after="60" w:line="312" w:lineRule="auto"/>
      <w:jc w:val="center"/>
      <w:outlineLvl w:val="1"/>
    </w:pPr>
    <w:rPr>
      <w:rFonts w:ascii="Cambria" w:hAnsi="Cambria"/>
      <w:b/>
      <w:bCs/>
      <w:kern w:val="28"/>
      <w:sz w:val="32"/>
      <w:szCs w:val="32"/>
    </w:rPr>
  </w:style>
  <w:style w:type="paragraph" w:styleId="52">
    <w:name w:val="List Number 5"/>
    <w:basedOn w:val="1"/>
    <w:qFormat/>
    <w:uiPriority w:val="0"/>
    <w:pPr>
      <w:tabs>
        <w:tab w:val="left" w:pos="2040"/>
      </w:tabs>
      <w:ind w:left="2040" w:leftChars="800" w:hanging="1125"/>
    </w:pPr>
  </w:style>
  <w:style w:type="paragraph" w:styleId="53">
    <w:name w:val="List"/>
    <w:basedOn w:val="1"/>
    <w:qFormat/>
    <w:uiPriority w:val="0"/>
    <w:pPr>
      <w:widowControl/>
      <w:snapToGrid w:val="0"/>
      <w:spacing w:before="80" w:after="80" w:line="300" w:lineRule="auto"/>
      <w:ind w:left="200" w:hanging="200" w:hangingChars="200"/>
    </w:pPr>
  </w:style>
  <w:style w:type="paragraph" w:styleId="54">
    <w:name w:val="footnote text"/>
    <w:basedOn w:val="1"/>
    <w:link w:val="108"/>
    <w:qFormat/>
    <w:uiPriority w:val="0"/>
    <w:pPr>
      <w:snapToGrid w:val="0"/>
      <w:jc w:val="left"/>
    </w:pPr>
    <w:rPr>
      <w:sz w:val="18"/>
    </w:rPr>
  </w:style>
  <w:style w:type="paragraph" w:styleId="55">
    <w:name w:val="Body Text Indent 3"/>
    <w:basedOn w:val="1"/>
    <w:link w:val="109"/>
    <w:qFormat/>
    <w:uiPriority w:val="0"/>
    <w:pPr>
      <w:autoSpaceDE w:val="0"/>
      <w:autoSpaceDN w:val="0"/>
      <w:adjustRightInd w:val="0"/>
      <w:spacing w:line="360" w:lineRule="auto"/>
      <w:ind w:firstLine="570"/>
      <w:textAlignment w:val="baseline"/>
    </w:pPr>
    <w:rPr>
      <w:rFonts w:ascii="宋体"/>
      <w:sz w:val="28"/>
    </w:rPr>
  </w:style>
  <w:style w:type="paragraph" w:styleId="56">
    <w:name w:val="table of figures"/>
    <w:basedOn w:val="36"/>
    <w:next w:val="1"/>
    <w:qFormat/>
    <w:uiPriority w:val="0"/>
    <w:pPr>
      <w:tabs>
        <w:tab w:val="clear" w:pos="8303"/>
      </w:tabs>
      <w:spacing w:line="360" w:lineRule="auto"/>
      <w:ind w:left="0" w:leftChars="0" w:hanging="420"/>
      <w:jc w:val="left"/>
    </w:pPr>
    <w:rPr>
      <w:iCs/>
      <w:szCs w:val="24"/>
    </w:rPr>
  </w:style>
  <w:style w:type="paragraph" w:styleId="57">
    <w:name w:val="toc 2"/>
    <w:basedOn w:val="1"/>
    <w:next w:val="1"/>
    <w:qFormat/>
    <w:uiPriority w:val="39"/>
    <w:pPr>
      <w:tabs>
        <w:tab w:val="right" w:leader="dot" w:pos="8303"/>
      </w:tabs>
      <w:spacing w:line="300" w:lineRule="exact"/>
      <w:ind w:left="420" w:leftChars="200" w:firstLine="4" w:firstLineChars="2"/>
    </w:pPr>
  </w:style>
  <w:style w:type="paragraph" w:styleId="58">
    <w:name w:val="toc 9"/>
    <w:basedOn w:val="39"/>
    <w:next w:val="1"/>
    <w:qFormat/>
    <w:uiPriority w:val="39"/>
    <w:pPr>
      <w:ind w:left="1680"/>
    </w:pPr>
  </w:style>
  <w:style w:type="paragraph" w:styleId="59">
    <w:name w:val="Body Text 2"/>
    <w:basedOn w:val="1"/>
    <w:link w:val="110"/>
    <w:qFormat/>
    <w:uiPriority w:val="0"/>
    <w:pPr>
      <w:autoSpaceDE w:val="0"/>
      <w:autoSpaceDN w:val="0"/>
      <w:adjustRightInd w:val="0"/>
    </w:pPr>
    <w:rPr>
      <w:rFonts w:ascii="宋体"/>
      <w:sz w:val="28"/>
    </w:rPr>
  </w:style>
  <w:style w:type="paragraph" w:styleId="60">
    <w:name w:val="HTML Preformatted"/>
    <w:basedOn w:val="1"/>
    <w:link w:val="111"/>
    <w:qFormat/>
    <w:uiPriority w:val="0"/>
    <w:rPr>
      <w:rFonts w:ascii="Courier New" w:hAnsi="Courier New"/>
      <w:sz w:val="20"/>
    </w:rPr>
  </w:style>
  <w:style w:type="paragraph" w:styleId="61">
    <w:name w:val="Normal (Web)"/>
    <w:basedOn w:val="1"/>
    <w:qFormat/>
    <w:uiPriority w:val="0"/>
    <w:pPr>
      <w:autoSpaceDE w:val="0"/>
      <w:autoSpaceDN w:val="0"/>
      <w:adjustRightInd w:val="0"/>
      <w:jc w:val="left"/>
    </w:pPr>
  </w:style>
  <w:style w:type="paragraph" w:styleId="62">
    <w:name w:val="Title"/>
    <w:basedOn w:val="1"/>
    <w:link w:val="112"/>
    <w:qFormat/>
    <w:uiPriority w:val="0"/>
    <w:pPr>
      <w:spacing w:before="240" w:after="60"/>
      <w:jc w:val="center"/>
      <w:outlineLvl w:val="0"/>
    </w:pPr>
    <w:rPr>
      <w:b/>
      <w:sz w:val="32"/>
    </w:rPr>
  </w:style>
  <w:style w:type="character" w:styleId="64">
    <w:name w:val="Strong"/>
    <w:qFormat/>
    <w:uiPriority w:val="0"/>
    <w:rPr>
      <w:b/>
    </w:rPr>
  </w:style>
  <w:style w:type="character" w:styleId="65">
    <w:name w:val="page number"/>
    <w:qFormat/>
    <w:uiPriority w:val="0"/>
  </w:style>
  <w:style w:type="character" w:styleId="66">
    <w:name w:val="FollowedHyperlink"/>
    <w:qFormat/>
    <w:uiPriority w:val="0"/>
    <w:rPr>
      <w:color w:val="800080"/>
      <w:u w:val="single"/>
    </w:rPr>
  </w:style>
  <w:style w:type="character" w:styleId="67">
    <w:name w:val="Emphasis"/>
    <w:qFormat/>
    <w:uiPriority w:val="20"/>
    <w:rPr>
      <w:color w:val="CC0033"/>
    </w:rPr>
  </w:style>
  <w:style w:type="character" w:styleId="68">
    <w:name w:val="HTML Definition"/>
    <w:basedOn w:val="63"/>
    <w:qFormat/>
    <w:uiPriority w:val="0"/>
  </w:style>
  <w:style w:type="character" w:styleId="69">
    <w:name w:val="HTML Typewriter"/>
    <w:qFormat/>
    <w:uiPriority w:val="0"/>
    <w:rPr>
      <w:rFonts w:ascii="Courier New" w:hAnsi="Courier New"/>
      <w:sz w:val="20"/>
    </w:rPr>
  </w:style>
  <w:style w:type="character" w:styleId="70">
    <w:name w:val="HTML Acronym"/>
    <w:qFormat/>
    <w:uiPriority w:val="0"/>
  </w:style>
  <w:style w:type="character" w:styleId="71">
    <w:name w:val="HTML Variable"/>
    <w:basedOn w:val="63"/>
    <w:qFormat/>
    <w:uiPriority w:val="0"/>
  </w:style>
  <w:style w:type="character" w:styleId="72">
    <w:name w:val="Hyperlink"/>
    <w:qFormat/>
    <w:uiPriority w:val="99"/>
    <w:rPr>
      <w:color w:val="0000FF"/>
      <w:u w:val="single"/>
    </w:rPr>
  </w:style>
  <w:style w:type="character" w:styleId="73">
    <w:name w:val="HTML Code"/>
    <w:basedOn w:val="63"/>
    <w:qFormat/>
    <w:uiPriority w:val="0"/>
    <w:rPr>
      <w:rFonts w:ascii="Courier New" w:hAnsi="Courier New"/>
      <w:sz w:val="20"/>
    </w:rPr>
  </w:style>
  <w:style w:type="character" w:styleId="74">
    <w:name w:val="annotation reference"/>
    <w:qFormat/>
    <w:uiPriority w:val="0"/>
    <w:rPr>
      <w:sz w:val="21"/>
    </w:rPr>
  </w:style>
  <w:style w:type="character" w:styleId="75">
    <w:name w:val="HTML Cite"/>
    <w:basedOn w:val="63"/>
    <w:qFormat/>
    <w:uiPriority w:val="0"/>
  </w:style>
  <w:style w:type="character" w:styleId="76">
    <w:name w:val="footnote reference"/>
    <w:qFormat/>
    <w:uiPriority w:val="0"/>
    <w:rPr>
      <w:vertAlign w:val="superscript"/>
    </w:rPr>
  </w:style>
  <w:style w:type="character" w:styleId="77">
    <w:name w:val="HTML Keyboard"/>
    <w:qFormat/>
    <w:uiPriority w:val="0"/>
    <w:rPr>
      <w:rFonts w:ascii="Courier New" w:hAnsi="Courier New"/>
      <w:sz w:val="20"/>
    </w:rPr>
  </w:style>
  <w:style w:type="character" w:styleId="78">
    <w:name w:val="HTML Sample"/>
    <w:qFormat/>
    <w:uiPriority w:val="0"/>
    <w:rPr>
      <w:rFonts w:ascii="Courier New" w:hAnsi="Courier New"/>
    </w:rPr>
  </w:style>
  <w:style w:type="table" w:styleId="80">
    <w:name w:val="Table Grid"/>
    <w:basedOn w:val="7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81">
    <w:name w:val="Light Shading Accent 2"/>
    <w:basedOn w:val="79"/>
    <w:qFormat/>
    <w:uiPriority w:val="30"/>
    <w:rPr>
      <w:i/>
      <w:iCs/>
      <w:color w:val="5B9BD5"/>
      <w:kern w:val="2"/>
      <w:sz w:val="21"/>
      <w:szCs w:val="24"/>
    </w:rPr>
    <w:tblPr>
      <w:tblBorders>
        <w:top w:val="single" w:color="C0504D" w:sz="8" w:space="0"/>
        <w:bottom w:val="single" w:color="C0504D" w:sz="8" w:space="0"/>
      </w:tblBorders>
      <w:tblLayout w:type="fixed"/>
    </w:tblPr>
    <w:tblStylePr w:type="firstRow">
      <w:pPr>
        <w:spacing w:before="0" w:after="0" w:line="240" w:lineRule="auto"/>
      </w:pPr>
      <w:rPr>
        <w:b/>
        <w:bCs/>
      </w:rPr>
      <w:tblPr>
        <w:tblLayout w:type="fixed"/>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blLayout w:type="fixed"/>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EFD3D2"/>
      </w:tcPr>
    </w:tblStylePr>
    <w:tblStylePr w:type="band1Horz">
      <w:tblPr>
        <w:tblLayout w:type="fixed"/>
      </w:tblPr>
      <w:tcPr>
        <w:tcBorders>
          <w:top w:val="nil"/>
          <w:left w:val="nil"/>
          <w:bottom w:val="nil"/>
          <w:right w:val="nil"/>
          <w:insideH w:val="nil"/>
          <w:insideV w:val="nil"/>
          <w:tl2br w:val="nil"/>
          <w:tr2bl w:val="nil"/>
        </w:tcBorders>
        <w:shd w:val="clear" w:color="auto" w:fill="EFD3D2"/>
      </w:tcPr>
    </w:tblStylePr>
  </w:style>
  <w:style w:type="paragraph" w:customStyle="1" w:styleId="82">
    <w:name w:val="样式1"/>
    <w:basedOn w:val="6"/>
    <w:link w:val="341"/>
    <w:qFormat/>
    <w:uiPriority w:val="0"/>
    <w:rPr>
      <w:rFonts w:ascii="宋体" w:hAnsi="宋体"/>
      <w:sz w:val="32"/>
    </w:rPr>
  </w:style>
  <w:style w:type="character" w:customStyle="1" w:styleId="83">
    <w:name w:val="标题 2 字符"/>
    <w:link w:val="7"/>
    <w:qFormat/>
    <w:uiPriority w:val="0"/>
    <w:rPr>
      <w:rFonts w:ascii="Arial" w:hAnsi="Arial" w:eastAsia="黑体"/>
      <w:b/>
      <w:kern w:val="2"/>
      <w:sz w:val="32"/>
      <w:lang w:val="en-US" w:eastAsia="zh-CN" w:bidi="ar-SA"/>
    </w:rPr>
  </w:style>
  <w:style w:type="character" w:customStyle="1" w:styleId="84">
    <w:name w:val="标题 1 字符"/>
    <w:basedOn w:val="63"/>
    <w:link w:val="6"/>
    <w:qFormat/>
    <w:uiPriority w:val="0"/>
    <w:rPr>
      <w:rFonts w:eastAsia="宋体"/>
      <w:b/>
      <w:kern w:val="44"/>
      <w:sz w:val="44"/>
      <w:lang w:val="en-US" w:eastAsia="zh-CN" w:bidi="ar-SA"/>
    </w:rPr>
  </w:style>
  <w:style w:type="character" w:customStyle="1" w:styleId="85">
    <w:name w:val="标题 3 字符"/>
    <w:link w:val="8"/>
    <w:qFormat/>
    <w:uiPriority w:val="0"/>
    <w:rPr>
      <w:b/>
      <w:kern w:val="2"/>
      <w:sz w:val="32"/>
    </w:rPr>
  </w:style>
  <w:style w:type="character" w:customStyle="1" w:styleId="86">
    <w:name w:val="标题 4 字符"/>
    <w:link w:val="9"/>
    <w:qFormat/>
    <w:uiPriority w:val="0"/>
    <w:rPr>
      <w:rFonts w:ascii="Arial" w:hAnsi="Arial" w:eastAsia="黑体"/>
      <w:b/>
      <w:kern w:val="2"/>
      <w:sz w:val="28"/>
      <w:lang w:val="en-US" w:eastAsia="zh-CN" w:bidi="ar-SA"/>
    </w:rPr>
  </w:style>
  <w:style w:type="character" w:customStyle="1" w:styleId="87">
    <w:name w:val="正文缩进 字符"/>
    <w:link w:val="12"/>
    <w:qFormat/>
    <w:uiPriority w:val="0"/>
    <w:rPr>
      <w:kern w:val="2"/>
      <w:sz w:val="21"/>
    </w:rPr>
  </w:style>
  <w:style w:type="character" w:customStyle="1" w:styleId="88">
    <w:name w:val="标题 5 字符"/>
    <w:link w:val="10"/>
    <w:qFormat/>
    <w:uiPriority w:val="0"/>
    <w:rPr>
      <w:rFonts w:eastAsia="宋体"/>
      <w:b/>
      <w:kern w:val="2"/>
      <w:sz w:val="28"/>
      <w:lang w:val="en-US" w:eastAsia="zh-CN" w:bidi="ar-SA"/>
    </w:rPr>
  </w:style>
  <w:style w:type="character" w:customStyle="1" w:styleId="89">
    <w:name w:val="标题 6 字符"/>
    <w:link w:val="11"/>
    <w:qFormat/>
    <w:uiPriority w:val="0"/>
    <w:rPr>
      <w:rFonts w:ascii="Arial" w:hAnsi="Arial" w:eastAsia="黑体"/>
      <w:b/>
      <w:kern w:val="2"/>
      <w:sz w:val="24"/>
      <w:lang w:val="en-US" w:eastAsia="zh-CN" w:bidi="ar-SA"/>
    </w:rPr>
  </w:style>
  <w:style w:type="character" w:customStyle="1" w:styleId="90">
    <w:name w:val="标题 7 字符"/>
    <w:link w:val="13"/>
    <w:qFormat/>
    <w:uiPriority w:val="0"/>
    <w:rPr>
      <w:rFonts w:eastAsia="宋体"/>
      <w:b/>
      <w:kern w:val="2"/>
      <w:sz w:val="24"/>
      <w:lang w:val="en-US" w:eastAsia="zh-CN" w:bidi="ar-SA"/>
    </w:rPr>
  </w:style>
  <w:style w:type="character" w:customStyle="1" w:styleId="91">
    <w:name w:val="标题 8 字符"/>
    <w:link w:val="14"/>
    <w:qFormat/>
    <w:uiPriority w:val="0"/>
    <w:rPr>
      <w:rFonts w:ascii="Arial" w:hAnsi="Arial" w:eastAsia="黑体"/>
      <w:kern w:val="2"/>
      <w:sz w:val="24"/>
      <w:lang w:val="en-US" w:eastAsia="zh-CN" w:bidi="ar-SA"/>
    </w:rPr>
  </w:style>
  <w:style w:type="character" w:customStyle="1" w:styleId="92">
    <w:name w:val="标题 9 字符"/>
    <w:link w:val="15"/>
    <w:qFormat/>
    <w:uiPriority w:val="0"/>
    <w:rPr>
      <w:rFonts w:ascii="Arial" w:hAnsi="Arial" w:eastAsia="黑体"/>
      <w:kern w:val="2"/>
      <w:sz w:val="21"/>
      <w:lang w:val="en-US" w:eastAsia="zh-CN" w:bidi="ar-SA"/>
    </w:rPr>
  </w:style>
  <w:style w:type="character" w:customStyle="1" w:styleId="93">
    <w:name w:val="题注 字符"/>
    <w:link w:val="24"/>
    <w:qFormat/>
    <w:locked/>
    <w:uiPriority w:val="0"/>
    <w:rPr>
      <w:rFonts w:ascii="Arial" w:hAnsi="Arial" w:eastAsia="黑体"/>
      <w:kern w:val="2"/>
    </w:rPr>
  </w:style>
  <w:style w:type="character" w:customStyle="1" w:styleId="94">
    <w:name w:val="文档结构图 字符"/>
    <w:link w:val="26"/>
    <w:qFormat/>
    <w:uiPriority w:val="99"/>
    <w:rPr>
      <w:rFonts w:eastAsia="宋体"/>
      <w:kern w:val="2"/>
      <w:sz w:val="21"/>
      <w:lang w:val="en-US" w:eastAsia="zh-CN" w:bidi="ar-SA"/>
    </w:rPr>
  </w:style>
  <w:style w:type="character" w:customStyle="1" w:styleId="95">
    <w:name w:val="批注文字 字符"/>
    <w:link w:val="17"/>
    <w:qFormat/>
    <w:uiPriority w:val="0"/>
    <w:rPr>
      <w:rFonts w:eastAsia="宋体"/>
      <w:kern w:val="2"/>
      <w:sz w:val="21"/>
      <w:lang w:val="en-US" w:eastAsia="zh-CN" w:bidi="ar-SA"/>
    </w:rPr>
  </w:style>
  <w:style w:type="character" w:customStyle="1" w:styleId="96">
    <w:name w:val="正文文本 3 字符"/>
    <w:link w:val="29"/>
    <w:qFormat/>
    <w:uiPriority w:val="0"/>
    <w:rPr>
      <w:rFonts w:ascii="华康简标题宋" w:eastAsia="华康简标题宋"/>
      <w:kern w:val="2"/>
      <w:sz w:val="52"/>
    </w:rPr>
  </w:style>
  <w:style w:type="character" w:customStyle="1" w:styleId="97">
    <w:name w:val="正文文本 字符"/>
    <w:link w:val="5"/>
    <w:qFormat/>
    <w:uiPriority w:val="99"/>
    <w:rPr>
      <w:rFonts w:ascii="宋体" w:eastAsia="宋体"/>
      <w:sz w:val="28"/>
      <w:lang w:val="en-US" w:eastAsia="zh-CN" w:bidi="ar-SA"/>
    </w:rPr>
  </w:style>
  <w:style w:type="character" w:customStyle="1" w:styleId="98">
    <w:name w:val="正文文本缩进 字符"/>
    <w:link w:val="3"/>
    <w:qFormat/>
    <w:uiPriority w:val="0"/>
    <w:rPr>
      <w:rFonts w:ascii="宋体" w:hAnsi="宋体" w:eastAsia="宋体"/>
      <w:b/>
      <w:kern w:val="2"/>
      <w:sz w:val="21"/>
      <w:lang w:val="en-US" w:eastAsia="zh-CN" w:bidi="ar-SA"/>
    </w:rPr>
  </w:style>
  <w:style w:type="character" w:customStyle="1" w:styleId="99">
    <w:name w:val="HTML 地址 字符"/>
    <w:link w:val="35"/>
    <w:qFormat/>
    <w:uiPriority w:val="0"/>
    <w:rPr>
      <w:rFonts w:eastAsia="宋体"/>
      <w:i/>
      <w:kern w:val="2"/>
      <w:sz w:val="21"/>
      <w:lang w:val="en-US" w:eastAsia="zh-CN" w:bidi="ar-SA"/>
    </w:rPr>
  </w:style>
  <w:style w:type="character" w:customStyle="1" w:styleId="100">
    <w:name w:val="纯文本 字符"/>
    <w:link w:val="37"/>
    <w:qFormat/>
    <w:uiPriority w:val="0"/>
    <w:rPr>
      <w:rFonts w:ascii="宋体" w:hAnsi="Courier New" w:eastAsia="宋体"/>
      <w:kern w:val="2"/>
      <w:sz w:val="21"/>
      <w:lang w:val="en-US" w:eastAsia="zh-CN" w:bidi="ar-SA"/>
    </w:rPr>
  </w:style>
  <w:style w:type="character" w:customStyle="1" w:styleId="101">
    <w:name w:val="日期 字符1"/>
    <w:link w:val="41"/>
    <w:qFormat/>
    <w:uiPriority w:val="0"/>
    <w:rPr>
      <w:rFonts w:ascii="宋体" w:eastAsia="宋体"/>
      <w:sz w:val="28"/>
      <w:lang w:val="en-US" w:eastAsia="zh-CN" w:bidi="ar-SA"/>
    </w:rPr>
  </w:style>
  <w:style w:type="character" w:customStyle="1" w:styleId="102">
    <w:name w:val="正文文本缩进 2 字符"/>
    <w:link w:val="42"/>
    <w:qFormat/>
    <w:uiPriority w:val="0"/>
    <w:rPr>
      <w:rFonts w:ascii="宋体" w:eastAsia="宋体"/>
      <w:kern w:val="2"/>
      <w:sz w:val="28"/>
      <w:lang w:val="en-US" w:eastAsia="zh-CN" w:bidi="ar-SA"/>
    </w:rPr>
  </w:style>
  <w:style w:type="character" w:customStyle="1" w:styleId="103">
    <w:name w:val="尾注文本 字符"/>
    <w:link w:val="43"/>
    <w:qFormat/>
    <w:uiPriority w:val="0"/>
    <w:rPr>
      <w:rFonts w:ascii="宋体"/>
      <w:sz w:val="24"/>
    </w:rPr>
  </w:style>
  <w:style w:type="character" w:customStyle="1" w:styleId="104">
    <w:name w:val="批注框文本 字符"/>
    <w:link w:val="44"/>
    <w:qFormat/>
    <w:uiPriority w:val="99"/>
    <w:rPr>
      <w:rFonts w:eastAsia="宋体"/>
      <w:kern w:val="2"/>
      <w:sz w:val="18"/>
      <w:lang w:val="en-US" w:eastAsia="zh-CN" w:bidi="ar-SA"/>
    </w:rPr>
  </w:style>
  <w:style w:type="character" w:customStyle="1" w:styleId="105">
    <w:name w:val="页脚 字符"/>
    <w:link w:val="45"/>
    <w:qFormat/>
    <w:uiPriority w:val="99"/>
    <w:rPr>
      <w:rFonts w:ascii="宋体" w:eastAsia="宋体"/>
      <w:sz w:val="18"/>
      <w:lang w:val="en-US" w:eastAsia="zh-CN" w:bidi="ar-SA"/>
    </w:rPr>
  </w:style>
  <w:style w:type="character" w:customStyle="1" w:styleId="106">
    <w:name w:val="页眉 字符"/>
    <w:link w:val="47"/>
    <w:qFormat/>
    <w:uiPriority w:val="99"/>
    <w:rPr>
      <w:rFonts w:ascii="宋体" w:eastAsia="宋体"/>
      <w:sz w:val="18"/>
      <w:lang w:val="en-US" w:eastAsia="zh-CN" w:bidi="ar-SA"/>
    </w:rPr>
  </w:style>
  <w:style w:type="character" w:customStyle="1" w:styleId="107">
    <w:name w:val="副标题 字符"/>
    <w:link w:val="51"/>
    <w:qFormat/>
    <w:uiPriority w:val="0"/>
    <w:rPr>
      <w:rFonts w:ascii="Cambria" w:hAnsi="Cambria"/>
      <w:b/>
      <w:bCs/>
      <w:kern w:val="28"/>
      <w:sz w:val="32"/>
      <w:szCs w:val="32"/>
    </w:rPr>
  </w:style>
  <w:style w:type="character" w:customStyle="1" w:styleId="108">
    <w:name w:val="脚注文本 字符"/>
    <w:link w:val="54"/>
    <w:qFormat/>
    <w:uiPriority w:val="0"/>
    <w:rPr>
      <w:rFonts w:eastAsia="宋体"/>
      <w:kern w:val="2"/>
      <w:sz w:val="18"/>
      <w:lang w:val="en-US" w:eastAsia="zh-CN" w:bidi="ar-SA"/>
    </w:rPr>
  </w:style>
  <w:style w:type="character" w:customStyle="1" w:styleId="109">
    <w:name w:val="正文文本缩进 3 字符"/>
    <w:link w:val="55"/>
    <w:qFormat/>
    <w:uiPriority w:val="0"/>
    <w:rPr>
      <w:rFonts w:ascii="宋体" w:eastAsia="宋体"/>
      <w:sz w:val="28"/>
      <w:lang w:val="en-US" w:eastAsia="zh-CN" w:bidi="ar-SA"/>
    </w:rPr>
  </w:style>
  <w:style w:type="character" w:customStyle="1" w:styleId="110">
    <w:name w:val="正文文本 2 字符"/>
    <w:link w:val="59"/>
    <w:qFormat/>
    <w:uiPriority w:val="0"/>
    <w:rPr>
      <w:rFonts w:ascii="宋体"/>
      <w:sz w:val="28"/>
    </w:rPr>
  </w:style>
  <w:style w:type="character" w:customStyle="1" w:styleId="111">
    <w:name w:val="HTML 预设格式 字符"/>
    <w:link w:val="60"/>
    <w:qFormat/>
    <w:uiPriority w:val="0"/>
    <w:rPr>
      <w:rFonts w:ascii="Courier New" w:hAnsi="Courier New" w:eastAsia="宋体"/>
      <w:kern w:val="2"/>
      <w:lang w:val="en-US" w:eastAsia="zh-CN" w:bidi="ar-SA"/>
    </w:rPr>
  </w:style>
  <w:style w:type="character" w:customStyle="1" w:styleId="112">
    <w:name w:val="标题 字符"/>
    <w:link w:val="62"/>
    <w:qFormat/>
    <w:uiPriority w:val="0"/>
    <w:rPr>
      <w:rFonts w:ascii="Arial" w:hAnsi="Arial" w:eastAsia="宋体"/>
      <w:b/>
      <w:kern w:val="2"/>
      <w:sz w:val="32"/>
      <w:lang w:val="en-US" w:eastAsia="zh-CN" w:bidi="ar-SA"/>
    </w:rPr>
  </w:style>
  <w:style w:type="character" w:customStyle="1" w:styleId="113">
    <w:name w:val="批注主题 字符"/>
    <w:link w:val="16"/>
    <w:qFormat/>
    <w:uiPriority w:val="99"/>
    <w:rPr>
      <w:b/>
      <w:kern w:val="2"/>
      <w:sz w:val="21"/>
    </w:rPr>
  </w:style>
  <w:style w:type="character" w:customStyle="1" w:styleId="114">
    <w:name w:val="正文文本首行缩进 字符"/>
    <w:link w:val="21"/>
    <w:qFormat/>
    <w:uiPriority w:val="99"/>
    <w:rPr>
      <w:rFonts w:ascii="宋体" w:eastAsia="宋体"/>
      <w:sz w:val="21"/>
      <w:lang w:val="en-US" w:eastAsia="zh-CN" w:bidi="ar-SA"/>
    </w:rPr>
  </w:style>
  <w:style w:type="character" w:customStyle="1" w:styleId="115">
    <w:name w:val="正文文本首行缩进 2 字符"/>
    <w:link w:val="2"/>
    <w:qFormat/>
    <w:uiPriority w:val="0"/>
    <w:rPr>
      <w:rFonts w:ascii="宋体" w:hAnsi="宋体" w:eastAsia="宋体"/>
      <w:b/>
      <w:kern w:val="2"/>
      <w:sz w:val="21"/>
      <w:szCs w:val="24"/>
      <w:lang w:val="en-US" w:eastAsia="zh-CN" w:bidi="ar-SA"/>
    </w:rPr>
  </w:style>
  <w:style w:type="character" w:customStyle="1" w:styleId="116">
    <w:name w:val="ca-11"/>
    <w:qFormat/>
    <w:uiPriority w:val="0"/>
    <w:rPr>
      <w:rFonts w:hint="eastAsia" w:ascii="宋体" w:hAnsi="宋体" w:eastAsia="宋体"/>
      <w:sz w:val="21"/>
      <w:szCs w:val="21"/>
    </w:rPr>
  </w:style>
  <w:style w:type="character" w:customStyle="1" w:styleId="117">
    <w:name w:val="标题 9 Char1"/>
    <w:qFormat/>
    <w:uiPriority w:val="0"/>
    <w:rPr>
      <w:rFonts w:ascii="Arial" w:hAnsi="Arial" w:eastAsia="黑体"/>
      <w:sz w:val="21"/>
      <w:szCs w:val="21"/>
    </w:rPr>
  </w:style>
  <w:style w:type="character" w:customStyle="1" w:styleId="118">
    <w:name w:val="￥正文 Char"/>
    <w:link w:val="119"/>
    <w:qFormat/>
    <w:uiPriority w:val="0"/>
    <w:rPr>
      <w:rFonts w:ascii="Calibri" w:hAnsi="Calibri"/>
      <w:sz w:val="24"/>
    </w:rPr>
  </w:style>
  <w:style w:type="paragraph" w:customStyle="1" w:styleId="119">
    <w:name w:val="￥正文"/>
    <w:basedOn w:val="1"/>
    <w:link w:val="118"/>
    <w:qFormat/>
    <w:uiPriority w:val="0"/>
    <w:pPr>
      <w:spacing w:line="360" w:lineRule="auto"/>
      <w:ind w:firstLine="200" w:firstLineChars="200"/>
    </w:pPr>
    <w:rPr>
      <w:rFonts w:ascii="Calibri" w:hAnsi="Calibri"/>
    </w:rPr>
  </w:style>
  <w:style w:type="character" w:customStyle="1" w:styleId="120">
    <w:name w:val="content"/>
    <w:qFormat/>
    <w:uiPriority w:val="0"/>
  </w:style>
  <w:style w:type="character" w:customStyle="1" w:styleId="121">
    <w:name w:val="标题 5（无编号）（绿盟科技） Char"/>
    <w:link w:val="122"/>
    <w:qFormat/>
    <w:uiPriority w:val="0"/>
    <w:rPr>
      <w:rFonts w:ascii="Arial" w:hAnsi="Arial" w:eastAsia="黑体"/>
      <w:b/>
      <w:sz w:val="24"/>
      <w:szCs w:val="28"/>
    </w:rPr>
  </w:style>
  <w:style w:type="paragraph" w:customStyle="1" w:styleId="122">
    <w:name w:val="标题 5（无编号）（绿盟科技）"/>
    <w:basedOn w:val="10"/>
    <w:link w:val="121"/>
    <w:qFormat/>
    <w:uiPriority w:val="0"/>
    <w:pPr>
      <w:tabs>
        <w:tab w:val="left" w:pos="1008"/>
        <w:tab w:val="left" w:pos="1232"/>
      </w:tabs>
      <w:spacing w:after="156" w:line="377" w:lineRule="auto"/>
      <w:jc w:val="left"/>
    </w:pPr>
    <w:rPr>
      <w:rFonts w:eastAsia="黑体"/>
      <w:sz w:val="24"/>
      <w:szCs w:val="28"/>
    </w:rPr>
  </w:style>
  <w:style w:type="character" w:customStyle="1" w:styleId="123">
    <w:name w:val="command keywords"/>
    <w:qFormat/>
    <w:uiPriority w:val="0"/>
    <w:rPr>
      <w:rFonts w:ascii="Arial" w:hAnsi="Arial" w:eastAsia="宋体"/>
      <w:b/>
      <w:color w:val="auto"/>
      <w:sz w:val="21"/>
    </w:rPr>
  </w:style>
  <w:style w:type="character" w:customStyle="1" w:styleId="124">
    <w:name w:val="123 Char"/>
    <w:link w:val="125"/>
    <w:qFormat/>
    <w:uiPriority w:val="0"/>
    <w:rPr>
      <w:kern w:val="2"/>
      <w:sz w:val="24"/>
      <w:szCs w:val="24"/>
    </w:rPr>
  </w:style>
  <w:style w:type="paragraph" w:customStyle="1" w:styleId="125">
    <w:name w:val="123"/>
    <w:basedOn w:val="1"/>
    <w:link w:val="124"/>
    <w:qFormat/>
    <w:uiPriority w:val="0"/>
    <w:pPr>
      <w:widowControl/>
      <w:spacing w:line="360" w:lineRule="auto"/>
      <w:ind w:firstLine="480" w:firstLineChars="200"/>
      <w:jc w:val="left"/>
    </w:pPr>
    <w:rPr>
      <w:szCs w:val="24"/>
    </w:rPr>
  </w:style>
  <w:style w:type="character" w:customStyle="1" w:styleId="126">
    <w:name w:val="Font Style17"/>
    <w:qFormat/>
    <w:uiPriority w:val="0"/>
    <w:rPr>
      <w:rFonts w:ascii="黑体" w:eastAsia="黑体" w:cs="黑体"/>
      <w:sz w:val="28"/>
      <w:szCs w:val="28"/>
    </w:rPr>
  </w:style>
  <w:style w:type="character" w:customStyle="1" w:styleId="127">
    <w:name w:val="常规 Char"/>
    <w:link w:val="128"/>
    <w:qFormat/>
    <w:uiPriority w:val="0"/>
    <w:rPr>
      <w:szCs w:val="21"/>
    </w:rPr>
  </w:style>
  <w:style w:type="paragraph" w:customStyle="1" w:styleId="128">
    <w:name w:val="常规"/>
    <w:basedOn w:val="1"/>
    <w:link w:val="127"/>
    <w:qFormat/>
    <w:uiPriority w:val="0"/>
    <w:pPr>
      <w:spacing w:beforeLines="100" w:afterLines="100"/>
      <w:ind w:left="1134"/>
    </w:pPr>
    <w:rPr>
      <w:sz w:val="20"/>
      <w:szCs w:val="21"/>
    </w:rPr>
  </w:style>
  <w:style w:type="character" w:customStyle="1" w:styleId="129">
    <w:name w:val="不明显强调1"/>
    <w:qFormat/>
    <w:uiPriority w:val="0"/>
    <w:rPr>
      <w:i/>
      <w:iCs/>
      <w:color w:val="808080"/>
    </w:rPr>
  </w:style>
  <w:style w:type="character" w:customStyle="1" w:styleId="130">
    <w:name w:val="Header Char"/>
    <w:qFormat/>
    <w:locked/>
    <w:uiPriority w:val="0"/>
    <w:rPr>
      <w:rFonts w:cs="Times New Roman"/>
      <w:sz w:val="18"/>
      <w:szCs w:val="18"/>
    </w:rPr>
  </w:style>
  <w:style w:type="character" w:customStyle="1" w:styleId="131">
    <w:name w:val="标题 4 Char1"/>
    <w:qFormat/>
    <w:uiPriority w:val="0"/>
    <w:rPr>
      <w:rFonts w:ascii="Arial" w:hAnsi="Arial" w:eastAsia="黑体"/>
      <w:b/>
      <w:bCs/>
      <w:sz w:val="28"/>
      <w:szCs w:val="28"/>
    </w:rPr>
  </w:style>
  <w:style w:type="character" w:customStyle="1" w:styleId="132">
    <w:name w:val="正文首行缩进（绿盟科技） Char"/>
    <w:link w:val="133"/>
    <w:qFormat/>
    <w:locked/>
    <w:uiPriority w:val="99"/>
    <w:rPr>
      <w:rFonts w:ascii="Arial" w:hAnsi="Arial"/>
      <w:sz w:val="21"/>
    </w:rPr>
  </w:style>
  <w:style w:type="paragraph" w:customStyle="1" w:styleId="133">
    <w:name w:val="正文首行缩进（绿盟科技）"/>
    <w:basedOn w:val="1"/>
    <w:link w:val="132"/>
    <w:qFormat/>
    <w:uiPriority w:val="99"/>
    <w:pPr>
      <w:widowControl/>
      <w:spacing w:after="50" w:line="300" w:lineRule="auto"/>
      <w:ind w:firstLine="200" w:firstLineChars="200"/>
      <w:jc w:val="left"/>
    </w:pPr>
  </w:style>
  <w:style w:type="character" w:customStyle="1" w:styleId="134">
    <w:name w:val="Figure Text Char Char Char Char Char"/>
    <w:link w:val="135"/>
    <w:qFormat/>
    <w:uiPriority w:val="0"/>
    <w:rPr>
      <w:rFonts w:ascii="Arial" w:hAnsi="Arial" w:eastAsia="楷体_GB2312"/>
      <w:kern w:val="2"/>
      <w:sz w:val="18"/>
      <w:lang w:val="en-US" w:eastAsia="zh-CN" w:bidi="ar-SA"/>
    </w:rPr>
  </w:style>
  <w:style w:type="paragraph" w:customStyle="1" w:styleId="135">
    <w:name w:val="Figure Text Char Char Char"/>
    <w:link w:val="134"/>
    <w:qFormat/>
    <w:uiPriority w:val="0"/>
    <w:pPr>
      <w:snapToGrid w:val="0"/>
      <w:jc w:val="both"/>
    </w:pPr>
    <w:rPr>
      <w:rFonts w:ascii="Arial" w:hAnsi="Arial" w:eastAsia="楷体_GB2312" w:cs="Times New Roman"/>
      <w:kern w:val="2"/>
      <w:sz w:val="18"/>
      <w:lang w:val="en-US" w:eastAsia="zh-CN" w:bidi="ar-SA"/>
    </w:rPr>
  </w:style>
  <w:style w:type="character" w:customStyle="1" w:styleId="136">
    <w:name w:val="！表格 Char"/>
    <w:link w:val="137"/>
    <w:qFormat/>
    <w:locked/>
    <w:uiPriority w:val="99"/>
    <w:rPr>
      <w:rFonts w:eastAsia="楷体_GB2312"/>
      <w:sz w:val="22"/>
      <w:szCs w:val="22"/>
      <w:lang w:val="en-US" w:eastAsia="zh-CN" w:bidi="ar-SA"/>
    </w:rPr>
  </w:style>
  <w:style w:type="paragraph" w:customStyle="1" w:styleId="137">
    <w:name w:val="！表格"/>
    <w:link w:val="136"/>
    <w:qFormat/>
    <w:uiPriority w:val="99"/>
    <w:pPr>
      <w:jc w:val="center"/>
    </w:pPr>
    <w:rPr>
      <w:rFonts w:ascii="Times New Roman" w:hAnsi="Times New Roman" w:eastAsia="楷体_GB2312" w:cs="Times New Roman"/>
      <w:sz w:val="22"/>
      <w:szCs w:val="22"/>
      <w:lang w:val="en-US" w:eastAsia="zh-CN" w:bidi="ar-SA"/>
    </w:rPr>
  </w:style>
  <w:style w:type="character" w:customStyle="1" w:styleId="138">
    <w:name w:val="l211"/>
    <w:qFormat/>
    <w:uiPriority w:val="99"/>
    <w:rPr>
      <w:rFonts w:cs="Times New Roman"/>
      <w:sz w:val="20"/>
      <w:szCs w:val="20"/>
    </w:rPr>
  </w:style>
  <w:style w:type="character" w:customStyle="1" w:styleId="139">
    <w:name w:val="标题 3 Char1"/>
    <w:qFormat/>
    <w:uiPriority w:val="0"/>
    <w:rPr>
      <w:rFonts w:ascii="宋体"/>
      <w:sz w:val="21"/>
    </w:rPr>
  </w:style>
  <w:style w:type="character" w:customStyle="1" w:styleId="140">
    <w:name w:val="style21"/>
    <w:qFormat/>
    <w:uiPriority w:val="0"/>
    <w:rPr>
      <w:b/>
      <w:sz w:val="21"/>
    </w:rPr>
  </w:style>
  <w:style w:type="character" w:customStyle="1" w:styleId="141">
    <w:name w:val="Char Char17"/>
    <w:qFormat/>
    <w:uiPriority w:val="0"/>
    <w:rPr>
      <w:rFonts w:eastAsia="宋体"/>
      <w:kern w:val="2"/>
      <w:sz w:val="24"/>
      <w:lang w:val="en-US" w:eastAsia="zh-CN" w:bidi="ar-SA"/>
    </w:rPr>
  </w:style>
  <w:style w:type="character" w:customStyle="1" w:styleId="142">
    <w:name w:val="表正文2"/>
    <w:qFormat/>
    <w:uiPriority w:val="0"/>
    <w:rPr>
      <w:rFonts w:ascii="宋体" w:hAnsi="宋体" w:eastAsia="宋体"/>
      <w:kern w:val="2"/>
      <w:sz w:val="24"/>
      <w:lang w:val="en-US" w:eastAsia="zh-CN"/>
    </w:rPr>
  </w:style>
  <w:style w:type="character" w:customStyle="1" w:styleId="143">
    <w:name w:val="日期 Char Char"/>
    <w:qFormat/>
    <w:uiPriority w:val="0"/>
    <w:rPr>
      <w:rFonts w:ascii="楷体_GB2312" w:eastAsia="楷体_GB2312"/>
      <w:sz w:val="21"/>
    </w:rPr>
  </w:style>
  <w:style w:type="character" w:customStyle="1" w:styleId="144">
    <w:name w:val="标题1"/>
    <w:qFormat/>
    <w:uiPriority w:val="0"/>
  </w:style>
  <w:style w:type="character" w:customStyle="1" w:styleId="145">
    <w:name w:val="表正文 Char2"/>
    <w:qFormat/>
    <w:uiPriority w:val="0"/>
    <w:rPr>
      <w:rFonts w:eastAsia="宋体"/>
      <w:kern w:val="2"/>
      <w:sz w:val="21"/>
      <w:szCs w:val="24"/>
      <w:lang w:val="en-US" w:eastAsia="zh-CN" w:bidi="ar-SA"/>
    </w:rPr>
  </w:style>
  <w:style w:type="character" w:customStyle="1" w:styleId="146">
    <w:name w:val="font01"/>
    <w:qFormat/>
    <w:uiPriority w:val="0"/>
    <w:rPr>
      <w:rFonts w:hint="eastAsia" w:ascii="宋体" w:hAnsi="宋体" w:eastAsia="宋体" w:cs="宋体"/>
      <w:color w:val="000000"/>
      <w:sz w:val="21"/>
      <w:szCs w:val="21"/>
      <w:u w:val="none"/>
    </w:rPr>
  </w:style>
  <w:style w:type="character" w:customStyle="1" w:styleId="147">
    <w:name w:val="Body Char"/>
    <w:link w:val="148"/>
    <w:qFormat/>
    <w:uiPriority w:val="0"/>
    <w:rPr>
      <w:rFonts w:ascii="Arial" w:hAnsi="Arial"/>
      <w:color w:val="000000"/>
      <w:szCs w:val="24"/>
    </w:rPr>
  </w:style>
  <w:style w:type="paragraph" w:customStyle="1" w:styleId="148">
    <w:name w:val="Body"/>
    <w:basedOn w:val="1"/>
    <w:link w:val="147"/>
    <w:qFormat/>
    <w:uiPriority w:val="0"/>
    <w:pPr>
      <w:widowControl/>
      <w:tabs>
        <w:tab w:val="left" w:pos="9255"/>
      </w:tabs>
      <w:spacing w:line="360" w:lineRule="auto"/>
      <w:ind w:firstLine="315" w:firstLineChars="150"/>
      <w:jc w:val="center"/>
    </w:pPr>
    <w:rPr>
      <w:color w:val="000000"/>
      <w:sz w:val="20"/>
      <w:szCs w:val="24"/>
    </w:rPr>
  </w:style>
  <w:style w:type="character" w:customStyle="1" w:styleId="149">
    <w:name w:val="font71"/>
    <w:qFormat/>
    <w:uiPriority w:val="0"/>
    <w:rPr>
      <w:rFonts w:hint="eastAsia" w:ascii="宋体" w:hAnsi="宋体" w:eastAsia="宋体" w:cs="宋体"/>
      <w:color w:val="000000"/>
      <w:sz w:val="20"/>
      <w:szCs w:val="20"/>
      <w:u w:val="none"/>
    </w:rPr>
  </w:style>
  <w:style w:type="character" w:customStyle="1" w:styleId="150">
    <w:name w:val="SANGFOR_6_正文 Char"/>
    <w:link w:val="151"/>
    <w:qFormat/>
    <w:uiPriority w:val="0"/>
    <w:rPr>
      <w:rFonts w:ascii="微软雅黑" w:hAnsi="微软雅黑" w:eastAsia="微软雅黑"/>
      <w:bCs/>
      <w:kern w:val="2"/>
      <w:sz w:val="24"/>
      <w:szCs w:val="22"/>
    </w:rPr>
  </w:style>
  <w:style w:type="paragraph" w:customStyle="1" w:styleId="151">
    <w:name w:val="SANGFOR_6_正文"/>
    <w:basedOn w:val="1"/>
    <w:link w:val="150"/>
    <w:qFormat/>
    <w:uiPriority w:val="0"/>
    <w:pPr>
      <w:spacing w:line="360" w:lineRule="auto"/>
      <w:jc w:val="left"/>
    </w:pPr>
    <w:rPr>
      <w:rFonts w:ascii="微软雅黑" w:hAnsi="微软雅黑" w:eastAsia="微软雅黑"/>
      <w:bCs/>
      <w:szCs w:val="22"/>
    </w:rPr>
  </w:style>
  <w:style w:type="character" w:customStyle="1" w:styleId="152">
    <w:name w:val="尾注文本 Char1"/>
    <w:qFormat/>
    <w:uiPriority w:val="0"/>
    <w:rPr>
      <w:kern w:val="2"/>
      <w:sz w:val="21"/>
    </w:rPr>
  </w:style>
  <w:style w:type="character" w:customStyle="1" w:styleId="153">
    <w:name w:val="标题 2 Char Char Char"/>
    <w:qFormat/>
    <w:uiPriority w:val="0"/>
    <w:rPr>
      <w:rFonts w:ascii="Arial" w:hAnsi="Arial" w:eastAsia="黑体"/>
      <w:b/>
      <w:kern w:val="2"/>
      <w:sz w:val="32"/>
      <w:lang w:val="en-US" w:eastAsia="zh-CN"/>
    </w:rPr>
  </w:style>
  <w:style w:type="character" w:customStyle="1" w:styleId="154">
    <w:name w:val="标题 3 Char Char"/>
    <w:qFormat/>
    <w:uiPriority w:val="0"/>
    <w:rPr>
      <w:rFonts w:eastAsia="宋体"/>
      <w:b/>
      <w:kern w:val="2"/>
      <w:sz w:val="32"/>
      <w:lang w:val="en-US" w:eastAsia="zh-CN"/>
    </w:rPr>
  </w:style>
  <w:style w:type="character" w:customStyle="1" w:styleId="155">
    <w:name w:val="Figure Char"/>
    <w:link w:val="156"/>
    <w:qFormat/>
    <w:uiPriority w:val="0"/>
    <w:rPr>
      <w:rFonts w:ascii="Arial" w:hAnsi="Arial"/>
      <w:sz w:val="21"/>
    </w:rPr>
  </w:style>
  <w:style w:type="paragraph" w:customStyle="1" w:styleId="156">
    <w:name w:val="Figure"/>
    <w:basedOn w:val="1"/>
    <w:next w:val="157"/>
    <w:link w:val="155"/>
    <w:qFormat/>
    <w:uiPriority w:val="0"/>
    <w:pPr>
      <w:keepNext/>
      <w:widowControl/>
      <w:snapToGrid w:val="0"/>
      <w:spacing w:before="80" w:after="80" w:line="300" w:lineRule="auto"/>
      <w:ind w:left="1134"/>
      <w:jc w:val="center"/>
    </w:pPr>
  </w:style>
  <w:style w:type="paragraph" w:customStyle="1" w:styleId="157">
    <w:name w:val="Figure Description"/>
    <w:next w:val="1"/>
    <w:link w:val="158"/>
    <w:qFormat/>
    <w:uiPriority w:val="0"/>
    <w:pPr>
      <w:snapToGrid w:val="0"/>
      <w:spacing w:before="80" w:after="320"/>
      <w:ind w:left="1134"/>
      <w:jc w:val="center"/>
    </w:pPr>
    <w:rPr>
      <w:rFonts w:ascii="Arial" w:hAnsi="Arial" w:eastAsia="黑体" w:cs="Times New Roman"/>
      <w:sz w:val="18"/>
      <w:lang w:val="en-US" w:eastAsia="zh-CN" w:bidi="ar-SA"/>
    </w:rPr>
  </w:style>
  <w:style w:type="character" w:customStyle="1" w:styleId="158">
    <w:name w:val="Figure Description Char Char"/>
    <w:link w:val="157"/>
    <w:qFormat/>
    <w:uiPriority w:val="0"/>
    <w:rPr>
      <w:rFonts w:ascii="Arial" w:hAnsi="Arial" w:eastAsia="黑体"/>
      <w:sz w:val="18"/>
      <w:lang w:val="en-US" w:eastAsia="zh-CN" w:bidi="ar-SA"/>
    </w:rPr>
  </w:style>
  <w:style w:type="character" w:customStyle="1" w:styleId="159">
    <w:name w:val="Figure Char Char Char Char"/>
    <w:qFormat/>
    <w:uiPriority w:val="0"/>
    <w:rPr>
      <w:rFonts w:ascii="Arial" w:hAnsi="Arial" w:eastAsia="宋体"/>
      <w:sz w:val="21"/>
      <w:lang w:val="en-US" w:eastAsia="zh-CN"/>
    </w:rPr>
  </w:style>
  <w:style w:type="character" w:customStyle="1" w:styleId="160">
    <w:name w:val="明显强调1"/>
    <w:qFormat/>
    <w:uiPriority w:val="0"/>
    <w:rPr>
      <w:b/>
      <w:bCs/>
      <w:i/>
      <w:iCs/>
      <w:color w:val="4F81BD"/>
    </w:rPr>
  </w:style>
  <w:style w:type="character" w:customStyle="1" w:styleId="161">
    <w:name w:val="弱电样3 Char"/>
    <w:link w:val="162"/>
    <w:qFormat/>
    <w:locked/>
    <w:uiPriority w:val="99"/>
    <w:rPr>
      <w:rFonts w:ascii="Cambria" w:hAnsi="Cambria" w:eastAsia="黑体"/>
      <w:b/>
      <w:sz w:val="28"/>
    </w:rPr>
  </w:style>
  <w:style w:type="paragraph" w:customStyle="1" w:styleId="162">
    <w:name w:val="弱电样3"/>
    <w:basedOn w:val="9"/>
    <w:next w:val="1"/>
    <w:link w:val="161"/>
    <w:qFormat/>
    <w:uiPriority w:val="99"/>
    <w:pPr>
      <w:numPr>
        <w:ilvl w:val="2"/>
        <w:numId w:val="4"/>
      </w:numPr>
      <w:spacing w:before="240" w:after="120" w:line="360" w:lineRule="auto"/>
    </w:pPr>
    <w:rPr>
      <w:rFonts w:ascii="Cambria" w:hAnsi="Cambria"/>
    </w:rPr>
  </w:style>
  <w:style w:type="character" w:customStyle="1" w:styleId="163">
    <w:name w:val="普通文字1 Char"/>
    <w:link w:val="164"/>
    <w:qFormat/>
    <w:uiPriority w:val="99"/>
    <w:rPr>
      <w:rFonts w:ascii="宋体" w:hAnsi="Courier New"/>
      <w:kern w:val="2"/>
      <w:sz w:val="21"/>
    </w:rPr>
  </w:style>
  <w:style w:type="paragraph" w:customStyle="1" w:styleId="164">
    <w:name w:val="纯文本1"/>
    <w:basedOn w:val="1"/>
    <w:link w:val="163"/>
    <w:qFormat/>
    <w:uiPriority w:val="99"/>
    <w:rPr>
      <w:rFonts w:ascii="宋体" w:hAnsi="Courier New"/>
    </w:rPr>
  </w:style>
  <w:style w:type="character" w:customStyle="1" w:styleId="165">
    <w:name w:val="个人答复风格"/>
    <w:qFormat/>
    <w:uiPriority w:val="0"/>
    <w:rPr>
      <w:rFonts w:ascii="Arial" w:hAnsi="Arial" w:eastAsia="宋体"/>
      <w:color w:val="auto"/>
      <w:sz w:val="20"/>
    </w:rPr>
  </w:style>
  <w:style w:type="character" w:customStyle="1" w:styleId="166">
    <w:name w:val="标题 7 Char1"/>
    <w:qFormat/>
    <w:uiPriority w:val="0"/>
    <w:rPr>
      <w:b/>
      <w:bCs/>
      <w:sz w:val="24"/>
      <w:szCs w:val="24"/>
    </w:rPr>
  </w:style>
  <w:style w:type="character" w:customStyle="1" w:styleId="167">
    <w:name w:val="访问过的超链接1"/>
    <w:unhideWhenUsed/>
    <w:qFormat/>
    <w:uiPriority w:val="99"/>
    <w:rPr>
      <w:color w:val="800080"/>
      <w:u w:val="single"/>
    </w:rPr>
  </w:style>
  <w:style w:type="character" w:customStyle="1" w:styleId="168">
    <w:name w:val="样式20 Char"/>
    <w:link w:val="169"/>
    <w:qFormat/>
    <w:uiPriority w:val="0"/>
    <w:rPr>
      <w:rFonts w:ascii="Arial" w:hAnsi="Arial"/>
      <w:b/>
      <w:bCs/>
      <w:sz w:val="30"/>
      <w:szCs w:val="30"/>
    </w:rPr>
  </w:style>
  <w:style w:type="paragraph" w:customStyle="1" w:styleId="169">
    <w:name w:val="样式20"/>
    <w:basedOn w:val="7"/>
    <w:link w:val="168"/>
    <w:qFormat/>
    <w:uiPriority w:val="0"/>
    <w:pPr>
      <w:adjustRightInd/>
      <w:spacing w:line="413" w:lineRule="auto"/>
      <w:ind w:left="567" w:hanging="567"/>
      <w:textAlignment w:val="auto"/>
    </w:pPr>
    <w:rPr>
      <w:rFonts w:eastAsia="宋体"/>
      <w:bCs/>
      <w:sz w:val="30"/>
      <w:szCs w:val="30"/>
    </w:rPr>
  </w:style>
  <w:style w:type="character" w:customStyle="1" w:styleId="170">
    <w:name w:val="页脚 Char1"/>
    <w:qFormat/>
    <w:uiPriority w:val="0"/>
    <w:rPr>
      <w:rFonts w:eastAsia="宋体"/>
      <w:sz w:val="18"/>
      <w:szCs w:val="18"/>
      <w:lang w:val="en-US" w:eastAsia="zh-CN" w:bidi="ar-SA"/>
    </w:rPr>
  </w:style>
  <w:style w:type="character" w:customStyle="1" w:styleId="171">
    <w:name w:val="无间隔 Char"/>
    <w:link w:val="172"/>
    <w:qFormat/>
    <w:locked/>
    <w:uiPriority w:val="99"/>
    <w:rPr>
      <w:rFonts w:ascii="Calibri" w:hAnsi="Calibri"/>
      <w:kern w:val="2"/>
      <w:sz w:val="22"/>
      <w:szCs w:val="22"/>
      <w:lang w:val="en-US" w:eastAsia="zh-CN" w:bidi="ar-SA"/>
    </w:rPr>
  </w:style>
  <w:style w:type="paragraph" w:customStyle="1" w:styleId="172">
    <w:name w:val="No Spacing1"/>
    <w:link w:val="171"/>
    <w:qFormat/>
    <w:uiPriority w:val="99"/>
    <w:pPr>
      <w:widowControl w:val="0"/>
      <w:jc w:val="both"/>
    </w:pPr>
    <w:rPr>
      <w:rFonts w:ascii="Calibri" w:hAnsi="Calibri" w:eastAsia="宋体" w:cs="Times New Roman"/>
      <w:kern w:val="2"/>
      <w:sz w:val="22"/>
      <w:szCs w:val="22"/>
      <w:lang w:val="en-US" w:eastAsia="zh-CN" w:bidi="ar-SA"/>
    </w:rPr>
  </w:style>
  <w:style w:type="character" w:customStyle="1" w:styleId="173">
    <w:name w:val="3级标题 Char"/>
    <w:link w:val="174"/>
    <w:qFormat/>
    <w:uiPriority w:val="0"/>
    <w:rPr>
      <w:rFonts w:ascii="Arial" w:hAnsi="Arial" w:eastAsia="黑体"/>
      <w:b/>
      <w:sz w:val="26"/>
      <w:szCs w:val="28"/>
    </w:rPr>
  </w:style>
  <w:style w:type="paragraph" w:customStyle="1" w:styleId="174">
    <w:name w:val="3级标题"/>
    <w:basedOn w:val="1"/>
    <w:link w:val="173"/>
    <w:qFormat/>
    <w:uiPriority w:val="0"/>
    <w:pPr>
      <w:keepNext/>
      <w:keepLines/>
      <w:tabs>
        <w:tab w:val="left" w:pos="1232"/>
      </w:tabs>
      <w:spacing w:before="280" w:after="156" w:line="377" w:lineRule="auto"/>
      <w:jc w:val="left"/>
      <w:outlineLvl w:val="2"/>
    </w:pPr>
    <w:rPr>
      <w:rFonts w:eastAsia="黑体"/>
      <w:b/>
      <w:sz w:val="26"/>
      <w:szCs w:val="28"/>
    </w:rPr>
  </w:style>
  <w:style w:type="character" w:customStyle="1" w:styleId="175">
    <w:name w:val="Table Description Char Char"/>
    <w:link w:val="176"/>
    <w:qFormat/>
    <w:uiPriority w:val="0"/>
    <w:rPr>
      <w:rFonts w:ascii="Arial" w:hAnsi="Arial" w:eastAsia="黑体"/>
      <w:sz w:val="18"/>
      <w:lang w:val="en-US" w:eastAsia="zh-CN" w:bidi="ar-SA"/>
    </w:rPr>
  </w:style>
  <w:style w:type="paragraph" w:customStyle="1" w:styleId="176">
    <w:name w:val="Table Description"/>
    <w:next w:val="1"/>
    <w:link w:val="175"/>
    <w:qFormat/>
    <w:uiPriority w:val="0"/>
    <w:pPr>
      <w:keepNext/>
      <w:snapToGrid w:val="0"/>
      <w:spacing w:before="160" w:after="80"/>
      <w:ind w:left="1134"/>
      <w:jc w:val="center"/>
    </w:pPr>
    <w:rPr>
      <w:rFonts w:ascii="Arial" w:hAnsi="Arial" w:eastAsia="黑体" w:cs="Times New Roman"/>
      <w:sz w:val="18"/>
      <w:lang w:val="en-US" w:eastAsia="zh-CN" w:bidi="ar-SA"/>
    </w:rPr>
  </w:style>
  <w:style w:type="character" w:customStyle="1" w:styleId="177">
    <w:name w:val="No Spacing Char"/>
    <w:link w:val="178"/>
    <w:qFormat/>
    <w:locked/>
    <w:uiPriority w:val="99"/>
    <w:rPr>
      <w:rFonts w:eastAsia="Times New Roman"/>
      <w:sz w:val="22"/>
      <w:szCs w:val="22"/>
      <w:lang w:val="en-US" w:eastAsia="zh-CN" w:bidi="ar-SA"/>
    </w:rPr>
  </w:style>
  <w:style w:type="paragraph" w:customStyle="1" w:styleId="178">
    <w:name w:val="No Spacing11"/>
    <w:link w:val="177"/>
    <w:qFormat/>
    <w:uiPriority w:val="99"/>
    <w:rPr>
      <w:rFonts w:ascii="Times New Roman" w:hAnsi="Times New Roman" w:eastAsia="Times New Roman" w:cs="Times New Roman"/>
      <w:sz w:val="22"/>
      <w:szCs w:val="22"/>
      <w:lang w:val="en-US" w:eastAsia="zh-CN" w:bidi="ar-SA"/>
    </w:rPr>
  </w:style>
  <w:style w:type="character" w:customStyle="1" w:styleId="179">
    <w:name w:val="列出段落 字符"/>
    <w:qFormat/>
    <w:uiPriority w:val="34"/>
  </w:style>
  <w:style w:type="character" w:customStyle="1" w:styleId="180">
    <w:name w:val="Char Char3"/>
    <w:qFormat/>
    <w:uiPriority w:val="0"/>
    <w:rPr>
      <w:rFonts w:eastAsia="宋体"/>
      <w:kern w:val="2"/>
      <w:sz w:val="18"/>
      <w:szCs w:val="18"/>
      <w:lang w:val="en-US" w:eastAsia="zh-CN" w:bidi="ar-SA"/>
    </w:rPr>
  </w:style>
  <w:style w:type="character" w:customStyle="1" w:styleId="181">
    <w:name w:val="my正文 Char"/>
    <w:link w:val="182"/>
    <w:qFormat/>
    <w:uiPriority w:val="0"/>
    <w:rPr>
      <w:rFonts w:ascii="宋体" w:hAnsi="宋体" w:cs="宋体"/>
      <w:sz w:val="24"/>
      <w:szCs w:val="24"/>
    </w:rPr>
  </w:style>
  <w:style w:type="paragraph" w:customStyle="1" w:styleId="182">
    <w:name w:val="my正文"/>
    <w:basedOn w:val="3"/>
    <w:link w:val="181"/>
    <w:qFormat/>
    <w:uiPriority w:val="0"/>
    <w:pPr>
      <w:spacing w:beforeLines="50" w:line="360" w:lineRule="auto"/>
      <w:ind w:left="0" w:leftChars="0" w:firstLine="540" w:firstLineChars="225"/>
    </w:pPr>
    <w:rPr>
      <w:b w:val="0"/>
      <w:szCs w:val="24"/>
    </w:rPr>
  </w:style>
  <w:style w:type="character" w:customStyle="1" w:styleId="183">
    <w:name w:val="font111"/>
    <w:qFormat/>
    <w:uiPriority w:val="0"/>
    <w:rPr>
      <w:rFonts w:hint="eastAsia" w:ascii="宋体" w:hAnsi="宋体" w:eastAsia="宋体" w:cs="宋体"/>
      <w:color w:val="000000"/>
      <w:sz w:val="20"/>
      <w:szCs w:val="20"/>
      <w:u w:val="none"/>
    </w:rPr>
  </w:style>
  <w:style w:type="character" w:customStyle="1" w:styleId="184">
    <w:name w:val="页脚 Char Char"/>
    <w:qFormat/>
    <w:uiPriority w:val="0"/>
    <w:rPr>
      <w:kern w:val="2"/>
      <w:sz w:val="18"/>
    </w:rPr>
  </w:style>
  <w:style w:type="character" w:customStyle="1" w:styleId="185">
    <w:name w:val="font11"/>
    <w:qFormat/>
    <w:uiPriority w:val="0"/>
    <w:rPr>
      <w:rFonts w:hint="default" w:ascii="Arial" w:hAnsi="Arial"/>
      <w:b/>
      <w:color w:val="000000"/>
      <w:sz w:val="20"/>
      <w:u w:val="none"/>
    </w:rPr>
  </w:style>
  <w:style w:type="character" w:customStyle="1" w:styleId="186">
    <w:name w:val="Heading 2 Char"/>
    <w:qFormat/>
    <w:locked/>
    <w:uiPriority w:val="0"/>
    <w:rPr>
      <w:rFonts w:ascii="微软雅黑" w:hAnsi="微软雅黑" w:eastAsia="微软雅黑" w:cs="Times New Roman"/>
      <w:b/>
      <w:bCs/>
      <w:sz w:val="36"/>
      <w:szCs w:val="36"/>
    </w:rPr>
  </w:style>
  <w:style w:type="character" w:customStyle="1" w:styleId="187">
    <w:name w:val="彩色列表 - 着色 1 字符"/>
    <w:link w:val="188"/>
    <w:qFormat/>
    <w:uiPriority w:val="0"/>
    <w:rPr>
      <w:rFonts w:ascii="Calibri" w:hAnsi="Calibri"/>
      <w:kern w:val="2"/>
      <w:sz w:val="21"/>
    </w:rPr>
  </w:style>
  <w:style w:type="paragraph" w:customStyle="1" w:styleId="188">
    <w:name w:val="彩色列表 - 着色 11"/>
    <w:basedOn w:val="1"/>
    <w:link w:val="187"/>
    <w:qFormat/>
    <w:uiPriority w:val="0"/>
    <w:pPr>
      <w:ind w:firstLine="420" w:firstLineChars="200"/>
    </w:pPr>
    <w:rPr>
      <w:rFonts w:ascii="Calibri" w:hAnsi="Calibri"/>
    </w:rPr>
  </w:style>
  <w:style w:type="character" w:customStyle="1" w:styleId="189">
    <w:name w:val="明显强调2"/>
    <w:qFormat/>
    <w:uiPriority w:val="0"/>
    <w:rPr>
      <w:b/>
      <w:bCs/>
      <w:i/>
      <w:iCs/>
      <w:color w:val="4F81BD"/>
    </w:rPr>
  </w:style>
  <w:style w:type="character" w:customStyle="1" w:styleId="190">
    <w:name w:val="加粗项目符号"/>
    <w:qFormat/>
    <w:uiPriority w:val="0"/>
    <w:rPr>
      <w:b/>
    </w:rPr>
  </w:style>
  <w:style w:type="character" w:customStyle="1" w:styleId="191">
    <w:name w:val="fontp1"/>
    <w:qFormat/>
    <w:uiPriority w:val="0"/>
    <w:rPr>
      <w:rFonts w:hint="eastAsia" w:ascii="宋体" w:hAnsi="宋体" w:eastAsia="宋体"/>
      <w:sz w:val="18"/>
      <w:szCs w:val="18"/>
    </w:rPr>
  </w:style>
  <w:style w:type="character" w:customStyle="1" w:styleId="192">
    <w:name w:val="B正文 Char Char"/>
    <w:link w:val="193"/>
    <w:qFormat/>
    <w:locked/>
    <w:uiPriority w:val="99"/>
    <w:rPr>
      <w:rFonts w:ascii="宋体" w:hAnsi="宋体"/>
      <w:sz w:val="24"/>
    </w:rPr>
  </w:style>
  <w:style w:type="paragraph" w:customStyle="1" w:styleId="193">
    <w:name w:val="B正文"/>
    <w:basedOn w:val="1"/>
    <w:link w:val="192"/>
    <w:qFormat/>
    <w:uiPriority w:val="99"/>
    <w:pPr>
      <w:spacing w:line="360" w:lineRule="auto"/>
      <w:ind w:firstLine="480" w:firstLineChars="200"/>
    </w:pPr>
    <w:rPr>
      <w:rFonts w:ascii="宋体" w:hAnsi="宋体"/>
    </w:rPr>
  </w:style>
  <w:style w:type="character" w:customStyle="1" w:styleId="194">
    <w:name w:val="Item List Char Char"/>
    <w:qFormat/>
    <w:uiPriority w:val="0"/>
    <w:rPr>
      <w:rFonts w:ascii="Arial" w:hAnsi="Arial"/>
      <w:sz w:val="21"/>
      <w:lang w:val="en-US" w:eastAsia="zh-CN" w:bidi="ar-SA"/>
    </w:rPr>
  </w:style>
  <w:style w:type="character" w:customStyle="1" w:styleId="195">
    <w:name w:val="标题 5 Char1"/>
    <w:qFormat/>
    <w:uiPriority w:val="0"/>
    <w:rPr>
      <w:b/>
      <w:bCs/>
      <w:sz w:val="28"/>
      <w:szCs w:val="28"/>
    </w:rPr>
  </w:style>
  <w:style w:type="character" w:customStyle="1" w:styleId="196">
    <w:name w:val="H6 Char Char"/>
    <w:qFormat/>
    <w:uiPriority w:val="0"/>
    <w:rPr>
      <w:rFonts w:ascii="Arial" w:hAnsi="Arial" w:eastAsia="黑体" w:cs="Times New Roman"/>
      <w:b/>
      <w:kern w:val="0"/>
      <w:sz w:val="24"/>
      <w:szCs w:val="20"/>
    </w:rPr>
  </w:style>
  <w:style w:type="character" w:customStyle="1" w:styleId="197">
    <w:name w:val="font21"/>
    <w:qFormat/>
    <w:uiPriority w:val="0"/>
    <w:rPr>
      <w:rFonts w:hint="eastAsia" w:ascii="宋体" w:hAnsi="宋体" w:eastAsia="宋体"/>
      <w:b/>
      <w:color w:val="000000"/>
      <w:sz w:val="20"/>
      <w:u w:val="none"/>
    </w:rPr>
  </w:style>
  <w:style w:type="character" w:customStyle="1" w:styleId="198">
    <w:name w:val="A3 Char"/>
    <w:link w:val="199"/>
    <w:qFormat/>
    <w:locked/>
    <w:uiPriority w:val="99"/>
    <w:rPr>
      <w:rFonts w:ascii="黑体" w:hAnsi="Arial" w:eastAsia="黑体"/>
      <w:b/>
      <w:caps/>
      <w:sz w:val="24"/>
    </w:rPr>
  </w:style>
  <w:style w:type="paragraph" w:customStyle="1" w:styleId="199">
    <w:name w:val="A3"/>
    <w:basedOn w:val="200"/>
    <w:link w:val="198"/>
    <w:qFormat/>
    <w:uiPriority w:val="99"/>
    <w:pPr>
      <w:tabs>
        <w:tab w:val="left" w:pos="851"/>
      </w:tabs>
      <w:ind w:left="420"/>
      <w:outlineLvl w:val="2"/>
    </w:pPr>
    <w:rPr>
      <w:sz w:val="24"/>
    </w:rPr>
  </w:style>
  <w:style w:type="paragraph" w:customStyle="1" w:styleId="200">
    <w:name w:val="A2"/>
    <w:basedOn w:val="201"/>
    <w:link w:val="203"/>
    <w:qFormat/>
    <w:uiPriority w:val="99"/>
    <w:pPr>
      <w:tabs>
        <w:tab w:val="left" w:pos="851"/>
      </w:tabs>
      <w:outlineLvl w:val="1"/>
    </w:pPr>
    <w:rPr>
      <w:sz w:val="28"/>
    </w:rPr>
  </w:style>
  <w:style w:type="paragraph" w:customStyle="1" w:styleId="201">
    <w:name w:val="A1"/>
    <w:basedOn w:val="1"/>
    <w:link w:val="202"/>
    <w:qFormat/>
    <w:uiPriority w:val="99"/>
    <w:pPr>
      <w:widowControl/>
      <w:tabs>
        <w:tab w:val="left" w:pos="851"/>
      </w:tabs>
      <w:autoSpaceDE w:val="0"/>
      <w:autoSpaceDN w:val="0"/>
      <w:adjustRightInd w:val="0"/>
      <w:spacing w:beforeLines="100" w:line="360" w:lineRule="auto"/>
      <w:ind w:left="2973" w:hanging="851"/>
      <w:jc w:val="left"/>
      <w:outlineLvl w:val="0"/>
    </w:pPr>
    <w:rPr>
      <w:rFonts w:ascii="黑体" w:eastAsia="黑体"/>
      <w:b/>
      <w:caps/>
      <w:sz w:val="32"/>
    </w:rPr>
  </w:style>
  <w:style w:type="character" w:customStyle="1" w:styleId="202">
    <w:name w:val="A1 Char"/>
    <w:link w:val="201"/>
    <w:qFormat/>
    <w:locked/>
    <w:uiPriority w:val="99"/>
    <w:rPr>
      <w:rFonts w:ascii="黑体" w:hAnsi="Arial" w:eastAsia="黑体"/>
      <w:b/>
      <w:caps/>
      <w:sz w:val="32"/>
    </w:rPr>
  </w:style>
  <w:style w:type="character" w:customStyle="1" w:styleId="203">
    <w:name w:val="A2 Char"/>
    <w:link w:val="200"/>
    <w:qFormat/>
    <w:locked/>
    <w:uiPriority w:val="99"/>
    <w:rPr>
      <w:rFonts w:ascii="黑体" w:hAnsi="Arial" w:eastAsia="黑体"/>
      <w:b/>
      <w:caps/>
      <w:sz w:val="28"/>
    </w:rPr>
  </w:style>
  <w:style w:type="character" w:customStyle="1" w:styleId="204">
    <w:name w:val="Figure Description Char"/>
    <w:qFormat/>
    <w:uiPriority w:val="0"/>
    <w:rPr>
      <w:rFonts w:ascii="Calibri" w:hAnsi="Calibri" w:eastAsia="宋体"/>
      <w:sz w:val="18"/>
      <w:szCs w:val="24"/>
      <w:lang w:eastAsia="en-US" w:bidi="en-US"/>
    </w:rPr>
  </w:style>
  <w:style w:type="character" w:customStyle="1" w:styleId="205">
    <w:name w:val="明显引用 Char"/>
    <w:link w:val="206"/>
    <w:qFormat/>
    <w:locked/>
    <w:uiPriority w:val="30"/>
    <w:rPr>
      <w:b/>
      <w:bCs/>
      <w:i/>
      <w:iCs/>
      <w:color w:val="4F81BD"/>
    </w:rPr>
  </w:style>
  <w:style w:type="paragraph" w:customStyle="1" w:styleId="206">
    <w:name w:val="Intense Quote1"/>
    <w:basedOn w:val="1"/>
    <w:next w:val="1"/>
    <w:link w:val="205"/>
    <w:qFormat/>
    <w:uiPriority w:val="30"/>
    <w:pPr>
      <w:pBdr>
        <w:bottom w:val="single" w:color="4F81BD" w:sz="4" w:space="4"/>
      </w:pBdr>
      <w:spacing w:before="200" w:after="280"/>
      <w:ind w:left="936" w:right="936"/>
    </w:pPr>
    <w:rPr>
      <w:b/>
      <w:bCs/>
      <w:i/>
      <w:iCs/>
      <w:color w:val="4F81BD"/>
      <w:sz w:val="20"/>
    </w:rPr>
  </w:style>
  <w:style w:type="character" w:customStyle="1" w:styleId="207">
    <w:name w:val="标题 6 Char1"/>
    <w:qFormat/>
    <w:uiPriority w:val="0"/>
    <w:rPr>
      <w:rFonts w:ascii="Arial" w:hAnsi="Arial" w:eastAsia="黑体"/>
      <w:b/>
      <w:bCs/>
      <w:sz w:val="24"/>
      <w:szCs w:val="24"/>
    </w:rPr>
  </w:style>
  <w:style w:type="character" w:customStyle="1" w:styleId="208">
    <w:name w:val="contents"/>
    <w:qFormat/>
    <w:uiPriority w:val="0"/>
  </w:style>
  <w:style w:type="character" w:customStyle="1" w:styleId="209">
    <w:name w:val="样式4 Char Char"/>
    <w:link w:val="210"/>
    <w:qFormat/>
    <w:uiPriority w:val="0"/>
    <w:rPr>
      <w:rFonts w:cs="宋体"/>
      <w:color w:val="000000"/>
      <w:sz w:val="24"/>
      <w:szCs w:val="24"/>
    </w:rPr>
  </w:style>
  <w:style w:type="paragraph" w:customStyle="1" w:styleId="210">
    <w:name w:val="样式4 Char"/>
    <w:basedOn w:val="1"/>
    <w:link w:val="209"/>
    <w:qFormat/>
    <w:uiPriority w:val="0"/>
    <w:pPr>
      <w:widowControl/>
      <w:spacing w:beforeLines="50" w:afterLines="50" w:line="360" w:lineRule="auto"/>
      <w:ind w:firstLine="480" w:firstLineChars="200"/>
      <w:jc w:val="left"/>
    </w:pPr>
    <w:rPr>
      <w:color w:val="000000"/>
      <w:szCs w:val="24"/>
    </w:rPr>
  </w:style>
  <w:style w:type="character" w:customStyle="1" w:styleId="211">
    <w:name w:val="中文正文 Char"/>
    <w:link w:val="212"/>
    <w:qFormat/>
    <w:uiPriority w:val="0"/>
    <w:rPr>
      <w:rFonts w:eastAsia="Calibri"/>
      <w:sz w:val="24"/>
      <w:szCs w:val="22"/>
      <w:shd w:val="clear" w:color="auto" w:fill="FFFFFF"/>
      <w:lang w:val="en-US" w:eastAsia="en-US" w:bidi="ar-SA"/>
    </w:rPr>
  </w:style>
  <w:style w:type="paragraph" w:customStyle="1" w:styleId="212">
    <w:name w:val="中文正文"/>
    <w:basedOn w:val="1"/>
    <w:link w:val="211"/>
    <w:qFormat/>
    <w:uiPriority w:val="0"/>
    <w:pPr>
      <w:spacing w:after="120" w:line="300" w:lineRule="auto"/>
      <w:ind w:firstLine="200"/>
    </w:pPr>
    <w:rPr>
      <w:rFonts w:eastAsia="Calibri"/>
      <w:szCs w:val="22"/>
      <w:shd w:val="clear" w:color="auto" w:fill="FFFFFF"/>
      <w:lang w:eastAsia="en-US"/>
    </w:rPr>
  </w:style>
  <w:style w:type="character" w:customStyle="1" w:styleId="213">
    <w:name w:val="副标题 Char1"/>
    <w:qFormat/>
    <w:uiPriority w:val="11"/>
    <w:rPr>
      <w:rFonts w:ascii="Cambria" w:hAnsi="Cambria" w:cs="Times New Roman"/>
      <w:b/>
      <w:bCs/>
      <w:kern w:val="28"/>
      <w:sz w:val="32"/>
      <w:szCs w:val="32"/>
    </w:rPr>
  </w:style>
  <w:style w:type="character" w:customStyle="1" w:styleId="214">
    <w:name w:val="ca-01"/>
    <w:qFormat/>
    <w:uiPriority w:val="0"/>
    <w:rPr>
      <w:rFonts w:hint="default" w:ascii="Times New Roman" w:hAnsi="Times New Roman" w:cs="Times New Roman"/>
      <w:sz w:val="21"/>
      <w:szCs w:val="21"/>
    </w:rPr>
  </w:style>
  <w:style w:type="character" w:customStyle="1" w:styleId="215">
    <w:name w:val="纯文本 Char2"/>
    <w:qFormat/>
    <w:uiPriority w:val="99"/>
    <w:rPr>
      <w:rFonts w:ascii="宋体" w:hAnsi="Courier New" w:eastAsia="宋体" w:cs="Courier New"/>
      <w:szCs w:val="21"/>
    </w:rPr>
  </w:style>
  <w:style w:type="character" w:customStyle="1" w:styleId="216">
    <w:name w:val="标题11"/>
    <w:qFormat/>
    <w:uiPriority w:val="0"/>
  </w:style>
  <w:style w:type="character" w:customStyle="1" w:styleId="217">
    <w:name w:val="style61"/>
    <w:qFormat/>
    <w:uiPriority w:val="99"/>
    <w:rPr>
      <w:rFonts w:ascii="Times New Roman" w:hAnsi="Times New Roman" w:cs="Times New Roman"/>
      <w:color w:val="000000"/>
      <w:sz w:val="18"/>
      <w:szCs w:val="18"/>
    </w:rPr>
  </w:style>
  <w:style w:type="character" w:customStyle="1" w:styleId="218">
    <w:name w:val="Footer Char"/>
    <w:qFormat/>
    <w:locked/>
    <w:uiPriority w:val="0"/>
    <w:rPr>
      <w:rFonts w:cs="Times New Roman"/>
      <w:sz w:val="18"/>
      <w:szCs w:val="18"/>
    </w:rPr>
  </w:style>
  <w:style w:type="character" w:customStyle="1" w:styleId="219">
    <w:name w:val="font41"/>
    <w:qFormat/>
    <w:uiPriority w:val="0"/>
    <w:rPr>
      <w:rFonts w:hint="eastAsia" w:ascii="宋体" w:hAnsi="宋体" w:eastAsia="宋体"/>
      <w:b/>
      <w:color w:val="000000"/>
      <w:sz w:val="20"/>
      <w:u w:val="none"/>
    </w:rPr>
  </w:style>
  <w:style w:type="character" w:customStyle="1" w:styleId="220">
    <w:name w:val="注意框体 Char Char"/>
    <w:qFormat/>
    <w:uiPriority w:val="0"/>
    <w:rPr>
      <w:rFonts w:ascii="Arial" w:hAnsi="Arial" w:eastAsia="黑体" w:cs="Times New Roman"/>
      <w:kern w:val="0"/>
      <w:sz w:val="24"/>
      <w:szCs w:val="20"/>
    </w:rPr>
  </w:style>
  <w:style w:type="character" w:customStyle="1" w:styleId="221">
    <w:name w:val="文档结构图 Char Char"/>
    <w:qFormat/>
    <w:uiPriority w:val="0"/>
    <w:rPr>
      <w:rFonts w:ascii="宋体"/>
      <w:kern w:val="2"/>
      <w:sz w:val="18"/>
    </w:rPr>
  </w:style>
  <w:style w:type="character" w:customStyle="1" w:styleId="222">
    <w:name w:val="普通文字1 Char Char"/>
    <w:qFormat/>
    <w:uiPriority w:val="0"/>
    <w:rPr>
      <w:rFonts w:ascii="宋体" w:hAnsi="Courier New" w:eastAsia="宋体"/>
      <w:kern w:val="2"/>
      <w:sz w:val="21"/>
      <w:lang w:val="en-US" w:eastAsia="zh-CN" w:bidi="ar-SA"/>
    </w:rPr>
  </w:style>
  <w:style w:type="character" w:customStyle="1" w:styleId="223">
    <w:name w:val="模板2级目录 Char"/>
    <w:link w:val="224"/>
    <w:qFormat/>
    <w:locked/>
    <w:uiPriority w:val="99"/>
    <w:rPr>
      <w:rFonts w:ascii="Cambria" w:hAnsi="Cambria"/>
      <w:b/>
      <w:sz w:val="32"/>
    </w:rPr>
  </w:style>
  <w:style w:type="paragraph" w:customStyle="1" w:styleId="224">
    <w:name w:val="模板2级目录"/>
    <w:basedOn w:val="7"/>
    <w:link w:val="223"/>
    <w:qFormat/>
    <w:uiPriority w:val="99"/>
    <w:pPr>
      <w:tabs>
        <w:tab w:val="left" w:pos="576"/>
      </w:tabs>
      <w:adjustRightInd/>
      <w:spacing w:afterLines="50" w:line="416" w:lineRule="auto"/>
      <w:ind w:left="576" w:hanging="576"/>
      <w:textAlignment w:val="auto"/>
    </w:pPr>
    <w:rPr>
      <w:rFonts w:ascii="Cambria" w:hAnsi="Cambria" w:eastAsia="宋体"/>
    </w:rPr>
  </w:style>
  <w:style w:type="character" w:customStyle="1" w:styleId="225">
    <w:name w:val="弱电正文 Char"/>
    <w:link w:val="226"/>
    <w:qFormat/>
    <w:locked/>
    <w:uiPriority w:val="99"/>
    <w:rPr>
      <w:rFonts w:ascii="Calibri" w:hAnsi="Calibri"/>
    </w:rPr>
  </w:style>
  <w:style w:type="paragraph" w:customStyle="1" w:styleId="226">
    <w:name w:val="弱电正文"/>
    <w:basedOn w:val="1"/>
    <w:link w:val="225"/>
    <w:qFormat/>
    <w:uiPriority w:val="99"/>
    <w:pPr>
      <w:spacing w:line="360" w:lineRule="auto"/>
      <w:ind w:firstLine="200" w:firstLineChars="200"/>
    </w:pPr>
    <w:rPr>
      <w:rFonts w:ascii="Calibri" w:hAnsi="Calibri"/>
      <w:sz w:val="20"/>
    </w:rPr>
  </w:style>
  <w:style w:type="character" w:customStyle="1" w:styleId="227">
    <w:name w:val="Item List Char"/>
    <w:link w:val="228"/>
    <w:qFormat/>
    <w:uiPriority w:val="0"/>
    <w:rPr>
      <w:rFonts w:ascii="Arial" w:hAnsi="Arial"/>
      <w:sz w:val="21"/>
      <w:lang w:val="en-US" w:eastAsia="zh-CN" w:bidi="ar-SA"/>
    </w:rPr>
  </w:style>
  <w:style w:type="paragraph" w:customStyle="1" w:styleId="228">
    <w:name w:val="Item List"/>
    <w:link w:val="227"/>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character" w:customStyle="1" w:styleId="229">
    <w:name w:val="Char Char Char"/>
    <w:qFormat/>
    <w:uiPriority w:val="0"/>
    <w:rPr>
      <w:rFonts w:ascii="宋体" w:hAnsi="Courier New" w:eastAsia="宋体"/>
      <w:kern w:val="2"/>
      <w:sz w:val="21"/>
      <w:lang w:val="en-US" w:eastAsia="zh-CN" w:bidi="ar-SA"/>
    </w:rPr>
  </w:style>
  <w:style w:type="character" w:customStyle="1" w:styleId="230">
    <w:name w:val="批注框文本 Char Char"/>
    <w:qFormat/>
    <w:uiPriority w:val="0"/>
    <w:rPr>
      <w:kern w:val="2"/>
      <w:sz w:val="18"/>
    </w:rPr>
  </w:style>
  <w:style w:type="character" w:customStyle="1" w:styleId="231">
    <w:name w:val="正文文字缩进 Char"/>
    <w:qFormat/>
    <w:uiPriority w:val="0"/>
    <w:rPr>
      <w:rFonts w:ascii="Times New Roman" w:hAnsi="Times New Roman" w:eastAsia="宋体" w:cs="Times New Roman"/>
      <w:kern w:val="0"/>
      <w:sz w:val="20"/>
      <w:szCs w:val="24"/>
    </w:rPr>
  </w:style>
  <w:style w:type="character" w:customStyle="1" w:styleId="232">
    <w:name w:val="param_td12"/>
    <w:qFormat/>
    <w:uiPriority w:val="0"/>
  </w:style>
  <w:style w:type="character" w:customStyle="1" w:styleId="233">
    <w:name w:val="样式21 Char"/>
    <w:link w:val="234"/>
    <w:qFormat/>
    <w:uiPriority w:val="0"/>
    <w:rPr>
      <w:rFonts w:ascii="Arial" w:hAnsi="Arial"/>
      <w:b/>
      <w:sz w:val="28"/>
      <w:szCs w:val="28"/>
    </w:rPr>
  </w:style>
  <w:style w:type="paragraph" w:customStyle="1" w:styleId="234">
    <w:name w:val="样式21"/>
    <w:basedOn w:val="8"/>
    <w:link w:val="233"/>
    <w:qFormat/>
    <w:uiPriority w:val="0"/>
    <w:pPr>
      <w:numPr>
        <w:ilvl w:val="0"/>
        <w:numId w:val="0"/>
      </w:numPr>
      <w:tabs>
        <w:tab w:val="left" w:pos="851"/>
      </w:tabs>
      <w:adjustRightInd/>
      <w:spacing w:line="413" w:lineRule="auto"/>
      <w:ind w:left="709" w:hanging="709"/>
      <w:textAlignment w:val="auto"/>
    </w:pPr>
    <w:rPr>
      <w:sz w:val="28"/>
      <w:szCs w:val="28"/>
    </w:rPr>
  </w:style>
  <w:style w:type="character" w:customStyle="1" w:styleId="235">
    <w:name w:val="Heading 3 Char"/>
    <w:qFormat/>
    <w:locked/>
    <w:uiPriority w:val="0"/>
    <w:rPr>
      <w:rFonts w:ascii="Times New Roman" w:hAnsi="Times New Roman" w:eastAsia="宋体" w:cs="Times New Roman"/>
      <w:b/>
      <w:bCs/>
      <w:sz w:val="32"/>
      <w:szCs w:val="32"/>
    </w:rPr>
  </w:style>
  <w:style w:type="character" w:customStyle="1" w:styleId="236">
    <w:name w:val="标题 8 Char1"/>
    <w:qFormat/>
    <w:uiPriority w:val="0"/>
    <w:rPr>
      <w:rFonts w:ascii="Arial" w:hAnsi="Arial" w:eastAsia="黑体"/>
      <w:sz w:val="24"/>
      <w:szCs w:val="24"/>
    </w:rPr>
  </w:style>
  <w:style w:type="character" w:customStyle="1" w:styleId="237">
    <w:name w:val="T2 Char"/>
    <w:qFormat/>
    <w:uiPriority w:val="0"/>
    <w:rPr>
      <w:rFonts w:ascii="Arial" w:hAnsi="Arial" w:eastAsia="黑体"/>
      <w:sz w:val="24"/>
      <w:lang w:val="en-US" w:eastAsia="zh-CN"/>
    </w:rPr>
  </w:style>
  <w:style w:type="character" w:customStyle="1" w:styleId="238">
    <w:name w:val="表格 Char Char"/>
    <w:link w:val="239"/>
    <w:qFormat/>
    <w:uiPriority w:val="0"/>
    <w:rPr>
      <w:rFonts w:ascii="宋体" w:hAnsi="宋体"/>
      <w:color w:val="000000"/>
      <w:kern w:val="2"/>
      <w:sz w:val="24"/>
    </w:rPr>
  </w:style>
  <w:style w:type="paragraph" w:customStyle="1" w:styleId="239">
    <w:name w:val="表格"/>
    <w:basedOn w:val="1"/>
    <w:link w:val="238"/>
    <w:qFormat/>
    <w:uiPriority w:val="0"/>
    <w:pPr>
      <w:autoSpaceDE w:val="0"/>
      <w:autoSpaceDN w:val="0"/>
      <w:adjustRightInd w:val="0"/>
      <w:jc w:val="center"/>
    </w:pPr>
    <w:rPr>
      <w:rFonts w:ascii="宋体" w:hAnsi="宋体"/>
      <w:color w:val="000000"/>
    </w:rPr>
  </w:style>
  <w:style w:type="character" w:customStyle="1" w:styleId="240">
    <w:name w:val="发布"/>
    <w:qFormat/>
    <w:uiPriority w:val="0"/>
    <w:rPr>
      <w:rFonts w:ascii="黑体" w:eastAsia="黑体"/>
      <w:spacing w:val="22"/>
      <w:w w:val="100"/>
      <w:position w:val="3"/>
      <w:sz w:val="28"/>
    </w:rPr>
  </w:style>
  <w:style w:type="character" w:customStyle="1" w:styleId="241">
    <w:name w:val="正文（绿盟科技） Char"/>
    <w:link w:val="242"/>
    <w:qFormat/>
    <w:uiPriority w:val="0"/>
    <w:rPr>
      <w:rFonts w:eastAsia="Times New Roman"/>
      <w:kern w:val="2"/>
      <w:sz w:val="21"/>
      <w:szCs w:val="21"/>
      <w:lang w:val="en-US" w:eastAsia="zh-CN" w:bidi="ar-SA"/>
    </w:rPr>
  </w:style>
  <w:style w:type="paragraph" w:customStyle="1" w:styleId="242">
    <w:name w:val="正文（绿盟科技）"/>
    <w:link w:val="241"/>
    <w:qFormat/>
    <w:uiPriority w:val="0"/>
    <w:pPr>
      <w:spacing w:line="300" w:lineRule="auto"/>
    </w:pPr>
    <w:rPr>
      <w:rFonts w:ascii="Times New Roman" w:hAnsi="Times New Roman" w:eastAsia="Times New Roman" w:cs="Times New Roman"/>
      <w:kern w:val="2"/>
      <w:sz w:val="21"/>
      <w:szCs w:val="21"/>
      <w:lang w:val="en-US" w:eastAsia="zh-CN" w:bidi="ar-SA"/>
    </w:rPr>
  </w:style>
  <w:style w:type="character" w:customStyle="1" w:styleId="243">
    <w:name w:val="标题 2 Char1"/>
    <w:qFormat/>
    <w:uiPriority w:val="0"/>
    <w:rPr>
      <w:rFonts w:ascii="Arial" w:hAnsi="Arial" w:eastAsia="黑体"/>
      <w:b/>
      <w:bCs/>
      <w:sz w:val="32"/>
      <w:szCs w:val="32"/>
      <w:lang w:val="en-US" w:eastAsia="zh-CN" w:bidi="ar-SA"/>
    </w:rPr>
  </w:style>
  <w:style w:type="character" w:customStyle="1" w:styleId="244">
    <w:name w:val="彩色列表 - 强调文字颜色 1 Char"/>
    <w:link w:val="245"/>
    <w:qFormat/>
    <w:uiPriority w:val="34"/>
    <w:rPr>
      <w:kern w:val="2"/>
      <w:sz w:val="24"/>
      <w:szCs w:val="24"/>
    </w:rPr>
  </w:style>
  <w:style w:type="paragraph" w:customStyle="1" w:styleId="245">
    <w:name w:val="彩色列表 - 强调文字颜色 11"/>
    <w:basedOn w:val="1"/>
    <w:link w:val="244"/>
    <w:qFormat/>
    <w:uiPriority w:val="34"/>
    <w:pPr>
      <w:spacing w:line="360" w:lineRule="auto"/>
      <w:ind w:firstLine="420" w:firstLineChars="200"/>
    </w:pPr>
    <w:rPr>
      <w:szCs w:val="24"/>
    </w:rPr>
  </w:style>
  <w:style w:type="character" w:customStyle="1" w:styleId="246">
    <w:name w:val="样式23 Char"/>
    <w:link w:val="247"/>
    <w:qFormat/>
    <w:uiPriority w:val="0"/>
    <w:rPr>
      <w:rFonts w:ascii="Arial" w:hAnsi="Arial" w:eastAsia="黑体"/>
      <w:b/>
      <w:sz w:val="24"/>
      <w:szCs w:val="30"/>
    </w:rPr>
  </w:style>
  <w:style w:type="paragraph" w:customStyle="1" w:styleId="247">
    <w:name w:val="样式23"/>
    <w:basedOn w:val="1"/>
    <w:link w:val="246"/>
    <w:qFormat/>
    <w:uiPriority w:val="0"/>
    <w:pPr>
      <w:keepNext/>
      <w:keepLines/>
      <w:tabs>
        <w:tab w:val="left" w:pos="1232"/>
      </w:tabs>
      <w:spacing w:before="280" w:after="156" w:line="377" w:lineRule="auto"/>
      <w:jc w:val="left"/>
      <w:outlineLvl w:val="3"/>
    </w:pPr>
    <w:rPr>
      <w:rFonts w:eastAsia="黑体"/>
      <w:b/>
      <w:szCs w:val="30"/>
    </w:rPr>
  </w:style>
  <w:style w:type="character" w:customStyle="1" w:styleId="248">
    <w:name w:val="Char Char9"/>
    <w:link w:val="249"/>
    <w:qFormat/>
    <w:locked/>
    <w:uiPriority w:val="99"/>
    <w:rPr>
      <w:rFonts w:ascii="宋体" w:hAnsi="宋体"/>
      <w:b/>
      <w:kern w:val="2"/>
      <w:sz w:val="32"/>
    </w:rPr>
  </w:style>
  <w:style w:type="paragraph" w:customStyle="1" w:styleId="249">
    <w:name w:val="标题 31"/>
    <w:basedOn w:val="1"/>
    <w:next w:val="1"/>
    <w:link w:val="248"/>
    <w:qFormat/>
    <w:uiPriority w:val="99"/>
    <w:pPr>
      <w:keepNext/>
      <w:keepLines/>
      <w:spacing w:before="260" w:after="260" w:line="408" w:lineRule="auto"/>
      <w:outlineLvl w:val="2"/>
    </w:pPr>
    <w:rPr>
      <w:rFonts w:ascii="宋体" w:hAnsi="宋体"/>
      <w:b/>
      <w:sz w:val="32"/>
    </w:rPr>
  </w:style>
  <w:style w:type="character" w:customStyle="1" w:styleId="250">
    <w:name w:val="样式 正文缩进 + 首行缩进:  2 字符 Char"/>
    <w:link w:val="251"/>
    <w:qFormat/>
    <w:uiPriority w:val="0"/>
    <w:rPr>
      <w:kern w:val="2"/>
      <w:sz w:val="24"/>
    </w:rPr>
  </w:style>
  <w:style w:type="paragraph" w:customStyle="1" w:styleId="251">
    <w:name w:val="样式 正文缩进 + 首行缩进:  2 字符"/>
    <w:basedOn w:val="12"/>
    <w:link w:val="250"/>
    <w:qFormat/>
    <w:uiPriority w:val="0"/>
    <w:pPr>
      <w:spacing w:line="360" w:lineRule="auto"/>
      <w:ind w:firstLine="480" w:firstLineChars="200"/>
    </w:pPr>
  </w:style>
  <w:style w:type="character" w:customStyle="1" w:styleId="252">
    <w:name w:val="Table Text Char Char1"/>
    <w:qFormat/>
    <w:uiPriority w:val="0"/>
    <w:rPr>
      <w:rFonts w:ascii="Arial" w:hAnsi="Arial" w:eastAsia="宋体"/>
      <w:kern w:val="2"/>
      <w:sz w:val="18"/>
      <w:lang w:val="en-US" w:eastAsia="en-US"/>
    </w:rPr>
  </w:style>
  <w:style w:type="character" w:customStyle="1" w:styleId="253">
    <w:name w:val="Intense Emphasis1"/>
    <w:qFormat/>
    <w:uiPriority w:val="99"/>
    <w:rPr>
      <w:b/>
      <w:i/>
      <w:color w:val="4F81BD"/>
    </w:rPr>
  </w:style>
  <w:style w:type="character" w:customStyle="1" w:styleId="254">
    <w:name w:val="Table Heading Char Char Char"/>
    <w:qFormat/>
    <w:uiPriority w:val="0"/>
    <w:rPr>
      <w:rFonts w:ascii="Arial" w:hAnsi="Arial" w:eastAsia="黑体"/>
      <w:sz w:val="21"/>
      <w:lang w:val="en-US" w:eastAsia="zh-CN"/>
    </w:rPr>
  </w:style>
  <w:style w:type="character" w:customStyle="1" w:styleId="255">
    <w:name w:val="Table Text Char Char"/>
    <w:qFormat/>
    <w:uiPriority w:val="0"/>
    <w:rPr>
      <w:rFonts w:ascii="Arial" w:hAnsi="Arial" w:eastAsia="宋体"/>
      <w:sz w:val="21"/>
      <w:lang w:val="en-US" w:eastAsia="zh-CN"/>
    </w:rPr>
  </w:style>
  <w:style w:type="character" w:customStyle="1" w:styleId="256">
    <w:name w:val="font31"/>
    <w:qFormat/>
    <w:uiPriority w:val="0"/>
    <w:rPr>
      <w:rFonts w:hint="default" w:ascii="Arial" w:hAnsi="Arial"/>
      <w:color w:val="000000"/>
      <w:sz w:val="18"/>
      <w:u w:val="none"/>
    </w:rPr>
  </w:style>
  <w:style w:type="character" w:customStyle="1" w:styleId="257">
    <w:name w:val="param-name"/>
    <w:qFormat/>
    <w:uiPriority w:val="0"/>
  </w:style>
  <w:style w:type="character" w:customStyle="1" w:styleId="258">
    <w:name w:val="fontstyle01"/>
    <w:qFormat/>
    <w:uiPriority w:val="0"/>
    <w:rPr>
      <w:rFonts w:hint="default" w:ascii="仿宋" w:hAnsi="仿宋"/>
      <w:color w:val="000000"/>
      <w:sz w:val="28"/>
      <w:szCs w:val="28"/>
    </w:rPr>
  </w:style>
  <w:style w:type="character" w:customStyle="1" w:styleId="259">
    <w:name w:val="列出段落 字符1"/>
    <w:link w:val="260"/>
    <w:qFormat/>
    <w:uiPriority w:val="0"/>
    <w:rPr>
      <w:rFonts w:ascii="Calibri" w:hAnsi="Calibri" w:eastAsia="宋体"/>
      <w:kern w:val="2"/>
      <w:sz w:val="21"/>
      <w:lang w:val="en-US" w:eastAsia="zh-CN" w:bidi="ar-SA"/>
    </w:rPr>
  </w:style>
  <w:style w:type="paragraph" w:customStyle="1" w:styleId="260">
    <w:name w:val="列表段落1"/>
    <w:basedOn w:val="1"/>
    <w:link w:val="259"/>
    <w:qFormat/>
    <w:uiPriority w:val="0"/>
    <w:pPr>
      <w:ind w:firstLine="420" w:firstLineChars="200"/>
    </w:pPr>
    <w:rPr>
      <w:rFonts w:ascii="Calibri" w:hAnsi="Calibri"/>
    </w:rPr>
  </w:style>
  <w:style w:type="character" w:customStyle="1" w:styleId="261">
    <w:name w:val="Table Heading Char Char"/>
    <w:qFormat/>
    <w:uiPriority w:val="0"/>
    <w:rPr>
      <w:rFonts w:ascii="Arial" w:hAnsi="Arial" w:eastAsia="黑体"/>
      <w:sz w:val="21"/>
      <w:lang w:val="en-US" w:eastAsia="zh-CN"/>
    </w:rPr>
  </w:style>
  <w:style w:type="character" w:customStyle="1" w:styleId="262">
    <w:name w:val="超链接1"/>
    <w:unhideWhenUsed/>
    <w:qFormat/>
    <w:uiPriority w:val="0"/>
    <w:rPr>
      <w:color w:val="0000FF"/>
      <w:u w:val="single"/>
      <w:lang w:val="en-US" w:eastAsia="en-US"/>
    </w:rPr>
  </w:style>
  <w:style w:type="character" w:customStyle="1" w:styleId="263">
    <w:name w:val="标题 21"/>
    <w:qFormat/>
    <w:uiPriority w:val="0"/>
    <w:rPr>
      <w:rFonts w:ascii="宋体" w:hAnsi="宋体" w:eastAsia="宋体"/>
      <w:b/>
      <w:kern w:val="2"/>
      <w:sz w:val="36"/>
      <w:szCs w:val="24"/>
      <w:lang w:val="en-US" w:eastAsia="zh-CN" w:bidi="ar-SA"/>
    </w:rPr>
  </w:style>
  <w:style w:type="character" w:customStyle="1" w:styleId="264">
    <w:name w:val="h3 Char"/>
    <w:qFormat/>
    <w:uiPriority w:val="0"/>
    <w:rPr>
      <w:rFonts w:eastAsia="宋体"/>
      <w:b/>
      <w:sz w:val="32"/>
      <w:lang w:val="en-US" w:eastAsia="zh-CN"/>
    </w:rPr>
  </w:style>
  <w:style w:type="character" w:customStyle="1" w:styleId="265">
    <w:name w:val="Table Text Char Char Char Char Char Char"/>
    <w:qFormat/>
    <w:uiPriority w:val="0"/>
    <w:rPr>
      <w:rFonts w:ascii="Arial" w:hAnsi="Arial"/>
      <w:sz w:val="18"/>
    </w:rPr>
  </w:style>
  <w:style w:type="character" w:customStyle="1" w:styleId="266">
    <w:name w:val="弱电样4 Char"/>
    <w:link w:val="267"/>
    <w:qFormat/>
    <w:locked/>
    <w:uiPriority w:val="99"/>
    <w:rPr>
      <w:rFonts w:ascii="Cambria" w:hAnsi="Cambria" w:eastAsia="黑体"/>
      <w:b/>
      <w:sz w:val="28"/>
    </w:rPr>
  </w:style>
  <w:style w:type="paragraph" w:customStyle="1" w:styleId="267">
    <w:name w:val="弱电样4"/>
    <w:basedOn w:val="10"/>
    <w:next w:val="1"/>
    <w:link w:val="266"/>
    <w:qFormat/>
    <w:uiPriority w:val="99"/>
    <w:pPr>
      <w:numPr>
        <w:ilvl w:val="3"/>
        <w:numId w:val="4"/>
      </w:numPr>
      <w:spacing w:before="240" w:after="120" w:line="360" w:lineRule="auto"/>
    </w:pPr>
    <w:rPr>
      <w:rFonts w:ascii="Cambria" w:hAnsi="Cambria" w:eastAsia="黑体"/>
    </w:rPr>
  </w:style>
  <w:style w:type="character" w:customStyle="1" w:styleId="268">
    <w:name w:val="表格名称 Char"/>
    <w:link w:val="269"/>
    <w:qFormat/>
    <w:uiPriority w:val="0"/>
    <w:rPr>
      <w:rFonts w:ascii="宋体" w:hAnsi="宋体"/>
      <w:b/>
      <w:sz w:val="24"/>
      <w:szCs w:val="21"/>
    </w:rPr>
  </w:style>
  <w:style w:type="paragraph" w:customStyle="1" w:styleId="269">
    <w:name w:val="表格名称"/>
    <w:basedOn w:val="245"/>
    <w:link w:val="268"/>
    <w:qFormat/>
    <w:uiPriority w:val="0"/>
    <w:pPr>
      <w:tabs>
        <w:tab w:val="left" w:pos="780"/>
      </w:tabs>
      <w:ind w:left="780" w:firstLine="0" w:firstLineChars="0"/>
      <w:jc w:val="center"/>
    </w:pPr>
    <w:rPr>
      <w:rFonts w:ascii="宋体" w:hAnsi="宋体"/>
      <w:b/>
      <w:szCs w:val="21"/>
    </w:rPr>
  </w:style>
  <w:style w:type="character" w:customStyle="1" w:styleId="270">
    <w:name w:val="标题 1 Char1"/>
    <w:qFormat/>
    <w:uiPriority w:val="0"/>
    <w:rPr>
      <w:rFonts w:eastAsia="宋体"/>
      <w:b/>
      <w:bCs/>
      <w:kern w:val="44"/>
      <w:sz w:val="44"/>
      <w:szCs w:val="44"/>
      <w:lang w:val="en-US" w:eastAsia="zh-CN" w:bidi="ar-SA"/>
    </w:rPr>
  </w:style>
  <w:style w:type="character" w:customStyle="1" w:styleId="271">
    <w:name w:val="16"/>
    <w:qFormat/>
    <w:uiPriority w:val="0"/>
  </w:style>
  <w:style w:type="character" w:customStyle="1" w:styleId="272">
    <w:name w:val="不明显强调2"/>
    <w:qFormat/>
    <w:uiPriority w:val="0"/>
    <w:rPr>
      <w:i/>
      <w:iCs/>
      <w:color w:val="808080"/>
    </w:rPr>
  </w:style>
  <w:style w:type="character" w:customStyle="1" w:styleId="273">
    <w:name w:val="Heading 1 Char"/>
    <w:qFormat/>
    <w:locked/>
    <w:uiPriority w:val="0"/>
    <w:rPr>
      <w:rFonts w:ascii="Times New Roman" w:hAnsi="Times New Roman" w:eastAsia="宋体" w:cs="Times New Roman"/>
      <w:b/>
      <w:bCs/>
      <w:kern w:val="44"/>
      <w:sz w:val="44"/>
      <w:szCs w:val="44"/>
    </w:rPr>
  </w:style>
  <w:style w:type="character" w:customStyle="1" w:styleId="274">
    <w:name w:val="arr1"/>
    <w:qFormat/>
    <w:uiPriority w:val="0"/>
  </w:style>
  <w:style w:type="character" w:customStyle="1" w:styleId="275">
    <w:name w:val="模板3级目录 Char"/>
    <w:link w:val="276"/>
    <w:qFormat/>
    <w:locked/>
    <w:uiPriority w:val="99"/>
    <w:rPr>
      <w:b/>
      <w:sz w:val="32"/>
    </w:rPr>
  </w:style>
  <w:style w:type="paragraph" w:customStyle="1" w:styleId="276">
    <w:name w:val="模板3级目录"/>
    <w:basedOn w:val="8"/>
    <w:link w:val="275"/>
    <w:qFormat/>
    <w:uiPriority w:val="99"/>
    <w:pPr>
      <w:numPr>
        <w:ilvl w:val="0"/>
        <w:numId w:val="0"/>
      </w:numPr>
      <w:tabs>
        <w:tab w:val="left" w:pos="1146"/>
      </w:tabs>
      <w:adjustRightInd/>
      <w:spacing w:before="0" w:after="0" w:line="360" w:lineRule="auto"/>
      <w:ind w:left="1146" w:hanging="720"/>
      <w:textAlignment w:val="auto"/>
    </w:pPr>
  </w:style>
  <w:style w:type="character" w:customStyle="1" w:styleId="277">
    <w:name w:val="标题 Char1"/>
    <w:qFormat/>
    <w:uiPriority w:val="10"/>
    <w:rPr>
      <w:rFonts w:eastAsia="隶书_GB2312"/>
      <w:b/>
      <w:sz w:val="48"/>
      <w:lang w:val="en-US" w:eastAsia="zh-CN" w:bidi="ar-SA"/>
    </w:rPr>
  </w:style>
  <w:style w:type="character" w:customStyle="1" w:styleId="278">
    <w:name w:val="图形名称 Char"/>
    <w:link w:val="279"/>
    <w:qFormat/>
    <w:uiPriority w:val="0"/>
    <w:rPr>
      <w:rFonts w:ascii="宋体" w:hAnsi="宋体"/>
      <w:b/>
      <w:kern w:val="2"/>
      <w:sz w:val="21"/>
      <w:szCs w:val="21"/>
    </w:rPr>
  </w:style>
  <w:style w:type="paragraph" w:customStyle="1" w:styleId="279">
    <w:name w:val="图形名称"/>
    <w:basedOn w:val="269"/>
    <w:link w:val="278"/>
    <w:qFormat/>
    <w:uiPriority w:val="0"/>
    <w:pPr>
      <w:numPr>
        <w:ilvl w:val="0"/>
        <w:numId w:val="5"/>
      </w:numPr>
    </w:pPr>
    <w:rPr>
      <w:sz w:val="21"/>
    </w:rPr>
  </w:style>
  <w:style w:type="character" w:customStyle="1" w:styleId="280">
    <w:name w:val="grame"/>
    <w:qFormat/>
    <w:uiPriority w:val="0"/>
  </w:style>
  <w:style w:type="character" w:customStyle="1" w:styleId="281">
    <w:name w:val="模板1级目录 Char"/>
    <w:link w:val="282"/>
    <w:qFormat/>
    <w:locked/>
    <w:uiPriority w:val="99"/>
    <w:rPr>
      <w:b/>
      <w:kern w:val="44"/>
      <w:sz w:val="44"/>
    </w:rPr>
  </w:style>
  <w:style w:type="paragraph" w:customStyle="1" w:styleId="282">
    <w:name w:val="模板1级目录"/>
    <w:basedOn w:val="6"/>
    <w:link w:val="281"/>
    <w:qFormat/>
    <w:uiPriority w:val="99"/>
    <w:pPr>
      <w:tabs>
        <w:tab w:val="left" w:pos="432"/>
      </w:tabs>
      <w:spacing w:before="0" w:after="0" w:line="360" w:lineRule="auto"/>
      <w:ind w:left="432" w:hanging="432"/>
    </w:pPr>
  </w:style>
  <w:style w:type="character" w:customStyle="1" w:styleId="283">
    <w:name w:val="Figure Char Char Char Char Char"/>
    <w:link w:val="284"/>
    <w:qFormat/>
    <w:uiPriority w:val="0"/>
    <w:rPr>
      <w:rFonts w:ascii="Arial" w:hAnsi="Arial" w:eastAsia="宋体"/>
      <w:sz w:val="21"/>
      <w:lang w:val="en-US" w:eastAsia="zh-CN" w:bidi="ar-SA"/>
    </w:rPr>
  </w:style>
  <w:style w:type="paragraph" w:customStyle="1" w:styleId="284">
    <w:name w:val="Figure Char Char"/>
    <w:basedOn w:val="1"/>
    <w:next w:val="1"/>
    <w:link w:val="283"/>
    <w:qFormat/>
    <w:uiPriority w:val="0"/>
    <w:pPr>
      <w:keepNext/>
      <w:widowControl/>
      <w:snapToGrid w:val="0"/>
      <w:spacing w:before="80" w:after="80" w:line="300" w:lineRule="auto"/>
      <w:ind w:left="1134"/>
      <w:jc w:val="center"/>
    </w:pPr>
  </w:style>
  <w:style w:type="character" w:customStyle="1" w:styleId="285">
    <w:name w:val="小 Char"/>
    <w:qFormat/>
    <w:uiPriority w:val="0"/>
    <w:rPr>
      <w:rFonts w:ascii="宋体" w:hAnsi="Courier New" w:eastAsia="宋体"/>
      <w:sz w:val="24"/>
      <w:lang w:val="en-US" w:eastAsia="zh-CN"/>
    </w:rPr>
  </w:style>
  <w:style w:type="character" w:customStyle="1" w:styleId="286">
    <w:name w:val="H5 Char Char"/>
    <w:qFormat/>
    <w:uiPriority w:val="0"/>
    <w:rPr>
      <w:rFonts w:ascii="Calibri" w:hAnsi="Calibri" w:eastAsia="宋体" w:cs="Times New Roman"/>
      <w:b/>
      <w:bCs/>
      <w:sz w:val="28"/>
      <w:szCs w:val="28"/>
    </w:rPr>
  </w:style>
  <w:style w:type="character" w:customStyle="1" w:styleId="287">
    <w:name w:val="title_emph"/>
    <w:qFormat/>
    <w:uiPriority w:val="0"/>
  </w:style>
  <w:style w:type="character" w:customStyle="1" w:styleId="288">
    <w:name w:val="个人撰写风格"/>
    <w:qFormat/>
    <w:uiPriority w:val="0"/>
    <w:rPr>
      <w:rFonts w:ascii="Arial" w:hAnsi="Arial" w:eastAsia="宋体"/>
      <w:color w:val="auto"/>
      <w:sz w:val="20"/>
    </w:rPr>
  </w:style>
  <w:style w:type="character" w:customStyle="1" w:styleId="289">
    <w:name w:val="style41"/>
    <w:qFormat/>
    <w:uiPriority w:val="0"/>
    <w:rPr>
      <w:sz w:val="18"/>
    </w:rPr>
  </w:style>
  <w:style w:type="character" w:customStyle="1" w:styleId="290">
    <w:name w:val="日期 字符"/>
    <w:qFormat/>
    <w:uiPriority w:val="0"/>
    <w:rPr>
      <w:rFonts w:ascii="宋体" w:hAnsi="Calibri" w:eastAsia="宋体" w:cs="Times New Roman"/>
      <w:sz w:val="28"/>
      <w:lang w:val="en-US" w:eastAsia="zh-CN" w:bidi="ar-SA"/>
    </w:rPr>
  </w:style>
  <w:style w:type="character" w:customStyle="1" w:styleId="291">
    <w:name w:val="超链接11"/>
    <w:unhideWhenUsed/>
    <w:qFormat/>
    <w:uiPriority w:val="0"/>
    <w:rPr>
      <w:color w:val="0000FF"/>
      <w:u w:val="single"/>
      <w:lang w:val="en-US" w:eastAsia="en-US"/>
    </w:rPr>
  </w:style>
  <w:style w:type="character" w:customStyle="1" w:styleId="292">
    <w:name w:val="_Style 289"/>
    <w:qFormat/>
    <w:uiPriority w:val="0"/>
    <w:rPr>
      <w:i/>
      <w:iCs/>
      <w:color w:val="808080"/>
    </w:rPr>
  </w:style>
  <w:style w:type="character" w:customStyle="1" w:styleId="293">
    <w:name w:val="_Style 290"/>
    <w:qFormat/>
    <w:uiPriority w:val="0"/>
    <w:rPr>
      <w:b/>
      <w:bCs/>
      <w:i/>
      <w:iCs/>
      <w:color w:val="4F81BD"/>
    </w:rPr>
  </w:style>
  <w:style w:type="paragraph" w:customStyle="1" w:styleId="294">
    <w:name w:val="一级无标题条"/>
    <w:basedOn w:val="1"/>
    <w:qFormat/>
    <w:uiPriority w:val="0"/>
    <w:pPr>
      <w:tabs>
        <w:tab w:val="left" w:pos="1260"/>
      </w:tabs>
      <w:ind w:left="1260" w:hanging="420"/>
    </w:pPr>
  </w:style>
  <w:style w:type="paragraph" w:customStyle="1" w:styleId="295">
    <w:name w:val="表格样式"/>
    <w:basedOn w:val="1"/>
    <w:qFormat/>
    <w:uiPriority w:val="0"/>
    <w:pPr>
      <w:spacing w:line="360" w:lineRule="auto"/>
      <w:ind w:firstLine="425"/>
    </w:pPr>
    <w:rPr>
      <w:rFonts w:eastAsia="幼圆"/>
    </w:rPr>
  </w:style>
  <w:style w:type="paragraph" w:customStyle="1" w:styleId="296">
    <w:name w:val="Char Char Char Char Char Char Char"/>
    <w:basedOn w:val="1"/>
    <w:qFormat/>
    <w:uiPriority w:val="0"/>
    <w:pPr>
      <w:widowControl/>
      <w:spacing w:after="160" w:line="240" w:lineRule="exact"/>
      <w:jc w:val="left"/>
    </w:pPr>
    <w:rPr>
      <w:szCs w:val="24"/>
    </w:rPr>
  </w:style>
  <w:style w:type="paragraph" w:customStyle="1" w:styleId="2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298">
    <w:name w:val="标题 2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299">
    <w:name w:val="标题 2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00">
    <w:name w:val="第12册用标题"/>
    <w:basedOn w:val="1"/>
    <w:next w:val="1"/>
    <w:qFormat/>
    <w:uiPriority w:val="0"/>
    <w:pPr>
      <w:spacing w:before="156" w:beforeLines="50" w:after="156" w:afterLines="50"/>
      <w:jc w:val="center"/>
      <w:outlineLvl w:val="0"/>
    </w:pPr>
    <w:rPr>
      <w:rFonts w:eastAsia="黑体"/>
      <w:sz w:val="44"/>
    </w:rPr>
  </w:style>
  <w:style w:type="paragraph" w:customStyle="1" w:styleId="301">
    <w:name w:val="封面正文"/>
    <w:qFormat/>
    <w:uiPriority w:val="0"/>
    <w:pPr>
      <w:jc w:val="both"/>
    </w:pPr>
    <w:rPr>
      <w:rFonts w:ascii="Times New Roman" w:hAnsi="Times New Roman" w:eastAsia="宋体" w:cs="Times New Roman"/>
      <w:lang w:val="en-US" w:eastAsia="zh-CN" w:bidi="ar-SA"/>
    </w:rPr>
  </w:style>
  <w:style w:type="paragraph" w:customStyle="1" w:styleId="302">
    <w:name w:val="xl26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szCs w:val="24"/>
    </w:rPr>
  </w:style>
  <w:style w:type="paragraph" w:customStyle="1" w:styleId="303">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304">
    <w:name w:val="xl2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305">
    <w:name w:val="xl1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306">
    <w:name w:val="表内容－居中"/>
    <w:basedOn w:val="1"/>
    <w:qFormat/>
    <w:uiPriority w:val="0"/>
    <w:pPr>
      <w:spacing w:line="400" w:lineRule="exact"/>
      <w:jc w:val="center"/>
    </w:pPr>
    <w:rPr>
      <w:rFonts w:cs="宋体"/>
    </w:rPr>
  </w:style>
  <w:style w:type="paragraph" w:customStyle="1" w:styleId="30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08">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309">
    <w:name w:val="自定义表格"/>
    <w:basedOn w:val="1"/>
    <w:qFormat/>
    <w:uiPriority w:val="0"/>
    <w:pPr>
      <w:widowControl/>
      <w:snapToGrid w:val="0"/>
      <w:spacing w:before="80" w:after="80"/>
    </w:pPr>
  </w:style>
  <w:style w:type="paragraph" w:customStyle="1" w:styleId="310">
    <w:name w:val="xl249"/>
    <w:basedOn w:val="1"/>
    <w:qFormat/>
    <w:uiPriority w:val="0"/>
    <w:pPr>
      <w:widowControl/>
      <w:pBdr>
        <w:top w:val="single" w:color="auto" w:sz="4" w:space="0"/>
        <w:bottom w:val="single" w:color="auto" w:sz="4" w:space="0"/>
      </w:pBdr>
      <w:spacing w:before="100" w:beforeAutospacing="1" w:after="100" w:afterAutospacing="1"/>
      <w:jc w:val="left"/>
    </w:pPr>
    <w:rPr>
      <w:rFonts w:ascii="黑体" w:hAnsi="黑体" w:eastAsia="黑体" w:cs="宋体"/>
      <w:b/>
      <w:bCs/>
      <w:sz w:val="20"/>
    </w:rPr>
  </w:style>
  <w:style w:type="paragraph" w:customStyle="1" w:styleId="311">
    <w:name w:val="样式 标题 1H1h1章l1I11st levelHeading 01Header 1Header1Sec...2"/>
    <w:basedOn w:val="6"/>
    <w:qFormat/>
    <w:uiPriority w:val="0"/>
    <w:rPr>
      <w:rFonts w:eastAsia="黑体" w:cs="宋体"/>
      <w:b w:val="0"/>
      <w:bCs/>
      <w:sz w:val="36"/>
    </w:rPr>
  </w:style>
  <w:style w:type="paragraph" w:customStyle="1" w:styleId="312">
    <w:name w:val="标题 2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13">
    <w:name w:val="xl2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4">
    <w:name w:val="标题 2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31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6">
    <w:name w:val="样式 标题 1H1h1章l1I11st levelHeading 01Header 1Header1Sec...4"/>
    <w:basedOn w:val="6"/>
    <w:qFormat/>
    <w:uiPriority w:val="0"/>
    <w:rPr>
      <w:rFonts w:ascii="黑体" w:hAnsi="黑体" w:eastAsia="黑体" w:cs="宋体"/>
      <w:b w:val="0"/>
      <w:bCs/>
      <w:sz w:val="36"/>
    </w:rPr>
  </w:style>
  <w:style w:type="paragraph" w:customStyle="1" w:styleId="317">
    <w:name w:val="pa-0"/>
    <w:basedOn w:val="1"/>
    <w:qFormat/>
    <w:uiPriority w:val="0"/>
    <w:pPr>
      <w:widowControl/>
      <w:spacing w:line="240" w:lineRule="atLeast"/>
    </w:pPr>
    <w:rPr>
      <w:rFonts w:ascii="宋体" w:hAnsi="宋体" w:cs="宋体"/>
      <w:szCs w:val="24"/>
    </w:rPr>
  </w:style>
  <w:style w:type="paragraph" w:customStyle="1" w:styleId="318">
    <w:name w:val="12册标题"/>
    <w:basedOn w:val="1"/>
    <w:next w:val="1"/>
    <w:qFormat/>
    <w:uiPriority w:val="0"/>
    <w:pPr>
      <w:spacing w:before="156" w:beforeLines="50" w:after="156" w:afterLines="50"/>
      <w:jc w:val="center"/>
      <w:outlineLvl w:val="0"/>
    </w:pPr>
    <w:rPr>
      <w:rFonts w:eastAsia="黑体"/>
      <w:sz w:val="44"/>
    </w:rPr>
  </w:style>
  <w:style w:type="paragraph" w:customStyle="1" w:styleId="3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320">
    <w:name w:val="目录标题"/>
    <w:basedOn w:val="6"/>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21">
    <w:name w:val="保留正文"/>
    <w:basedOn w:val="5"/>
    <w:qFormat/>
    <w:uiPriority w:val="0"/>
    <w:pPr>
      <w:keepNext/>
      <w:autoSpaceDE/>
      <w:autoSpaceDN/>
      <w:adjustRightInd/>
      <w:spacing w:after="160"/>
      <w:jc w:val="both"/>
    </w:pPr>
    <w:rPr>
      <w:rFonts w:ascii="Times New Roman"/>
      <w:sz w:val="21"/>
    </w:rPr>
  </w:style>
  <w:style w:type="paragraph" w:customStyle="1" w:styleId="322">
    <w:name w:val="ÕýÎÄÊ×ÐÐËõ½ø"/>
    <w:basedOn w:val="1"/>
    <w:qFormat/>
    <w:uiPriority w:val="0"/>
    <w:pPr>
      <w:widowControl/>
      <w:overflowPunct w:val="0"/>
      <w:autoSpaceDE w:val="0"/>
      <w:autoSpaceDN w:val="0"/>
      <w:adjustRightInd w:val="0"/>
      <w:spacing w:line="360" w:lineRule="auto"/>
      <w:ind w:left="1134"/>
      <w:jc w:val="left"/>
      <w:textAlignment w:val="baseline"/>
    </w:pPr>
  </w:style>
  <w:style w:type="paragraph" w:customStyle="1" w:styleId="323">
    <w:name w:val="font6"/>
    <w:basedOn w:val="1"/>
    <w:qFormat/>
    <w:uiPriority w:val="0"/>
    <w:pPr>
      <w:widowControl/>
      <w:spacing w:before="100" w:beforeAutospacing="1" w:after="100" w:afterAutospacing="1"/>
      <w:jc w:val="left"/>
    </w:pPr>
    <w:rPr>
      <w:rFonts w:hint="eastAsia" w:ascii="宋体" w:hAnsi="宋体"/>
      <w:sz w:val="18"/>
    </w:rPr>
  </w:style>
  <w:style w:type="paragraph" w:customStyle="1" w:styleId="324">
    <w:name w:val="Char1 Char Char Char1"/>
    <w:basedOn w:val="1"/>
    <w:qFormat/>
    <w:uiPriority w:val="0"/>
    <w:rPr>
      <w:rFonts w:ascii="Tahoma" w:hAnsi="Tahoma"/>
    </w:rPr>
  </w:style>
  <w:style w:type="paragraph" w:customStyle="1" w:styleId="325">
    <w:name w:val="标题 2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2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27">
    <w:name w:val="xl260"/>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sz w:val="20"/>
    </w:rPr>
  </w:style>
  <w:style w:type="paragraph" w:customStyle="1" w:styleId="328">
    <w:name w:val="font0"/>
    <w:basedOn w:val="1"/>
    <w:qFormat/>
    <w:uiPriority w:val="0"/>
    <w:pPr>
      <w:widowControl/>
      <w:spacing w:before="100" w:beforeAutospacing="1" w:after="100" w:afterAutospacing="1"/>
      <w:jc w:val="left"/>
    </w:pPr>
    <w:rPr>
      <w:rFonts w:hint="eastAsia" w:ascii="宋体" w:hAnsi="宋体"/>
    </w:rPr>
  </w:style>
  <w:style w:type="paragraph" w:customStyle="1" w:styleId="329">
    <w:name w:val="目次、标准名称标题"/>
    <w:basedOn w:val="330"/>
    <w:next w:val="331"/>
    <w:qFormat/>
    <w:uiPriority w:val="0"/>
    <w:pPr>
      <w:spacing w:line="460" w:lineRule="exact"/>
      <w:ind w:left="0" w:firstLine="0"/>
    </w:pPr>
  </w:style>
  <w:style w:type="paragraph" w:customStyle="1" w:styleId="330">
    <w:name w:val="前言、引言标题"/>
    <w:next w:val="1"/>
    <w:qFormat/>
    <w:uiPriority w:val="0"/>
    <w:pPr>
      <w:shd w:val="clear" w:color="FFFFFF" w:fill="FFFFFF"/>
      <w:spacing w:before="640" w:after="560"/>
      <w:ind w:left="990" w:hanging="420"/>
      <w:jc w:val="center"/>
      <w:outlineLvl w:val="0"/>
    </w:pPr>
    <w:rPr>
      <w:rFonts w:ascii="黑体" w:hAnsi="Times New Roman" w:eastAsia="黑体" w:cs="Times New Roman"/>
      <w:sz w:val="32"/>
      <w:lang w:val="en-US" w:eastAsia="zh-CN" w:bidi="ar-SA"/>
    </w:rPr>
  </w:style>
  <w:style w:type="paragraph" w:customStyle="1" w:styleId="3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TOC Heading11"/>
    <w:basedOn w:val="6"/>
    <w:next w:val="1"/>
    <w:qFormat/>
    <w:uiPriority w:val="99"/>
    <w:pPr>
      <w:widowControl/>
      <w:tabs>
        <w:tab w:val="left" w:pos="432"/>
      </w:tabs>
      <w:spacing w:before="0" w:after="0" w:line="276" w:lineRule="auto"/>
      <w:jc w:val="left"/>
      <w:outlineLvl w:val="9"/>
    </w:pPr>
    <w:rPr>
      <w:rFonts w:ascii="Cambria" w:hAnsi="Cambria"/>
      <w:bCs/>
      <w:color w:val="365F91"/>
      <w:kern w:val="0"/>
      <w:sz w:val="28"/>
      <w:szCs w:val="28"/>
    </w:rPr>
  </w:style>
  <w:style w:type="paragraph" w:customStyle="1" w:styleId="333">
    <w:name w:val="条款样式"/>
    <w:basedOn w:val="334"/>
    <w:qFormat/>
    <w:uiPriority w:val="0"/>
    <w:pPr>
      <w:tabs>
        <w:tab w:val="left" w:pos="780"/>
      </w:tabs>
      <w:ind w:firstLine="560"/>
    </w:pPr>
  </w:style>
  <w:style w:type="paragraph" w:customStyle="1" w:styleId="334">
    <w:name w:val="条款"/>
    <w:basedOn w:val="1"/>
    <w:qFormat/>
    <w:uiPriority w:val="0"/>
    <w:pPr>
      <w:numPr>
        <w:ilvl w:val="0"/>
        <w:numId w:val="6"/>
      </w:numPr>
      <w:jc w:val="left"/>
    </w:pPr>
    <w:rPr>
      <w:rFonts w:ascii="Calibri" w:hAnsi="Calibri" w:eastAsia="仿宋_GB2312"/>
      <w:sz w:val="28"/>
    </w:rPr>
  </w:style>
  <w:style w:type="paragraph" w:customStyle="1" w:styleId="335">
    <w:name w:val="Char Char Char1"/>
    <w:basedOn w:val="1"/>
    <w:qFormat/>
    <w:uiPriority w:val="0"/>
    <w:rPr>
      <w:rFonts w:ascii="Tahoma" w:hAnsi="Tahoma"/>
    </w:rPr>
  </w:style>
  <w:style w:type="paragraph" w:customStyle="1" w:styleId="336">
    <w:name w:val="SANGFOR_4_标题4"/>
    <w:basedOn w:val="9"/>
    <w:next w:val="151"/>
    <w:qFormat/>
    <w:uiPriority w:val="0"/>
    <w:pPr>
      <w:numPr>
        <w:ilvl w:val="3"/>
        <w:numId w:val="7"/>
      </w:numPr>
      <w:spacing w:beforeLines="50" w:afterLines="50" w:line="240" w:lineRule="auto"/>
    </w:pPr>
    <w:rPr>
      <w:rFonts w:ascii="Times New Roman" w:hAnsi="Times New Roman" w:eastAsia="宋体"/>
      <w:bCs/>
      <w:sz w:val="24"/>
      <w:szCs w:val="24"/>
    </w:rPr>
  </w:style>
  <w:style w:type="paragraph" w:customStyle="1" w:styleId="33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38">
    <w:name w:val="正文文本缩进1"/>
    <w:basedOn w:val="1"/>
    <w:qFormat/>
    <w:uiPriority w:val="0"/>
    <w:pPr>
      <w:ind w:firstLine="830" w:firstLineChars="352"/>
    </w:pPr>
    <w:rPr>
      <w:rFonts w:ascii="仿宋_GB2312" w:eastAsia="仿宋_GB2312"/>
      <w:sz w:val="32"/>
    </w:rPr>
  </w:style>
  <w:style w:type="paragraph" w:customStyle="1" w:styleId="3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340">
    <w:name w:val="xl25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szCs w:val="24"/>
    </w:rPr>
  </w:style>
  <w:style w:type="character" w:customStyle="1" w:styleId="341">
    <w:name w:val="样式1 Char"/>
    <w:link w:val="82"/>
    <w:qFormat/>
    <w:uiPriority w:val="0"/>
    <w:rPr>
      <w:rFonts w:ascii="宋体" w:hAnsi="宋体"/>
      <w:b/>
      <w:kern w:val="44"/>
      <w:sz w:val="32"/>
    </w:rPr>
  </w:style>
  <w:style w:type="paragraph" w:customStyle="1" w:styleId="342">
    <w:name w:val="Table Paragraph"/>
    <w:basedOn w:val="1"/>
    <w:qFormat/>
    <w:uiPriority w:val="0"/>
    <w:rPr>
      <w:rFonts w:ascii="宋?" w:hAnsi="宋?" w:eastAsia="宋?" w:cs="宋?"/>
      <w:lang w:val="zh-CN"/>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xl2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4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46">
    <w:name w:val="正文编号"/>
    <w:basedOn w:val="1"/>
    <w:next w:val="1"/>
    <w:qFormat/>
    <w:uiPriority w:val="0"/>
    <w:pPr>
      <w:ind w:left="425" w:hanging="425"/>
      <w:jc w:val="left"/>
    </w:pPr>
    <w:rPr>
      <w:rFonts w:eastAsia="华文新魏"/>
      <w:sz w:val="20"/>
    </w:rPr>
  </w:style>
  <w:style w:type="paragraph" w:customStyle="1" w:styleId="34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348">
    <w:name w:val="Char Char2 Char"/>
    <w:basedOn w:val="1"/>
    <w:qFormat/>
    <w:uiPriority w:val="0"/>
    <w:rPr>
      <w:rFonts w:ascii="宋体" w:hAnsi="宋体"/>
      <w:b/>
      <w:sz w:val="28"/>
      <w:szCs w:val="28"/>
    </w:rPr>
  </w:style>
  <w:style w:type="paragraph" w:customStyle="1" w:styleId="349">
    <w:name w:val="图样式"/>
    <w:basedOn w:val="1"/>
    <w:qFormat/>
    <w:uiPriority w:val="0"/>
    <w:pPr>
      <w:keepNext/>
      <w:widowControl/>
      <w:snapToGrid w:val="0"/>
      <w:spacing w:before="80" w:after="80" w:line="300" w:lineRule="auto"/>
      <w:ind w:left="1701"/>
      <w:jc w:val="center"/>
    </w:pPr>
  </w:style>
  <w:style w:type="paragraph" w:customStyle="1" w:styleId="350">
    <w:name w:val="xl21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351">
    <w:name w:val="xl100"/>
    <w:basedOn w:val="1"/>
    <w:qFormat/>
    <w:uiPriority w:val="0"/>
    <w:pPr>
      <w:widowControl/>
      <w:spacing w:before="100" w:beforeAutospacing="1" w:after="100" w:afterAutospacing="1"/>
      <w:jc w:val="left"/>
      <w:textAlignment w:val="bottom"/>
    </w:pPr>
    <w:rPr>
      <w:rFonts w:ascii="宋体" w:hAnsi="宋体" w:cs="宋体"/>
      <w:sz w:val="20"/>
    </w:rPr>
  </w:style>
  <w:style w:type="paragraph" w:customStyle="1" w:styleId="352">
    <w:name w:val="Char Char Char1 Char Char Char Char"/>
    <w:basedOn w:val="1"/>
    <w:qFormat/>
    <w:uiPriority w:val="0"/>
    <w:pPr>
      <w:adjustRightInd w:val="0"/>
      <w:spacing w:line="360" w:lineRule="auto"/>
    </w:pPr>
    <w:rPr>
      <w:rFonts w:ascii="Calibri" w:hAnsi="Calibri"/>
    </w:rPr>
  </w:style>
  <w:style w:type="paragraph" w:customStyle="1" w:styleId="3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4">
    <w:name w:val="标题 1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355">
    <w:name w:val="xl178"/>
    <w:basedOn w:val="1"/>
    <w:qFormat/>
    <w:uiPriority w:val="0"/>
    <w:pPr>
      <w:widowControl/>
      <w:spacing w:before="100" w:beforeAutospacing="1" w:after="100" w:afterAutospacing="1"/>
      <w:jc w:val="left"/>
      <w:textAlignment w:val="bottom"/>
    </w:pPr>
    <w:rPr>
      <w:rFonts w:ascii="宋体" w:hAnsi="宋体" w:cs="宋体"/>
      <w:b/>
      <w:bCs/>
      <w:color w:val="000000"/>
      <w:sz w:val="18"/>
      <w:szCs w:val="18"/>
    </w:rPr>
  </w:style>
  <w:style w:type="paragraph" w:customStyle="1" w:styleId="35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5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358">
    <w:name w:val="标题 2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359">
    <w:name w:val="样式 标题 2H2sect 1.2HD2h2Level 2 Topic Heading2Header 2head...1"/>
    <w:basedOn w:val="7"/>
    <w:qFormat/>
    <w:uiPriority w:val="0"/>
    <w:pPr>
      <w:adjustRightInd/>
      <w:spacing w:line="413" w:lineRule="auto"/>
      <w:textAlignment w:val="auto"/>
    </w:pPr>
    <w:rPr>
      <w:rFonts w:ascii="黑体" w:hAnsi="黑体"/>
      <w:b w:val="0"/>
      <w:bCs/>
      <w:sz w:val="30"/>
      <w:szCs w:val="30"/>
    </w:rPr>
  </w:style>
  <w:style w:type="paragraph" w:customStyle="1" w:styleId="360">
    <w:name w:val="Char Char Char1 Char"/>
    <w:basedOn w:val="1"/>
    <w:qFormat/>
    <w:uiPriority w:val="0"/>
    <w:pPr>
      <w:widowControl/>
      <w:spacing w:after="160" w:line="240" w:lineRule="exact"/>
      <w:jc w:val="left"/>
    </w:pPr>
    <w:rPr>
      <w:rFonts w:ascii="Verdana" w:hAnsi="Verdana" w:eastAsia="仿宋_GB2312"/>
      <w:lang w:eastAsia="en-US"/>
    </w:rPr>
  </w:style>
  <w:style w:type="paragraph" w:customStyle="1" w:styleId="361">
    <w:name w:val="xl25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362">
    <w:name w:val="表格文字"/>
    <w:basedOn w:val="1"/>
    <w:qFormat/>
    <w:uiPriority w:val="0"/>
    <w:pPr>
      <w:spacing w:before="25" w:after="25" w:line="300" w:lineRule="auto"/>
    </w:pPr>
    <w:rPr>
      <w:rFonts w:ascii="Times" w:hAnsi="Times"/>
      <w:spacing w:val="10"/>
    </w:rPr>
  </w:style>
  <w:style w:type="paragraph" w:customStyle="1" w:styleId="363">
    <w:name w:val="xl2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64">
    <w:name w:val="样式 段后: 0.5 行"/>
    <w:basedOn w:val="1"/>
    <w:qFormat/>
    <w:uiPriority w:val="0"/>
    <w:pPr>
      <w:tabs>
        <w:tab w:val="left" w:pos="840"/>
      </w:tabs>
      <w:spacing w:line="360" w:lineRule="auto"/>
      <w:ind w:left="840" w:hanging="420"/>
    </w:pPr>
    <w:rPr>
      <w:rFonts w:ascii="黑体" w:hAnsi="宋体" w:eastAsia="黑体"/>
    </w:rPr>
  </w:style>
  <w:style w:type="paragraph" w:customStyle="1" w:styleId="365">
    <w:name w:val="二级无标题条"/>
    <w:basedOn w:val="1"/>
    <w:qFormat/>
    <w:uiPriority w:val="0"/>
    <w:pPr>
      <w:tabs>
        <w:tab w:val="left" w:pos="1620"/>
      </w:tabs>
      <w:ind w:left="1620" w:hanging="360"/>
    </w:pPr>
  </w:style>
  <w:style w:type="paragraph" w:customStyle="1" w:styleId="366">
    <w:name w:val="2册标题5"/>
    <w:basedOn w:val="367"/>
    <w:next w:val="1"/>
    <w:qFormat/>
    <w:uiPriority w:val="0"/>
    <w:pPr>
      <w:ind w:left="720" w:leftChars="300"/>
      <w:outlineLvl w:val="4"/>
    </w:pPr>
    <w:rPr>
      <w:rFonts w:eastAsia="楷体_GB2312"/>
      <w:b/>
    </w:rPr>
  </w:style>
  <w:style w:type="paragraph" w:customStyle="1" w:styleId="367">
    <w:name w:val="2册标题4"/>
    <w:basedOn w:val="1"/>
    <w:next w:val="1"/>
    <w:qFormat/>
    <w:uiPriority w:val="0"/>
    <w:pPr>
      <w:spacing w:before="156" w:beforeLines="50" w:after="156" w:afterLines="50"/>
      <w:ind w:left="480" w:leftChars="200"/>
      <w:outlineLvl w:val="3"/>
    </w:pPr>
    <w:rPr>
      <w:rFonts w:eastAsia="黑体"/>
    </w:rPr>
  </w:style>
  <w:style w:type="paragraph" w:customStyle="1" w:styleId="3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rPr>
  </w:style>
  <w:style w:type="paragraph" w:customStyle="1" w:styleId="369">
    <w:name w:val="xl265"/>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b/>
      <w:bCs/>
      <w:sz w:val="20"/>
    </w:rPr>
  </w:style>
  <w:style w:type="paragraph" w:customStyle="1" w:styleId="370">
    <w:name w:val="Normal1"/>
    <w:basedOn w:val="1"/>
    <w:qFormat/>
    <w:uiPriority w:val="0"/>
    <w:pPr>
      <w:tabs>
        <w:tab w:val="left" w:pos="780"/>
      </w:tabs>
      <w:spacing w:line="360" w:lineRule="auto"/>
      <w:ind w:left="780" w:hanging="360"/>
    </w:pPr>
    <w:rPr>
      <w:rFonts w:ascii="宋体" w:hAnsi="宋体" w:eastAsia="仿宋体"/>
    </w:rPr>
  </w:style>
  <w:style w:type="paragraph" w:customStyle="1" w:styleId="371">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372">
    <w:name w:val="Figure Text"/>
    <w:qFormat/>
    <w:uiPriority w:val="0"/>
    <w:pPr>
      <w:snapToGrid w:val="0"/>
      <w:ind w:left="1701"/>
      <w:jc w:val="both"/>
    </w:pPr>
    <w:rPr>
      <w:rFonts w:ascii="Arial" w:hAnsi="Arial" w:eastAsia="楷体_GB2312" w:cs="Times New Roman"/>
      <w:sz w:val="18"/>
      <w:lang w:val="en-US" w:eastAsia="zh-CN" w:bidi="ar-SA"/>
    </w:rPr>
  </w:style>
  <w:style w:type="paragraph" w:customStyle="1" w:styleId="373">
    <w:name w:val="样式4"/>
    <w:basedOn w:val="1"/>
    <w:qFormat/>
    <w:uiPriority w:val="0"/>
    <w:pPr>
      <w:tabs>
        <w:tab w:val="left" w:pos="2328"/>
      </w:tabs>
      <w:ind w:left="2328" w:hanging="708"/>
    </w:pPr>
    <w:rPr>
      <w:szCs w:val="24"/>
    </w:rPr>
  </w:style>
  <w:style w:type="paragraph" w:customStyle="1" w:styleId="37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75">
    <w:name w:val="Char1 Char Char Char"/>
    <w:basedOn w:val="1"/>
    <w:qFormat/>
    <w:uiPriority w:val="0"/>
    <w:pPr>
      <w:ind w:left="420" w:hanging="420"/>
    </w:pPr>
    <w:rPr>
      <w:szCs w:val="24"/>
    </w:rPr>
  </w:style>
  <w:style w:type="paragraph" w:customStyle="1" w:styleId="376">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7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7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rPr>
  </w:style>
  <w:style w:type="paragraph" w:customStyle="1" w:styleId="37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380">
    <w:name w:val="xl2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381">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382">
    <w:name w:val="三级无标题条"/>
    <w:basedOn w:val="1"/>
    <w:qFormat/>
    <w:uiPriority w:val="0"/>
    <w:pPr>
      <w:tabs>
        <w:tab w:val="left" w:pos="2040"/>
      </w:tabs>
      <w:ind w:left="2040" w:hanging="360"/>
    </w:pPr>
  </w:style>
  <w:style w:type="paragraph" w:customStyle="1" w:styleId="383">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84">
    <w:name w:val="默认段落字体 Para Char Char Char Char Char Char Char Char Char1 Char Char Char Char Char Char Char"/>
    <w:basedOn w:val="26"/>
    <w:qFormat/>
    <w:uiPriority w:val="0"/>
    <w:rPr>
      <w:rFonts w:ascii="Tahoma" w:hAnsi="Tahoma"/>
    </w:rPr>
  </w:style>
  <w:style w:type="paragraph" w:customStyle="1" w:styleId="385">
    <w:name w:val="标题 1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386">
    <w:name w:val="样式101"/>
    <w:basedOn w:val="1"/>
    <w:qFormat/>
    <w:uiPriority w:val="99"/>
    <w:pPr>
      <w:widowControl/>
      <w:spacing w:line="360" w:lineRule="auto"/>
      <w:ind w:left="2" w:firstLine="480"/>
    </w:pPr>
    <w:rPr>
      <w:rFonts w:ascii="宋体" w:hAnsi="宋体" w:cs="宋体"/>
      <w:szCs w:val="22"/>
    </w:rPr>
  </w:style>
  <w:style w:type="paragraph" w:customStyle="1" w:styleId="387">
    <w:name w:val="Char Char2 Char1"/>
    <w:basedOn w:val="1"/>
    <w:qFormat/>
    <w:uiPriority w:val="0"/>
    <w:rPr>
      <w:rFonts w:ascii="宋体" w:hAnsi="宋体"/>
      <w:b/>
      <w:sz w:val="28"/>
      <w:szCs w:val="28"/>
    </w:rPr>
  </w:style>
  <w:style w:type="paragraph" w:customStyle="1" w:styleId="388">
    <w:name w:val="1册标题3"/>
    <w:basedOn w:val="1"/>
    <w:next w:val="1"/>
    <w:qFormat/>
    <w:uiPriority w:val="0"/>
    <w:pPr>
      <w:keepNext/>
      <w:keepLines/>
      <w:adjustRightInd w:val="0"/>
      <w:spacing w:before="156" w:beforeLines="50" w:after="156" w:afterLines="50"/>
      <w:textAlignment w:val="baseline"/>
      <w:outlineLvl w:val="2"/>
    </w:pPr>
    <w:rPr>
      <w:rFonts w:eastAsia="黑体"/>
    </w:rPr>
  </w:style>
  <w:style w:type="paragraph" w:customStyle="1" w:styleId="389">
    <w:name w:val="2册标题2"/>
    <w:basedOn w:val="1"/>
    <w:next w:val="1"/>
    <w:qFormat/>
    <w:uiPriority w:val="0"/>
    <w:pPr>
      <w:spacing w:before="156" w:beforeLines="50" w:after="156" w:afterLines="50"/>
      <w:outlineLvl w:val="1"/>
    </w:pPr>
    <w:rPr>
      <w:rFonts w:eastAsia="黑体"/>
      <w:sz w:val="30"/>
    </w:rPr>
  </w:style>
  <w:style w:type="paragraph" w:customStyle="1" w:styleId="390">
    <w:name w:val="xl2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391">
    <w:name w:val="正文2"/>
    <w:basedOn w:val="1"/>
    <w:qFormat/>
    <w:uiPriority w:val="0"/>
    <w:pPr>
      <w:tabs>
        <w:tab w:val="left" w:pos="2795"/>
      </w:tabs>
      <w:spacing w:line="360" w:lineRule="auto"/>
      <w:ind w:left="646" w:firstLine="431"/>
    </w:pPr>
    <w:rPr>
      <w:rFonts w:ascii="Calibri" w:hAnsi="Calibri"/>
    </w:rPr>
  </w:style>
  <w:style w:type="paragraph" w:customStyle="1" w:styleId="392">
    <w:name w:val="正文1"/>
    <w:basedOn w:val="1"/>
    <w:qFormat/>
    <w:uiPriority w:val="0"/>
    <w:pPr>
      <w:widowControl/>
      <w:overflowPunct w:val="0"/>
      <w:autoSpaceDE w:val="0"/>
      <w:autoSpaceDN w:val="0"/>
      <w:adjustRightInd w:val="0"/>
      <w:snapToGrid w:val="0"/>
      <w:spacing w:before="80" w:after="80" w:line="300" w:lineRule="auto"/>
      <w:ind w:firstLine="425"/>
      <w:textAlignment w:val="baseline"/>
    </w:pPr>
  </w:style>
  <w:style w:type="paragraph" w:customStyle="1" w:styleId="393">
    <w:name w:val="注×："/>
    <w:qFormat/>
    <w:uiPriority w:val="0"/>
    <w:pPr>
      <w:widowControl w:val="0"/>
      <w:tabs>
        <w:tab w:val="left" w:pos="630"/>
      </w:tabs>
      <w:autoSpaceDE w:val="0"/>
      <w:autoSpaceDN w:val="0"/>
      <w:ind w:left="1077" w:hanging="360"/>
      <w:jc w:val="both"/>
    </w:pPr>
    <w:rPr>
      <w:rFonts w:ascii="宋体" w:hAnsi="Times New Roman" w:eastAsia="宋体" w:cs="Times New Roman"/>
      <w:sz w:val="18"/>
      <w:lang w:val="en-US" w:eastAsia="zh-CN" w:bidi="ar-SA"/>
    </w:rPr>
  </w:style>
  <w:style w:type="paragraph" w:customStyle="1" w:styleId="39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95">
    <w:name w:val="xl27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3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18"/>
    </w:rPr>
  </w:style>
  <w:style w:type="paragraph" w:customStyle="1" w:styleId="397">
    <w:name w:val="网格表 31"/>
    <w:basedOn w:val="6"/>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398">
    <w:name w:val="表头"/>
    <w:basedOn w:val="1"/>
    <w:qFormat/>
    <w:uiPriority w:val="0"/>
    <w:pPr>
      <w:autoSpaceDE w:val="0"/>
      <w:autoSpaceDN w:val="0"/>
      <w:adjustRightInd w:val="0"/>
      <w:jc w:val="center"/>
    </w:pPr>
    <w:rPr>
      <w:sz w:val="18"/>
    </w:rPr>
  </w:style>
  <w:style w:type="paragraph" w:customStyle="1" w:styleId="399">
    <w:name w:val="TOC 标题1"/>
    <w:next w:val="48"/>
    <w:qFormat/>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40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01">
    <w:name w:val="Item Step"/>
    <w:qFormat/>
    <w:uiPriority w:val="0"/>
    <w:pPr>
      <w:tabs>
        <w:tab w:val="left" w:pos="1644"/>
      </w:tabs>
      <w:spacing w:line="300" w:lineRule="auto"/>
      <w:ind w:left="1644" w:hanging="510"/>
      <w:jc w:val="both"/>
      <w:outlineLvl w:val="4"/>
    </w:pPr>
    <w:rPr>
      <w:rFonts w:ascii="Arial" w:hAnsi="Arial" w:eastAsia="宋体" w:cs="Times New Roman"/>
      <w:sz w:val="21"/>
      <w:lang w:val="en-US" w:eastAsia="zh-CN" w:bidi="ar-SA"/>
    </w:rPr>
  </w:style>
  <w:style w:type="paragraph" w:customStyle="1" w:styleId="402">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403">
    <w:name w:val="xl21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szCs w:val="24"/>
    </w:rPr>
  </w:style>
  <w:style w:type="paragraph" w:customStyle="1" w:styleId="404">
    <w:name w:val="xl138"/>
    <w:basedOn w:val="1"/>
    <w:qFormat/>
    <w:uiPriority w:val="0"/>
    <w:pPr>
      <w:widowControl/>
      <w:spacing w:before="100" w:beforeAutospacing="1" w:after="100" w:afterAutospacing="1"/>
      <w:jc w:val="left"/>
    </w:pPr>
    <w:rPr>
      <w:rFonts w:ascii="宋体" w:hAnsi="宋体" w:cs="宋体"/>
      <w:szCs w:val="24"/>
    </w:rPr>
  </w:style>
  <w:style w:type="paragraph" w:customStyle="1" w:styleId="405">
    <w:name w:val="默认段落字体 Para Char Char Char Char Char Char Char Char Char2 Char Char Char Char Char Char Char"/>
    <w:basedOn w:val="1"/>
    <w:qFormat/>
    <w:uiPriority w:val="0"/>
    <w:rPr>
      <w:rFonts w:ascii="Tahoma" w:hAnsi="Tahoma"/>
    </w:rPr>
  </w:style>
  <w:style w:type="paragraph" w:customStyle="1" w:styleId="406">
    <w:name w:val="q4"/>
    <w:basedOn w:val="62"/>
    <w:next w:val="1"/>
    <w:qFormat/>
    <w:uiPriority w:val="0"/>
    <w:pPr>
      <w:tabs>
        <w:tab w:val="left" w:pos="1280"/>
      </w:tabs>
      <w:spacing w:line="360" w:lineRule="auto"/>
      <w:ind w:left="1280" w:hanging="1080"/>
      <w:jc w:val="left"/>
      <w:outlineLvl w:val="3"/>
    </w:pPr>
    <w:rPr>
      <w:sz w:val="24"/>
    </w:rPr>
  </w:style>
  <w:style w:type="paragraph" w:customStyle="1" w:styleId="40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sz w:val="18"/>
      <w:szCs w:val="18"/>
    </w:rPr>
  </w:style>
  <w:style w:type="paragraph" w:customStyle="1" w:styleId="408">
    <w:name w:val="Notes Heading"/>
    <w:next w:val="409"/>
    <w:qFormat/>
    <w:uiPriority w:val="0"/>
    <w:pPr>
      <w:keepNext/>
      <w:pBdr>
        <w:top w:val="single" w:color="auto" w:sz="8" w:space="5"/>
      </w:pBdr>
      <w:snapToGrid w:val="0"/>
      <w:spacing w:before="80" w:after="80"/>
      <w:ind w:left="1701"/>
    </w:pPr>
    <w:rPr>
      <w:rFonts w:ascii="Arial" w:hAnsi="Arial" w:eastAsia="黑体" w:cs="Times New Roman"/>
      <w:sz w:val="21"/>
      <w:lang w:val="en-US" w:eastAsia="zh-CN" w:bidi="ar-SA"/>
    </w:rPr>
  </w:style>
  <w:style w:type="paragraph" w:customStyle="1" w:styleId="409">
    <w:name w:val="Notes Text"/>
    <w:qFormat/>
    <w:uiPriority w:val="0"/>
    <w:pPr>
      <w:pBdr>
        <w:bottom w:val="single" w:color="auto" w:sz="8" w:space="5"/>
      </w:pBdr>
      <w:ind w:left="1701"/>
      <w:jc w:val="both"/>
    </w:pPr>
    <w:rPr>
      <w:rFonts w:ascii="Arial" w:hAnsi="Arial" w:eastAsia="楷体_GB2312" w:cs="Times New Roman"/>
      <w:color w:val="000000"/>
      <w:sz w:val="21"/>
      <w:lang w:val="en-US" w:eastAsia="zh-CN" w:bidi="ar-SA"/>
    </w:rPr>
  </w:style>
  <w:style w:type="paragraph" w:customStyle="1" w:styleId="410">
    <w:name w:val="xl2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11">
    <w:name w:val="Char1 Char Char Char2"/>
    <w:basedOn w:val="1"/>
    <w:qFormat/>
    <w:uiPriority w:val="0"/>
    <w:pPr>
      <w:widowControl/>
      <w:spacing w:after="160" w:line="240" w:lineRule="exact"/>
      <w:jc w:val="left"/>
    </w:pPr>
    <w:rPr>
      <w:rFonts w:ascii="Verdana" w:hAnsi="Verdana"/>
      <w:sz w:val="20"/>
      <w:lang w:eastAsia="en-US"/>
    </w:rPr>
  </w:style>
  <w:style w:type="paragraph" w:customStyle="1" w:styleId="4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sz w:val="20"/>
    </w:rPr>
  </w:style>
  <w:style w:type="paragraph" w:customStyle="1" w:styleId="413">
    <w:name w:val="xl2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414">
    <w:name w:val="正文无缩进"/>
    <w:basedOn w:val="1"/>
    <w:qFormat/>
    <w:uiPriority w:val="0"/>
    <w:pPr>
      <w:adjustRightInd w:val="0"/>
      <w:spacing w:line="300" w:lineRule="auto"/>
      <w:ind w:firstLine="425"/>
      <w:textAlignment w:val="baseline"/>
    </w:pPr>
  </w:style>
  <w:style w:type="paragraph" w:customStyle="1" w:styleId="415">
    <w:name w:val="Style 技术报告正文 + Before:  0.5 line"/>
    <w:basedOn w:val="416"/>
    <w:qFormat/>
    <w:uiPriority w:val="0"/>
    <w:pPr>
      <w:spacing w:line="300" w:lineRule="auto"/>
      <w:ind w:firstLine="560" w:firstLineChars="200"/>
    </w:pPr>
    <w:rPr>
      <w:color w:val="000000"/>
    </w:rPr>
  </w:style>
  <w:style w:type="paragraph" w:customStyle="1" w:styleId="416">
    <w:name w:val="技术报告正文"/>
    <w:basedOn w:val="1"/>
    <w:qFormat/>
    <w:uiPriority w:val="0"/>
    <w:pPr>
      <w:spacing w:before="156" w:beforeLines="50" w:line="440" w:lineRule="exact"/>
      <w:ind w:firstLine="538" w:firstLineChars="192"/>
    </w:pPr>
    <w:rPr>
      <w:sz w:val="28"/>
    </w:rPr>
  </w:style>
  <w:style w:type="paragraph" w:customStyle="1" w:styleId="417">
    <w:name w:val="_Style 5"/>
    <w:basedOn w:val="1"/>
    <w:qFormat/>
    <w:uiPriority w:val="0"/>
    <w:pPr>
      <w:ind w:firstLine="420" w:firstLineChars="200"/>
    </w:pPr>
  </w:style>
  <w:style w:type="paragraph" w:customStyle="1" w:styleId="418">
    <w:name w:val="Item Step in Table"/>
    <w:basedOn w:val="1"/>
    <w:qFormat/>
    <w:uiPriority w:val="0"/>
    <w:pPr>
      <w:tabs>
        <w:tab w:val="left" w:pos="420"/>
      </w:tabs>
      <w:ind w:left="420" w:hanging="420"/>
      <w:jc w:val="left"/>
    </w:pPr>
    <w:rPr>
      <w:szCs w:val="24"/>
    </w:rPr>
  </w:style>
  <w:style w:type="paragraph" w:customStyle="1" w:styleId="419">
    <w:name w:val="Char Char1"/>
    <w:basedOn w:val="1"/>
    <w:qFormat/>
    <w:uiPriority w:val="0"/>
    <w:pPr>
      <w:widowControl/>
      <w:spacing w:after="160" w:line="240" w:lineRule="exact"/>
      <w:jc w:val="left"/>
    </w:pPr>
    <w:rPr>
      <w:rFonts w:ascii="Verdana" w:hAnsi="Verdana"/>
      <w:sz w:val="20"/>
      <w:lang w:eastAsia="en-US"/>
    </w:rPr>
  </w:style>
  <w:style w:type="paragraph" w:customStyle="1" w:styleId="420">
    <w:name w:val="样式3"/>
    <w:basedOn w:val="6"/>
    <w:link w:val="421"/>
    <w:qFormat/>
    <w:uiPriority w:val="0"/>
    <w:pPr>
      <w:tabs>
        <w:tab w:val="left" w:pos="420"/>
      </w:tabs>
      <w:spacing w:before="240" w:after="60" w:line="360" w:lineRule="auto"/>
      <w:ind w:left="420" w:hanging="420"/>
    </w:pPr>
    <w:rPr>
      <w:rFonts w:ascii="宋体" w:hAnsi="宋体"/>
      <w:sz w:val="32"/>
    </w:rPr>
  </w:style>
  <w:style w:type="character" w:customStyle="1" w:styleId="421">
    <w:name w:val="样式3 Char"/>
    <w:link w:val="420"/>
    <w:qFormat/>
    <w:locked/>
    <w:uiPriority w:val="0"/>
    <w:rPr>
      <w:rFonts w:ascii="宋体" w:hAnsi="宋体"/>
      <w:b/>
      <w:kern w:val="44"/>
      <w:sz w:val="32"/>
    </w:rPr>
  </w:style>
  <w:style w:type="paragraph" w:customStyle="1" w:styleId="422">
    <w:name w:val="样式 首行缩进:  0 字符"/>
    <w:basedOn w:val="1"/>
    <w:qFormat/>
    <w:uiPriority w:val="99"/>
    <w:pPr>
      <w:spacing w:line="360" w:lineRule="auto"/>
      <w:ind w:firstLine="200" w:firstLineChars="200"/>
    </w:pPr>
    <w:rPr>
      <w:rFonts w:cs="宋体"/>
    </w:rPr>
  </w:style>
  <w:style w:type="paragraph" w:customStyle="1" w:styleId="423">
    <w:name w:val="font10"/>
    <w:basedOn w:val="1"/>
    <w:qFormat/>
    <w:uiPriority w:val="0"/>
    <w:pPr>
      <w:widowControl/>
      <w:spacing w:before="100" w:beforeAutospacing="1" w:after="100" w:afterAutospacing="1"/>
      <w:jc w:val="left"/>
    </w:pPr>
  </w:style>
  <w:style w:type="paragraph" w:customStyle="1" w:styleId="4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5">
    <w:name w:val="xl20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4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7">
    <w:name w:val="4"/>
    <w:basedOn w:val="1"/>
    <w:next w:val="55"/>
    <w:qFormat/>
    <w:uiPriority w:val="0"/>
    <w:pPr>
      <w:ind w:firstLine="900"/>
    </w:pPr>
    <w:rPr>
      <w:sz w:val="28"/>
    </w:rPr>
  </w:style>
  <w:style w:type="paragraph" w:customStyle="1" w:styleId="428">
    <w:name w:val="默认段落字体 Para Char Char Char Char Char Char"/>
    <w:basedOn w:val="1"/>
    <w:qFormat/>
    <w:uiPriority w:val="0"/>
    <w:rPr>
      <w:rFonts w:ascii="Tahoma" w:hAnsi="Tahoma"/>
    </w:rPr>
  </w:style>
  <w:style w:type="paragraph" w:customStyle="1" w:styleId="429">
    <w:name w:val="注示头"/>
    <w:basedOn w:val="1"/>
    <w:qFormat/>
    <w:uiPriority w:val="0"/>
    <w:pPr>
      <w:widowControl/>
      <w:pBdr>
        <w:top w:val="single" w:color="000000" w:sz="4" w:space="1"/>
      </w:pBdr>
      <w:snapToGrid w:val="0"/>
      <w:spacing w:before="80" w:after="80" w:line="300" w:lineRule="auto"/>
      <w:ind w:left="1701"/>
    </w:pPr>
    <w:rPr>
      <w:rFonts w:eastAsia="黑体"/>
      <w:sz w:val="18"/>
    </w:rPr>
  </w:style>
  <w:style w:type="paragraph" w:customStyle="1" w:styleId="4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431">
    <w:name w:val="xl24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sz w:val="20"/>
    </w:rPr>
  </w:style>
  <w:style w:type="paragraph" w:customStyle="1" w:styleId="432">
    <w:name w:val="标题5"/>
    <w:basedOn w:val="1"/>
    <w:qFormat/>
    <w:uiPriority w:val="0"/>
    <w:pPr>
      <w:spacing w:line="360" w:lineRule="auto"/>
    </w:pPr>
    <w:rPr>
      <w:rFonts w:ascii="宋体"/>
      <w:b/>
    </w:rPr>
  </w:style>
  <w:style w:type="paragraph" w:customStyle="1" w:styleId="433">
    <w:name w:val="标题 1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4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35">
    <w:name w:val="表格表头"/>
    <w:basedOn w:val="1"/>
    <w:qFormat/>
    <w:uiPriority w:val="99"/>
    <w:pPr>
      <w:spacing w:line="360" w:lineRule="auto"/>
      <w:jc w:val="center"/>
    </w:pPr>
    <w:rPr>
      <w:rFonts w:ascii="宋体" w:hAnsi="宋体" w:eastAsia="黑体"/>
      <w:szCs w:val="21"/>
    </w:rPr>
  </w:style>
  <w:style w:type="paragraph" w:customStyle="1" w:styleId="436">
    <w:name w:val="xl101"/>
    <w:basedOn w:val="1"/>
    <w:qFormat/>
    <w:uiPriority w:val="0"/>
    <w:pPr>
      <w:widowControl/>
      <w:spacing w:before="100" w:beforeAutospacing="1" w:after="100" w:afterAutospacing="1"/>
      <w:jc w:val="left"/>
    </w:pPr>
    <w:rPr>
      <w:rFonts w:ascii="宋体" w:hAnsi="宋体" w:cs="宋体"/>
      <w:sz w:val="18"/>
      <w:szCs w:val="18"/>
    </w:rPr>
  </w:style>
  <w:style w:type="paragraph" w:customStyle="1" w:styleId="437">
    <w:name w:val="样式 样式 首行缩进:  2 字符 + 首行缩进:  2 字符 段前: 0.5 行 段后: 0.5 行"/>
    <w:basedOn w:val="1"/>
    <w:qFormat/>
    <w:uiPriority w:val="0"/>
    <w:pPr>
      <w:spacing w:beforeLines="50" w:afterLines="50" w:line="360" w:lineRule="auto"/>
      <w:ind w:firstLine="420" w:firstLineChars="200"/>
    </w:pPr>
    <w:rPr>
      <w:rFonts w:cs="宋体"/>
      <w:szCs w:val="24"/>
    </w:rPr>
  </w:style>
  <w:style w:type="paragraph" w:customStyle="1" w:styleId="438">
    <w:name w:val="xl2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39">
    <w:name w:val="xl2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b/>
      <w:bCs/>
      <w:sz w:val="20"/>
    </w:rPr>
  </w:style>
  <w:style w:type="paragraph" w:customStyle="1" w:styleId="44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441">
    <w:name w:val="Char Char Char Char Char Char Char1"/>
    <w:basedOn w:val="1"/>
    <w:qFormat/>
    <w:uiPriority w:val="0"/>
    <w:rPr>
      <w:rFonts w:ascii="Tahoma" w:hAnsi="Tahoma"/>
    </w:rPr>
  </w:style>
  <w:style w:type="paragraph" w:customStyle="1" w:styleId="442">
    <w:name w:val="默认段落字体 Para Char Char Char Char Char Char Char Char Char"/>
    <w:basedOn w:val="1"/>
    <w:qFormat/>
    <w:uiPriority w:val="0"/>
    <w:rPr>
      <w:rFonts w:ascii="Tahoma" w:hAnsi="Tahoma"/>
    </w:rPr>
  </w:style>
  <w:style w:type="paragraph" w:customStyle="1" w:styleId="443">
    <w:name w:val="font7"/>
    <w:basedOn w:val="1"/>
    <w:qFormat/>
    <w:uiPriority w:val="0"/>
    <w:pPr>
      <w:widowControl/>
      <w:spacing w:before="100" w:beforeAutospacing="1" w:after="100" w:afterAutospacing="1"/>
      <w:jc w:val="left"/>
    </w:pPr>
    <w:rPr>
      <w:rFonts w:hint="eastAsia" w:ascii="仿宋_GB2312" w:hAnsi="宋体" w:eastAsia="仿宋_GB2312"/>
      <w:sz w:val="18"/>
    </w:rPr>
  </w:style>
  <w:style w:type="paragraph" w:customStyle="1" w:styleId="444">
    <w:name w:val="xl2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445">
    <w:name w:val="普通 (Web)"/>
    <w:basedOn w:val="1"/>
    <w:qFormat/>
    <w:uiPriority w:val="0"/>
    <w:pPr>
      <w:widowControl/>
      <w:spacing w:before="100" w:beforeAutospacing="1" w:after="100" w:afterAutospacing="1"/>
      <w:jc w:val="left"/>
    </w:pPr>
    <w:rPr>
      <w:rFonts w:ascii="宋体" w:hAnsi="宋体"/>
    </w:rPr>
  </w:style>
  <w:style w:type="paragraph" w:customStyle="1" w:styleId="446">
    <w:name w:val="标题 2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447">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18"/>
      <w:szCs w:val="18"/>
    </w:rPr>
  </w:style>
  <w:style w:type="paragraph" w:customStyle="1" w:styleId="448">
    <w:name w:val="q2"/>
    <w:basedOn w:val="62"/>
    <w:qFormat/>
    <w:uiPriority w:val="0"/>
    <w:pPr>
      <w:spacing w:line="360" w:lineRule="auto"/>
      <w:ind w:left="767" w:hanging="567"/>
      <w:jc w:val="left"/>
      <w:outlineLvl w:val="1"/>
    </w:pPr>
  </w:style>
  <w:style w:type="paragraph" w:customStyle="1" w:styleId="449">
    <w:name w:val="正文不缩进（符号4）"/>
    <w:basedOn w:val="1"/>
    <w:qFormat/>
    <w:uiPriority w:val="99"/>
    <w:pPr>
      <w:tabs>
        <w:tab w:val="left" w:pos="360"/>
      </w:tabs>
      <w:ind w:left="340" w:hanging="340"/>
    </w:pPr>
    <w:rPr>
      <w:rFonts w:ascii="Calibri" w:hAnsi="Calibri"/>
      <w:sz w:val="28"/>
    </w:rPr>
  </w:style>
  <w:style w:type="paragraph" w:customStyle="1" w:styleId="450">
    <w:name w:val="Pa0"/>
    <w:basedOn w:val="353"/>
    <w:next w:val="353"/>
    <w:qFormat/>
    <w:uiPriority w:val="0"/>
    <w:pPr>
      <w:spacing w:line="181" w:lineRule="atLeast"/>
    </w:pPr>
    <w:rPr>
      <w:rFonts w:ascii="H Yg 2gj" w:eastAsia="H Yg 2gj"/>
      <w:color w:val="auto"/>
    </w:rPr>
  </w:style>
  <w:style w:type="paragraph" w:customStyle="1" w:styleId="4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sz w:val="20"/>
    </w:rPr>
  </w:style>
  <w:style w:type="paragraph" w:customStyle="1" w:styleId="452">
    <w:name w:val="注："/>
    <w:next w:val="33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453">
    <w:name w:val="附录图标题"/>
    <w:next w:val="331"/>
    <w:qFormat/>
    <w:uiPriority w:val="0"/>
    <w:pPr>
      <w:jc w:val="center"/>
    </w:pPr>
    <w:rPr>
      <w:rFonts w:ascii="黑体" w:hAnsi="Times New Roman" w:eastAsia="黑体" w:cs="Times New Roman"/>
      <w:sz w:val="21"/>
      <w:lang w:val="en-US" w:eastAsia="zh-CN" w:bidi="ar-SA"/>
    </w:rPr>
  </w:style>
  <w:style w:type="paragraph" w:customStyle="1" w:styleId="45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455">
    <w:name w:val="Cover"/>
    <w:basedOn w:val="1"/>
    <w:qFormat/>
    <w:uiPriority w:val="0"/>
    <w:pPr>
      <w:widowControl/>
      <w:spacing w:before="40" w:after="40" w:line="240" w:lineRule="atLeast"/>
      <w:jc w:val="left"/>
    </w:pPr>
    <w:rPr>
      <w:kern w:val="20"/>
      <w:sz w:val="18"/>
      <w:szCs w:val="24"/>
      <w:lang w:eastAsia="en-US"/>
    </w:rPr>
  </w:style>
  <w:style w:type="paragraph" w:customStyle="1" w:styleId="45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57">
    <w:name w:val="标题 2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458">
    <w:name w:val="xl129"/>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459">
    <w:name w:val="xl118"/>
    <w:basedOn w:val="1"/>
    <w:qFormat/>
    <w:uiPriority w:val="0"/>
    <w:pPr>
      <w:widowControl/>
      <w:spacing w:before="100" w:beforeAutospacing="1" w:after="100" w:afterAutospacing="1"/>
      <w:jc w:val="left"/>
      <w:textAlignment w:val="bottom"/>
    </w:pPr>
    <w:rPr>
      <w:rFonts w:ascii="宋体" w:hAnsi="宋体" w:cs="宋体"/>
      <w:sz w:val="20"/>
    </w:rPr>
  </w:style>
  <w:style w:type="paragraph" w:customStyle="1" w:styleId="460">
    <w:name w:val="样式 正文文本缩进 + 首行缩进:  2 字符 行距: 1.5 倍行距"/>
    <w:basedOn w:val="3"/>
    <w:qFormat/>
    <w:uiPriority w:val="0"/>
    <w:pPr>
      <w:spacing w:before="156" w:beforeLines="50" w:line="360" w:lineRule="auto"/>
      <w:ind w:left="0" w:leftChars="0" w:firstLine="480" w:firstLineChars="200"/>
    </w:pPr>
    <w:rPr>
      <w:rFonts w:ascii="Times New Roman" w:hAnsi="Times New Roman"/>
      <w:b w:val="0"/>
    </w:rPr>
  </w:style>
  <w:style w:type="paragraph" w:customStyle="1" w:styleId="46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sz w:val="26"/>
    </w:rPr>
  </w:style>
  <w:style w:type="paragraph" w:customStyle="1" w:styleId="462">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63">
    <w:name w:val="标题 2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464">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466">
    <w:name w:val="Char Char1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467">
    <w:name w:val="xl2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468">
    <w:name w:val="文章采用"/>
    <w:basedOn w:val="1"/>
    <w:qFormat/>
    <w:uiPriority w:val="0"/>
    <w:pPr>
      <w:spacing w:line="360" w:lineRule="auto"/>
      <w:ind w:firstLine="560" w:firstLineChars="200"/>
    </w:pPr>
    <w:rPr>
      <w:rFonts w:eastAsia="仿宋_GB2312" w:cs="宋体"/>
      <w:sz w:val="28"/>
    </w:rPr>
  </w:style>
  <w:style w:type="paragraph" w:customStyle="1" w:styleId="46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70">
    <w:name w:val="xl24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471">
    <w:name w:val="xl2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72">
    <w:name w:val="LED标题1"/>
    <w:basedOn w:val="1"/>
    <w:next w:val="1"/>
    <w:qFormat/>
    <w:uiPriority w:val="0"/>
    <w:pPr>
      <w:spacing w:before="156" w:beforeLines="50" w:after="156" w:afterLines="50"/>
      <w:ind w:firstLine="320" w:firstLineChars="100"/>
      <w:jc w:val="center"/>
      <w:outlineLvl w:val="0"/>
    </w:pPr>
    <w:rPr>
      <w:rFonts w:eastAsia="黑体"/>
      <w:color w:val="FF0000"/>
      <w:sz w:val="32"/>
    </w:rPr>
  </w:style>
  <w:style w:type="paragraph" w:customStyle="1" w:styleId="473">
    <w:name w:val="默认段落字体 Para Char Char Char Char Char Char Char Char Char1 Char"/>
    <w:basedOn w:val="1"/>
    <w:qFormat/>
    <w:uiPriority w:val="0"/>
    <w:rPr>
      <w:rFonts w:ascii="Tahoma" w:hAnsi="Tahoma"/>
    </w:rPr>
  </w:style>
  <w:style w:type="paragraph" w:customStyle="1" w:styleId="474">
    <w:name w:val="List Paragraph1"/>
    <w:basedOn w:val="1"/>
    <w:qFormat/>
    <w:uiPriority w:val="99"/>
    <w:pPr>
      <w:ind w:firstLine="420" w:firstLineChars="200"/>
    </w:pPr>
    <w:rPr>
      <w:szCs w:val="24"/>
    </w:rPr>
  </w:style>
  <w:style w:type="paragraph" w:customStyle="1" w:styleId="475">
    <w:name w:val="标题 1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76">
    <w:name w:val="xl179"/>
    <w:basedOn w:val="1"/>
    <w:qFormat/>
    <w:uiPriority w:val="0"/>
    <w:pPr>
      <w:widowControl/>
      <w:spacing w:before="100" w:beforeAutospacing="1" w:after="100" w:afterAutospacing="1"/>
      <w:jc w:val="left"/>
      <w:textAlignment w:val="bottom"/>
    </w:pPr>
    <w:rPr>
      <w:rFonts w:ascii="宋体" w:hAnsi="宋体" w:cs="宋体"/>
      <w:color w:val="000000"/>
      <w:szCs w:val="24"/>
    </w:rPr>
  </w:style>
  <w:style w:type="paragraph" w:customStyle="1" w:styleId="477">
    <w:name w:val="段落1"/>
    <w:basedOn w:val="1"/>
    <w:qFormat/>
    <w:uiPriority w:val="0"/>
    <w:pPr>
      <w:autoSpaceDE w:val="0"/>
      <w:autoSpaceDN w:val="0"/>
      <w:adjustRightInd w:val="0"/>
      <w:spacing w:before="105" w:after="120"/>
    </w:pPr>
    <w:rPr>
      <w:rFonts w:ascii="宋体" w:eastAsia="幼圆"/>
    </w:rPr>
  </w:style>
  <w:style w:type="paragraph" w:customStyle="1" w:styleId="47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79">
    <w:name w:val="IN Step"/>
    <w:basedOn w:val="1"/>
    <w:qFormat/>
    <w:uiPriority w:val="0"/>
    <w:pPr>
      <w:keepLines/>
      <w:widowControl/>
      <w:tabs>
        <w:tab w:val="left" w:pos="1134"/>
      </w:tabs>
      <w:spacing w:before="80" w:after="80" w:line="300" w:lineRule="auto"/>
      <w:ind w:left="1134" w:hanging="907"/>
      <w:outlineLvl w:val="8"/>
    </w:p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rPr>
  </w:style>
  <w:style w:type="paragraph" w:customStyle="1" w:styleId="481">
    <w:name w:val="xl264"/>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b/>
      <w:bCs/>
      <w:sz w:val="20"/>
    </w:rPr>
  </w:style>
  <w:style w:type="paragraph" w:customStyle="1" w:styleId="48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3">
    <w:name w:val="标题4项目符号"/>
    <w:qFormat/>
    <w:uiPriority w:val="0"/>
    <w:pPr>
      <w:numPr>
        <w:ilvl w:val="0"/>
        <w:numId w:val="8"/>
      </w:numPr>
      <w:tabs>
        <w:tab w:val="left" w:pos="1050"/>
      </w:tabs>
      <w:adjustRightInd w:val="0"/>
      <w:snapToGrid w:val="0"/>
      <w:spacing w:line="360" w:lineRule="auto"/>
    </w:pPr>
    <w:rPr>
      <w:rFonts w:ascii="Times New Roman" w:hAnsi="Times New Roman" w:eastAsia="宋体" w:cs="Times New Roman"/>
      <w:sz w:val="24"/>
      <w:szCs w:val="24"/>
      <w:lang w:val="en-US" w:eastAsia="zh-CN" w:bidi="ar-SA"/>
    </w:rPr>
  </w:style>
  <w:style w:type="paragraph" w:customStyle="1" w:styleId="48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485">
    <w:name w:val="xl2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486">
    <w:name w:val="xl22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sz w:val="20"/>
    </w:rPr>
  </w:style>
  <w:style w:type="paragraph" w:customStyle="1" w:styleId="487">
    <w:name w:val="标题 2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488">
    <w:name w:val="xl259"/>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pPr>
    <w:rPr>
      <w:rFonts w:ascii="宋体" w:hAnsi="宋体" w:cs="宋体"/>
      <w:sz w:val="20"/>
    </w:rPr>
  </w:style>
  <w:style w:type="paragraph" w:customStyle="1" w:styleId="489">
    <w:name w:val="Figure title"/>
    <w:basedOn w:val="1"/>
    <w:next w:val="1"/>
    <w:qFormat/>
    <w:uiPriority w:val="0"/>
    <w:pPr>
      <w:widowControl/>
      <w:suppressAutoHyphens/>
      <w:spacing w:before="220" w:after="220" w:line="230" w:lineRule="atLeast"/>
      <w:jc w:val="center"/>
    </w:pPr>
    <w:rPr>
      <w:b/>
      <w:sz w:val="20"/>
      <w:lang w:val="en-GB"/>
    </w:rPr>
  </w:style>
  <w:style w:type="paragraph" w:customStyle="1" w:styleId="4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491">
    <w:name w:val="图表"/>
    <w:basedOn w:val="1"/>
    <w:qFormat/>
    <w:uiPriority w:val="0"/>
    <w:rPr>
      <w:rFonts w:ascii="宋体" w:hAnsi="宋体"/>
      <w:sz w:val="18"/>
      <w:szCs w:val="18"/>
    </w:rPr>
  </w:style>
  <w:style w:type="paragraph" w:customStyle="1" w:styleId="49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493">
    <w:name w:val="文档正文"/>
    <w:basedOn w:val="1"/>
    <w:qFormat/>
    <w:uiPriority w:val="0"/>
    <w:pPr>
      <w:spacing w:line="360" w:lineRule="auto"/>
      <w:jc w:val="center"/>
    </w:pPr>
    <w:rPr>
      <w:rFonts w:ascii="宋体" w:hAnsi="宋体"/>
      <w:b/>
    </w:rPr>
  </w:style>
  <w:style w:type="paragraph" w:customStyle="1" w:styleId="494">
    <w:name w:val="标题 1 New New New New New New New New New New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495">
    <w:name w:val="figure"/>
    <w:basedOn w:val="1"/>
    <w:next w:val="157"/>
    <w:qFormat/>
    <w:uiPriority w:val="0"/>
    <w:pPr>
      <w:keepNext/>
      <w:widowControl/>
      <w:snapToGrid w:val="0"/>
      <w:spacing w:before="80" w:after="80" w:line="300" w:lineRule="auto"/>
      <w:ind w:firstLine="425"/>
      <w:jc w:val="center"/>
    </w:pPr>
  </w:style>
  <w:style w:type="paragraph" w:customStyle="1" w:styleId="496">
    <w:name w:val="文档标题"/>
    <w:basedOn w:val="1"/>
    <w:qFormat/>
    <w:uiPriority w:val="0"/>
    <w:pPr>
      <w:widowControl/>
      <w:tabs>
        <w:tab w:val="left" w:pos="0"/>
      </w:tabs>
      <w:snapToGrid w:val="0"/>
      <w:spacing w:before="300" w:after="300" w:line="300" w:lineRule="auto"/>
      <w:ind w:left="1701"/>
      <w:jc w:val="center"/>
    </w:pPr>
    <w:rPr>
      <w:rFonts w:eastAsia="黑体"/>
      <w:sz w:val="36"/>
    </w:rPr>
  </w:style>
  <w:style w:type="paragraph" w:customStyle="1" w:styleId="497">
    <w:name w:val="Char Char Char Char Char Char1 Char Char Char Char Char Char Char Char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49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lang w:eastAsia="en-US"/>
    </w:rPr>
  </w:style>
  <w:style w:type="paragraph" w:customStyle="1" w:styleId="499">
    <w:name w:val="五级条标题"/>
    <w:basedOn w:val="500"/>
    <w:next w:val="331"/>
    <w:qFormat/>
    <w:uiPriority w:val="0"/>
    <w:pPr>
      <w:outlineLvl w:val="6"/>
    </w:pPr>
  </w:style>
  <w:style w:type="paragraph" w:customStyle="1" w:styleId="500">
    <w:name w:val="四级条标题"/>
    <w:basedOn w:val="501"/>
    <w:next w:val="331"/>
    <w:qFormat/>
    <w:uiPriority w:val="0"/>
    <w:pPr>
      <w:outlineLvl w:val="5"/>
    </w:pPr>
  </w:style>
  <w:style w:type="paragraph" w:customStyle="1" w:styleId="501">
    <w:name w:val="三级条标题"/>
    <w:basedOn w:val="502"/>
    <w:next w:val="331"/>
    <w:qFormat/>
    <w:uiPriority w:val="0"/>
    <w:pPr>
      <w:ind w:left="990" w:hanging="420"/>
      <w:outlineLvl w:val="4"/>
    </w:pPr>
  </w:style>
  <w:style w:type="paragraph" w:customStyle="1" w:styleId="502">
    <w:name w:val="二级条标题"/>
    <w:basedOn w:val="503"/>
    <w:next w:val="331"/>
    <w:qFormat/>
    <w:uiPriority w:val="0"/>
    <w:pPr>
      <w:outlineLvl w:val="3"/>
    </w:pPr>
  </w:style>
  <w:style w:type="paragraph" w:customStyle="1" w:styleId="503">
    <w:name w:val="一级条标题"/>
    <w:basedOn w:val="504"/>
    <w:next w:val="331"/>
    <w:qFormat/>
    <w:uiPriority w:val="0"/>
    <w:pPr>
      <w:spacing w:before="0" w:after="0"/>
      <w:outlineLvl w:val="2"/>
    </w:pPr>
  </w:style>
  <w:style w:type="paragraph" w:customStyle="1" w:styleId="504">
    <w:name w:val="章标题"/>
    <w:next w:val="331"/>
    <w:qFormat/>
    <w:uiPriority w:val="0"/>
    <w:pPr>
      <w:spacing w:before="50" w:after="50"/>
      <w:outlineLvl w:val="1"/>
    </w:pPr>
    <w:rPr>
      <w:rFonts w:ascii="黑体" w:hAnsi="Times New Roman" w:eastAsia="黑体" w:cs="Times New Roman"/>
      <w:sz w:val="24"/>
      <w:lang w:val="en-US" w:eastAsia="zh-CN" w:bidi="ar-SA"/>
    </w:rPr>
  </w:style>
  <w:style w:type="paragraph" w:customStyle="1" w:styleId="505">
    <w:name w:val="xl167"/>
    <w:basedOn w:val="1"/>
    <w:qFormat/>
    <w:uiPriority w:val="0"/>
    <w:pPr>
      <w:widowControl/>
      <w:spacing w:before="100" w:beforeAutospacing="1" w:after="100" w:afterAutospacing="1"/>
      <w:jc w:val="left"/>
    </w:pPr>
    <w:rPr>
      <w:rFonts w:ascii="宋体" w:hAnsi="宋体" w:cs="宋体"/>
      <w:szCs w:val="21"/>
    </w:rPr>
  </w:style>
  <w:style w:type="paragraph" w:customStyle="1" w:styleId="506">
    <w:name w:val="默认段落字体 Para Char"/>
    <w:basedOn w:val="1"/>
    <w:qFormat/>
    <w:uiPriority w:val="0"/>
    <w:rPr>
      <w:rFonts w:ascii="Tahoma" w:hAnsi="Tahoma"/>
    </w:rPr>
  </w:style>
  <w:style w:type="paragraph" w:customStyle="1" w:styleId="507">
    <w:name w:val="封面_项目开发单位"/>
    <w:basedOn w:val="37"/>
    <w:qFormat/>
    <w:uiPriority w:val="0"/>
    <w:pPr>
      <w:autoSpaceDE w:val="0"/>
      <w:autoSpaceDN w:val="0"/>
      <w:adjustRightInd w:val="0"/>
      <w:spacing w:line="240" w:lineRule="atLeast"/>
      <w:ind w:firstLine="425"/>
      <w:jc w:val="center"/>
    </w:pPr>
    <w:rPr>
      <w:rFonts w:ascii="Arial" w:hAnsi="Arial" w:eastAsia="黑体"/>
      <w:b/>
      <w:color w:val="000000"/>
      <w:sz w:val="44"/>
    </w:rPr>
  </w:style>
  <w:style w:type="paragraph" w:customStyle="1" w:styleId="508">
    <w:name w:val="标题 2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09">
    <w:name w:val="标准书眉一"/>
    <w:qFormat/>
    <w:uiPriority w:val="0"/>
    <w:pPr>
      <w:jc w:val="both"/>
    </w:pPr>
    <w:rPr>
      <w:rFonts w:ascii="Times New Roman" w:hAnsi="Times New Roman" w:eastAsia="宋体" w:cs="Times New Roman"/>
      <w:lang w:val="en-US" w:eastAsia="zh-CN" w:bidi="ar-SA"/>
    </w:rPr>
  </w:style>
  <w:style w:type="paragraph" w:customStyle="1" w:styleId="510">
    <w:name w:val="xl2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sz w:val="20"/>
    </w:rPr>
  </w:style>
  <w:style w:type="paragraph" w:customStyle="1" w:styleId="511">
    <w:name w:val="标题 2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1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51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14">
    <w:name w:val="样式 表格名称 + 两端对齐"/>
    <w:basedOn w:val="269"/>
    <w:qFormat/>
    <w:uiPriority w:val="0"/>
    <w:pPr>
      <w:ind w:left="984" w:hanging="420"/>
      <w:jc w:val="both"/>
    </w:pPr>
    <w:rPr>
      <w:rFonts w:cs="宋体"/>
      <w:bCs/>
      <w:sz w:val="21"/>
      <w:szCs w:val="20"/>
    </w:rPr>
  </w:style>
  <w:style w:type="paragraph" w:customStyle="1" w:styleId="515">
    <w:name w:val="彩色底纹 - 着色 11"/>
    <w:qFormat/>
    <w:uiPriority w:val="0"/>
    <w:rPr>
      <w:rFonts w:ascii="Calibri" w:hAnsi="Calibri" w:eastAsia="宋体" w:cs="Times New Roman"/>
      <w:kern w:val="2"/>
      <w:sz w:val="21"/>
      <w:lang w:val="en-US" w:eastAsia="zh-CN" w:bidi="ar-SA"/>
    </w:rPr>
  </w:style>
  <w:style w:type="paragraph" w:customStyle="1" w:styleId="516">
    <w:name w:val="列项——"/>
    <w:qFormat/>
    <w:uiPriority w:val="0"/>
    <w:pPr>
      <w:widowControl w:val="0"/>
      <w:tabs>
        <w:tab w:val="left" w:pos="854"/>
      </w:tabs>
      <w:ind w:left="1134" w:leftChars="200" w:hanging="567" w:hangingChars="200"/>
      <w:jc w:val="both"/>
    </w:pPr>
    <w:rPr>
      <w:rFonts w:ascii="宋体" w:hAnsi="Times New Roman" w:eastAsia="宋体" w:cs="Times New Roman"/>
      <w:sz w:val="21"/>
      <w:lang w:val="en-US" w:eastAsia="zh-CN" w:bidi="ar-SA"/>
    </w:rPr>
  </w:style>
  <w:style w:type="paragraph" w:customStyle="1" w:styleId="517">
    <w:name w:val="xl22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18">
    <w:name w:val="标题3"/>
    <w:basedOn w:val="8"/>
    <w:qFormat/>
    <w:uiPriority w:val="0"/>
    <w:pPr>
      <w:numPr>
        <w:numId w:val="0"/>
      </w:numPr>
      <w:tabs>
        <w:tab w:val="left" w:pos="113"/>
      </w:tabs>
      <w:adjustRightInd/>
      <w:spacing w:before="120" w:after="120" w:line="300" w:lineRule="auto"/>
      <w:textAlignment w:val="auto"/>
    </w:pPr>
    <w:rPr>
      <w:rFonts w:ascii="宋体" w:hAnsi="宋体"/>
      <w:snapToGrid w:val="0"/>
      <w:spacing w:val="6"/>
      <w:sz w:val="21"/>
      <w:lang w:val="ru-RU"/>
    </w:rPr>
  </w:style>
  <w:style w:type="paragraph" w:customStyle="1" w:styleId="519">
    <w:name w:val="Char Char Char Char"/>
    <w:basedOn w:val="26"/>
    <w:qFormat/>
    <w:uiPriority w:val="0"/>
    <w:pPr>
      <w:adjustRightInd w:val="0"/>
      <w:snapToGrid w:val="0"/>
      <w:spacing w:line="360" w:lineRule="auto"/>
    </w:pPr>
    <w:rPr>
      <w:rFonts w:ascii="Tahoma" w:hAnsi="Tahoma"/>
      <w:szCs w:val="24"/>
    </w:rPr>
  </w:style>
  <w:style w:type="paragraph" w:customStyle="1" w:styleId="520">
    <w:name w:val="编写建议"/>
    <w:basedOn w:val="1"/>
    <w:qFormat/>
    <w:uiPriority w:val="0"/>
    <w:pPr>
      <w:widowControl/>
      <w:snapToGrid w:val="0"/>
      <w:spacing w:before="80" w:after="80" w:line="300" w:lineRule="auto"/>
      <w:ind w:left="1701" w:firstLine="420"/>
    </w:pPr>
    <w:rPr>
      <w:i/>
      <w:color w:val="0000FF"/>
    </w:rPr>
  </w:style>
  <w:style w:type="paragraph" w:customStyle="1" w:styleId="521">
    <w:name w:val="弱电样1"/>
    <w:basedOn w:val="7"/>
    <w:next w:val="1"/>
    <w:qFormat/>
    <w:uiPriority w:val="99"/>
    <w:pPr>
      <w:numPr>
        <w:ilvl w:val="0"/>
        <w:numId w:val="4"/>
      </w:numPr>
      <w:adjustRightInd/>
      <w:spacing w:after="120" w:line="416" w:lineRule="auto"/>
      <w:textAlignment w:val="auto"/>
    </w:pPr>
    <w:rPr>
      <w:rFonts w:ascii="黑体" w:hAnsi="Cambria"/>
      <w:bCs/>
      <w:sz w:val="30"/>
      <w:szCs w:val="32"/>
    </w:rPr>
  </w:style>
  <w:style w:type="paragraph" w:customStyle="1" w:styleId="522">
    <w:name w:val="Char Char Char Char1"/>
    <w:basedOn w:val="1"/>
    <w:qFormat/>
    <w:uiPriority w:val="0"/>
    <w:rPr>
      <w:rFonts w:ascii="Tahoma" w:hAnsi="Tahoma"/>
      <w:szCs w:val="24"/>
    </w:rPr>
  </w:style>
  <w:style w:type="paragraph" w:customStyle="1" w:styleId="523">
    <w:name w:val="标题 2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524">
    <w:name w:val="Char1"/>
    <w:basedOn w:val="1"/>
    <w:qFormat/>
    <w:uiPriority w:val="0"/>
    <w:pPr>
      <w:snapToGrid w:val="0"/>
    </w:pPr>
    <w:rPr>
      <w:szCs w:val="21"/>
    </w:rPr>
  </w:style>
  <w:style w:type="paragraph" w:customStyle="1" w:styleId="525">
    <w:name w:val="附录二级条标题"/>
    <w:basedOn w:val="526"/>
    <w:next w:val="331"/>
    <w:qFormat/>
    <w:uiPriority w:val="0"/>
    <w:pPr>
      <w:outlineLvl w:val="3"/>
    </w:pPr>
  </w:style>
  <w:style w:type="paragraph" w:customStyle="1" w:styleId="526">
    <w:name w:val="附录一级条标题"/>
    <w:basedOn w:val="527"/>
    <w:next w:val="331"/>
    <w:qFormat/>
    <w:uiPriority w:val="0"/>
    <w:pPr>
      <w:autoSpaceDN w:val="0"/>
      <w:spacing w:before="0" w:after="0"/>
      <w:outlineLvl w:val="2"/>
    </w:pPr>
  </w:style>
  <w:style w:type="paragraph" w:customStyle="1" w:styleId="527">
    <w:name w:val="附录章标题"/>
    <w:next w:val="331"/>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528">
    <w:name w:val="_Style 1"/>
    <w:basedOn w:val="1"/>
    <w:qFormat/>
    <w:uiPriority w:val="0"/>
    <w:pPr>
      <w:ind w:firstLine="420" w:firstLineChars="200"/>
    </w:pPr>
  </w:style>
  <w:style w:type="paragraph" w:customStyle="1" w:styleId="529">
    <w:name w:val="标题 2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30">
    <w:name w:val="xl174"/>
    <w:basedOn w:val="1"/>
    <w:qFormat/>
    <w:uiPriority w:val="0"/>
    <w:pPr>
      <w:widowControl/>
      <w:spacing w:before="100" w:beforeAutospacing="1" w:after="100" w:afterAutospacing="1"/>
      <w:jc w:val="left"/>
      <w:textAlignment w:val="bottom"/>
    </w:pPr>
    <w:rPr>
      <w:rFonts w:ascii="宋体" w:hAnsi="宋体" w:cs="宋体"/>
      <w:color w:val="000000"/>
      <w:sz w:val="18"/>
      <w:szCs w:val="18"/>
    </w:rPr>
  </w:style>
  <w:style w:type="paragraph" w:customStyle="1" w:styleId="531">
    <w:name w:val="font8"/>
    <w:basedOn w:val="1"/>
    <w:qFormat/>
    <w:uiPriority w:val="0"/>
    <w:pPr>
      <w:widowControl/>
      <w:spacing w:before="100" w:beforeAutospacing="1" w:after="100" w:afterAutospacing="1"/>
      <w:jc w:val="left"/>
    </w:pPr>
    <w:rPr>
      <w:rFonts w:ascii="Verdana" w:hAnsi="Verdana"/>
    </w:rPr>
  </w:style>
  <w:style w:type="paragraph" w:customStyle="1" w:styleId="5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3">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sz w:val="20"/>
    </w:rPr>
  </w:style>
  <w:style w:type="paragraph" w:customStyle="1" w:styleId="534">
    <w:name w:val="样式 标题 1H1h1章l1I11st levelHeading 01Header 1Header1Sec..."/>
    <w:basedOn w:val="6"/>
    <w:qFormat/>
    <w:uiPriority w:val="0"/>
    <w:rPr>
      <w:rFonts w:ascii="黑体" w:hAnsi="黑体" w:eastAsia="黑体" w:cs="宋体"/>
      <w:b w:val="0"/>
      <w:bCs/>
      <w:sz w:val="36"/>
    </w:rPr>
  </w:style>
  <w:style w:type="paragraph" w:customStyle="1" w:styleId="535">
    <w:name w:val="无间隔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3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537">
    <w:name w:val="msoacetate"/>
    <w:basedOn w:val="1"/>
    <w:qFormat/>
    <w:uiPriority w:val="0"/>
    <w:rPr>
      <w:rFonts w:ascii="Tahoma" w:hAnsi="Tahoma"/>
      <w:sz w:val="18"/>
      <w:szCs w:val="18"/>
    </w:rPr>
  </w:style>
  <w:style w:type="paragraph" w:customStyle="1" w:styleId="538">
    <w:name w:val="插图题注"/>
    <w:next w:val="1"/>
    <w:qFormat/>
    <w:uiPriority w:val="0"/>
    <w:pPr>
      <w:spacing w:after="312" w:afterLines="100"/>
      <w:ind w:left="1089" w:hanging="369"/>
      <w:jc w:val="center"/>
    </w:pPr>
    <w:rPr>
      <w:rFonts w:ascii="Arial" w:hAnsi="Arial" w:eastAsia="宋体" w:cs="Times New Roman"/>
      <w:sz w:val="18"/>
      <w:lang w:val="en-US" w:eastAsia="zh-CN" w:bidi="ar-SA"/>
    </w:rPr>
  </w:style>
  <w:style w:type="paragraph" w:customStyle="1" w:styleId="539">
    <w:name w:val="标题 2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0">
    <w:name w:val="Char Char1 Char Char Char Char Char Char11"/>
    <w:basedOn w:val="1"/>
    <w:qFormat/>
    <w:uiPriority w:val="0"/>
    <w:pPr>
      <w:widowControl/>
      <w:spacing w:after="160" w:line="240" w:lineRule="exact"/>
      <w:jc w:val="left"/>
    </w:pPr>
    <w:rPr>
      <w:rFonts w:ascii="Verdana" w:hAnsi="Verdana" w:eastAsia="仿宋_GB2312"/>
      <w:lang w:eastAsia="en-US"/>
    </w:rPr>
  </w:style>
  <w:style w:type="paragraph" w:customStyle="1" w:styleId="541">
    <w:name w:val="标题 2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542">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43">
    <w:name w:val="默认段落字体 Para Char Char Char Char Char Char Char Char Char Char Char Char"/>
    <w:basedOn w:val="1"/>
    <w:qFormat/>
    <w:uiPriority w:val="0"/>
    <w:rPr>
      <w:rFonts w:ascii="Tahoma" w:hAnsi="Tahoma"/>
    </w:rPr>
  </w:style>
  <w:style w:type="paragraph" w:customStyle="1" w:styleId="54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45">
    <w:name w:val="正文 New New"/>
    <w:qFormat/>
    <w:uiPriority w:val="0"/>
    <w:pPr>
      <w:widowControl w:val="0"/>
      <w:jc w:val="both"/>
    </w:pPr>
    <w:rPr>
      <w:rFonts w:ascii="???" w:hAnsi="???" w:eastAsia="???" w:cs="Arial"/>
      <w:kern w:val="21"/>
      <w:sz w:val="21"/>
      <w:szCs w:val="21"/>
      <w:lang w:val="en-US" w:eastAsia="zh-CN" w:bidi="ar-SA"/>
    </w:rPr>
  </w:style>
  <w:style w:type="paragraph" w:customStyle="1" w:styleId="54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47">
    <w:name w:val="编号1"/>
    <w:basedOn w:val="1"/>
    <w:qFormat/>
    <w:uiPriority w:val="0"/>
    <w:pPr>
      <w:numPr>
        <w:ilvl w:val="0"/>
        <w:numId w:val="9"/>
      </w:numPr>
      <w:tabs>
        <w:tab w:val="left" w:pos="360"/>
      </w:tabs>
      <w:adjustRightInd w:val="0"/>
      <w:spacing w:line="300" w:lineRule="auto"/>
      <w:ind w:right="210"/>
      <w:textAlignment w:val="center"/>
    </w:pPr>
    <w:rPr>
      <w:rFonts w:ascii="宋体" w:hAnsi="宋体"/>
      <w:snapToGrid w:val="0"/>
      <w:spacing w:val="10"/>
      <w:kern w:val="24"/>
      <w:szCs w:val="24"/>
    </w:rPr>
  </w:style>
  <w:style w:type="paragraph" w:customStyle="1" w:styleId="548">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49">
    <w:name w:val="1册标题2"/>
    <w:basedOn w:val="7"/>
    <w:next w:val="1"/>
    <w:qFormat/>
    <w:uiPriority w:val="0"/>
    <w:pPr>
      <w:keepNext w:val="0"/>
      <w:keepLines w:val="0"/>
      <w:adjustRightInd/>
      <w:spacing w:before="0" w:after="0" w:line="312" w:lineRule="auto"/>
      <w:jc w:val="center"/>
      <w:textAlignment w:val="auto"/>
      <w:outlineLvl w:val="9"/>
    </w:pPr>
    <w:rPr>
      <w:rFonts w:ascii="宋体" w:hAnsi="宋体" w:eastAsia="宋体"/>
    </w:rPr>
  </w:style>
  <w:style w:type="paragraph" w:customStyle="1" w:styleId="550">
    <w:name w:val="Char"/>
    <w:basedOn w:val="26"/>
    <w:qFormat/>
    <w:uiPriority w:val="0"/>
    <w:rPr>
      <w:rFonts w:ascii="Tahoma" w:hAnsi="Tahoma"/>
    </w:rPr>
  </w:style>
  <w:style w:type="paragraph" w:customStyle="1" w:styleId="55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sz w:val="20"/>
    </w:rPr>
  </w:style>
  <w:style w:type="paragraph" w:customStyle="1" w:styleId="552">
    <w:name w:val="xl173"/>
    <w:basedOn w:val="1"/>
    <w:qFormat/>
    <w:uiPriority w:val="0"/>
    <w:pPr>
      <w:widowControl/>
      <w:spacing w:before="100" w:beforeAutospacing="1" w:after="100" w:afterAutospacing="1"/>
      <w:jc w:val="left"/>
    </w:pPr>
    <w:rPr>
      <w:rFonts w:ascii="宋体" w:hAnsi="宋体" w:cs="宋体"/>
      <w:color w:val="000000"/>
      <w:sz w:val="18"/>
      <w:szCs w:val="18"/>
    </w:rPr>
  </w:style>
  <w:style w:type="paragraph" w:customStyle="1" w:styleId="553">
    <w:name w:val="tabletext"/>
    <w:basedOn w:val="1"/>
    <w:qFormat/>
    <w:uiPriority w:val="0"/>
    <w:pPr>
      <w:widowControl/>
      <w:spacing w:before="100" w:beforeAutospacing="1" w:after="100" w:afterAutospacing="1"/>
      <w:jc w:val="left"/>
    </w:pPr>
    <w:rPr>
      <w:rFonts w:ascii="宋体" w:hAnsi="宋体"/>
    </w:rPr>
  </w:style>
  <w:style w:type="paragraph" w:customStyle="1" w:styleId="554">
    <w:name w:val="标题 1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555">
    <w:name w:val="1册标题1"/>
    <w:basedOn w:val="1"/>
    <w:next w:val="1"/>
    <w:qFormat/>
    <w:uiPriority w:val="0"/>
    <w:pPr>
      <w:spacing w:before="156" w:beforeLines="50" w:after="156" w:afterLines="50"/>
      <w:jc w:val="center"/>
      <w:outlineLvl w:val="0"/>
    </w:pPr>
    <w:rPr>
      <w:rFonts w:eastAsia="黑体"/>
      <w:b/>
      <w:sz w:val="48"/>
    </w:rPr>
  </w:style>
  <w:style w:type="paragraph" w:customStyle="1" w:styleId="5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557">
    <w:name w:val="标题51 Char Char Char"/>
    <w:basedOn w:val="10"/>
    <w:next w:val="10"/>
    <w:qFormat/>
    <w:uiPriority w:val="0"/>
    <w:pPr>
      <w:tabs>
        <w:tab w:val="left" w:pos="1008"/>
        <w:tab w:val="left" w:pos="1307"/>
      </w:tabs>
      <w:spacing w:beforeLines="50" w:after="120" w:line="360" w:lineRule="auto"/>
      <w:ind w:left="1307" w:hanging="992"/>
    </w:pPr>
    <w:rPr>
      <w:rFonts w:ascii="Tahoma" w:hAnsi="Tahoma" w:eastAsia="黑体"/>
      <w:b w:val="0"/>
      <w:bCs/>
      <w:color w:val="000000"/>
      <w:sz w:val="24"/>
    </w:rPr>
  </w:style>
  <w:style w:type="paragraph" w:customStyle="1" w:styleId="558">
    <w:name w:val="SANGFOR_5_标题5"/>
    <w:basedOn w:val="10"/>
    <w:next w:val="151"/>
    <w:qFormat/>
    <w:uiPriority w:val="0"/>
    <w:pPr>
      <w:numPr>
        <w:ilvl w:val="4"/>
        <w:numId w:val="7"/>
      </w:numPr>
      <w:spacing w:beforeLines="50" w:afterLines="50" w:line="360" w:lineRule="auto"/>
    </w:pPr>
    <w:rPr>
      <w:bCs/>
      <w:sz w:val="21"/>
      <w:szCs w:val="21"/>
    </w:rPr>
  </w:style>
  <w:style w:type="paragraph" w:customStyle="1" w:styleId="559">
    <w:name w:val="xl2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560">
    <w:name w:val="xl17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sz w:val="20"/>
    </w:rPr>
  </w:style>
  <w:style w:type="paragraph" w:customStyle="1" w:styleId="5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62">
    <w:name w:val="样式 正文缩进表正文正文非缩进段1特点ALT+Z水上软件正文不缩进四号特点 Char CharNormal ..."/>
    <w:basedOn w:val="12"/>
    <w:qFormat/>
    <w:uiPriority w:val="0"/>
    <w:pPr>
      <w:spacing w:line="360" w:lineRule="auto"/>
      <w:ind w:firstLine="560" w:firstLineChars="200"/>
    </w:pPr>
    <w:rPr>
      <w:rFonts w:eastAsia="仿宋_GB2312" w:cs="宋体"/>
      <w:szCs w:val="24"/>
    </w:rPr>
  </w:style>
  <w:style w:type="paragraph" w:customStyle="1" w:styleId="563">
    <w:name w:val="xl2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564">
    <w:name w:val="SANGFOR_2_标题2"/>
    <w:basedOn w:val="7"/>
    <w:next w:val="151"/>
    <w:qFormat/>
    <w:uiPriority w:val="0"/>
    <w:pPr>
      <w:adjustRightInd/>
      <w:spacing w:before="156" w:beforeLines="50" w:after="156" w:afterLines="50" w:line="240" w:lineRule="auto"/>
      <w:textAlignment w:val="auto"/>
    </w:pPr>
    <w:rPr>
      <w:rFonts w:ascii="宋体" w:hAnsi="宋体" w:eastAsia="宋体"/>
      <w:bCs/>
      <w:sz w:val="24"/>
      <w:szCs w:val="24"/>
    </w:rPr>
  </w:style>
  <w:style w:type="paragraph" w:customStyle="1" w:styleId="565">
    <w:name w:val="标题 22"/>
    <w:basedOn w:val="1"/>
    <w:next w:val="1"/>
    <w:qFormat/>
    <w:uiPriority w:val="0"/>
    <w:pPr>
      <w:keepNext/>
      <w:keepLines/>
      <w:spacing w:before="260" w:after="260" w:line="408" w:lineRule="auto"/>
      <w:outlineLvl w:val="1"/>
    </w:pPr>
    <w:rPr>
      <w:rFonts w:eastAsia="黑体"/>
      <w:b/>
      <w:sz w:val="32"/>
    </w:rPr>
  </w:style>
  <w:style w:type="paragraph" w:customStyle="1" w:styleId="566">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567">
    <w:name w:val="xl4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sz w:val="20"/>
    </w:rPr>
  </w:style>
  <w:style w:type="paragraph" w:customStyle="1" w:styleId="56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569">
    <w:name w:val="pa-2"/>
    <w:basedOn w:val="1"/>
    <w:qFormat/>
    <w:uiPriority w:val="0"/>
    <w:pPr>
      <w:widowControl/>
      <w:spacing w:line="240" w:lineRule="atLeast"/>
      <w:jc w:val="center"/>
    </w:pPr>
    <w:rPr>
      <w:rFonts w:ascii="宋体" w:hAnsi="宋体" w:cs="宋体"/>
      <w:szCs w:val="24"/>
    </w:rPr>
  </w:style>
  <w:style w:type="paragraph" w:customStyle="1" w:styleId="570">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新宋体" w:hAnsi="新宋体" w:eastAsia="新宋体"/>
    </w:rPr>
  </w:style>
  <w:style w:type="paragraph" w:customStyle="1" w:styleId="572">
    <w:name w:val="一级项目编号"/>
    <w:qFormat/>
    <w:uiPriority w:val="0"/>
    <w:pPr>
      <w:tabs>
        <w:tab w:val="left" w:pos="964"/>
      </w:tabs>
      <w:spacing w:line="360" w:lineRule="auto"/>
      <w:ind w:left="720" w:hanging="720"/>
    </w:pPr>
    <w:rPr>
      <w:rFonts w:ascii="Arial Narrow" w:hAnsi="Arial Narrow" w:eastAsia="宋体" w:cs="Times New Roman"/>
      <w:sz w:val="24"/>
      <w:lang w:val="en-US" w:eastAsia="zh-CN" w:bidi="ar-SA"/>
    </w:rPr>
  </w:style>
  <w:style w:type="paragraph" w:customStyle="1" w:styleId="5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75">
    <w:name w:val="表头文本"/>
    <w:qFormat/>
    <w:uiPriority w:val="0"/>
    <w:pPr>
      <w:jc w:val="center"/>
    </w:pPr>
    <w:rPr>
      <w:rFonts w:ascii="Arial" w:hAnsi="Arial" w:eastAsia="宋体" w:cs="Times New Roman"/>
      <w:b/>
      <w:sz w:val="21"/>
      <w:lang w:val="en-US" w:eastAsia="zh-CN" w:bidi="ar-SA"/>
    </w:rPr>
  </w:style>
  <w:style w:type="paragraph" w:customStyle="1" w:styleId="576">
    <w:name w:val="日期1"/>
    <w:basedOn w:val="1"/>
    <w:next w:val="1"/>
    <w:qFormat/>
    <w:uiPriority w:val="0"/>
    <w:pPr>
      <w:adjustRightInd w:val="0"/>
      <w:spacing w:line="312" w:lineRule="atLeast"/>
      <w:textAlignment w:val="baseline"/>
    </w:pPr>
  </w:style>
  <w:style w:type="paragraph" w:customStyle="1" w:styleId="577">
    <w:name w:val="附录标识"/>
    <w:basedOn w:val="330"/>
    <w:qFormat/>
    <w:uiPriority w:val="0"/>
    <w:pPr>
      <w:tabs>
        <w:tab w:val="left" w:pos="6405"/>
      </w:tabs>
      <w:spacing w:after="200"/>
      <w:ind w:left="0" w:firstLine="0"/>
    </w:pPr>
    <w:rPr>
      <w:sz w:val="21"/>
    </w:rPr>
  </w:style>
  <w:style w:type="paragraph" w:customStyle="1" w:styleId="578">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sz w:val="26"/>
    </w:rPr>
  </w:style>
  <w:style w:type="paragraph" w:customStyle="1" w:styleId="579">
    <w:name w:val="xl2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Cs w:val="24"/>
    </w:rPr>
  </w:style>
  <w:style w:type="paragraph" w:customStyle="1" w:styleId="580">
    <w:name w:val="xl1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58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58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583">
    <w:name w:val="办公自动化专用标题"/>
    <w:basedOn w:val="62"/>
    <w:qFormat/>
    <w:uiPriority w:val="0"/>
    <w:pPr>
      <w:spacing w:line="560" w:lineRule="atLeast"/>
    </w:pPr>
    <w:rPr>
      <w:rFonts w:ascii="宋体"/>
      <w:sz w:val="44"/>
    </w:rPr>
  </w:style>
  <w:style w:type="paragraph" w:customStyle="1" w:styleId="584">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85">
    <w:name w:val="Char Char Char Char2"/>
    <w:basedOn w:val="1"/>
    <w:qFormat/>
    <w:uiPriority w:val="0"/>
    <w:pPr>
      <w:spacing w:line="240" w:lineRule="atLeast"/>
      <w:ind w:left="420" w:firstLine="420"/>
    </w:pPr>
  </w:style>
  <w:style w:type="paragraph" w:customStyle="1" w:styleId="586">
    <w:name w:val="正文图标题"/>
    <w:next w:val="331"/>
    <w:qFormat/>
    <w:uiPriority w:val="0"/>
    <w:pPr>
      <w:tabs>
        <w:tab w:val="left" w:pos="720"/>
      </w:tabs>
      <w:ind w:left="720" w:hanging="720"/>
      <w:jc w:val="center"/>
    </w:pPr>
    <w:rPr>
      <w:rFonts w:ascii="黑体" w:hAnsi="Times New Roman" w:eastAsia="黑体" w:cs="Times New Roman"/>
      <w:sz w:val="21"/>
      <w:lang w:val="en-US" w:eastAsia="zh-CN" w:bidi="ar-SA"/>
    </w:rPr>
  </w:style>
  <w:style w:type="paragraph" w:customStyle="1" w:styleId="587">
    <w:name w:val="样式 标题 1H1h1章l1I11st levelHeading 01Header 1Header1Sec...1"/>
    <w:basedOn w:val="6"/>
    <w:qFormat/>
    <w:uiPriority w:val="0"/>
    <w:rPr>
      <w:rFonts w:ascii="黑体" w:hAnsi="黑体" w:eastAsia="黑体" w:cs="宋体"/>
      <w:b w:val="0"/>
      <w:bCs/>
      <w:sz w:val="36"/>
    </w:rPr>
  </w:style>
  <w:style w:type="paragraph" w:customStyle="1" w:styleId="588">
    <w:name w:val="标题 2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589">
    <w:name w:val="xl2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590">
    <w:name w:val="目录"/>
    <w:basedOn w:val="1"/>
    <w:qFormat/>
    <w:uiPriority w:val="0"/>
    <w:pPr>
      <w:widowControl/>
      <w:spacing w:line="480" w:lineRule="auto"/>
      <w:jc w:val="center"/>
    </w:pPr>
    <w:rPr>
      <w:rFonts w:ascii="宋体"/>
      <w:b/>
    </w:rPr>
  </w:style>
  <w:style w:type="paragraph" w:customStyle="1" w:styleId="591">
    <w:name w:val="p16"/>
    <w:basedOn w:val="1"/>
    <w:qFormat/>
    <w:uiPriority w:val="0"/>
    <w:pPr>
      <w:widowControl/>
      <w:ind w:firstLine="420"/>
    </w:pPr>
    <w:rPr>
      <w:rFonts w:ascii="Calibri" w:hAnsi="Calibri" w:cs="宋体"/>
      <w:szCs w:val="21"/>
    </w:rPr>
  </w:style>
  <w:style w:type="paragraph" w:customStyle="1" w:styleId="592">
    <w:name w:val="xl147"/>
    <w:basedOn w:val="1"/>
    <w:qFormat/>
    <w:uiPriority w:val="0"/>
    <w:pPr>
      <w:widowControl/>
      <w:spacing w:before="100" w:beforeAutospacing="1" w:after="100" w:afterAutospacing="1"/>
      <w:jc w:val="center"/>
    </w:pPr>
    <w:rPr>
      <w:rFonts w:ascii="宋体" w:hAnsi="宋体" w:cs="宋体"/>
      <w:szCs w:val="24"/>
    </w:rPr>
  </w:style>
  <w:style w:type="paragraph" w:customStyle="1" w:styleId="593">
    <w:name w:val="xl55"/>
    <w:basedOn w:val="1"/>
    <w:qFormat/>
    <w:uiPriority w:val="0"/>
    <w:pPr>
      <w:widowControl/>
      <w:spacing w:before="100" w:beforeAutospacing="1" w:after="100" w:afterAutospacing="1"/>
      <w:jc w:val="left"/>
    </w:pPr>
    <w:rPr>
      <w:rFonts w:hint="eastAsia" w:ascii="新宋体" w:hAnsi="新宋体" w:eastAsia="新宋体"/>
      <w:sz w:val="22"/>
    </w:rPr>
  </w:style>
  <w:style w:type="paragraph" w:customStyle="1" w:styleId="59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59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96">
    <w:name w:val="图表注释"/>
    <w:basedOn w:val="1"/>
    <w:qFormat/>
    <w:uiPriority w:val="0"/>
    <w:pPr>
      <w:spacing w:line="360" w:lineRule="auto"/>
      <w:jc w:val="center"/>
    </w:pPr>
    <w:rPr>
      <w:rFonts w:ascii="宋体" w:hAnsi="宋体"/>
      <w:bCs/>
      <w:szCs w:val="24"/>
    </w:rPr>
  </w:style>
  <w:style w:type="paragraph" w:customStyle="1" w:styleId="597">
    <w:name w:val="正文缩进1"/>
    <w:basedOn w:val="1"/>
    <w:qFormat/>
    <w:uiPriority w:val="0"/>
    <w:pPr>
      <w:ind w:firstLine="420"/>
    </w:pPr>
    <w:rPr>
      <w:rFonts w:ascii="宋体" w:hAnsi="宋体"/>
    </w:rPr>
  </w:style>
  <w:style w:type="paragraph" w:customStyle="1" w:styleId="598">
    <w:name w:val="xl28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599">
    <w:name w:val="xl2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Cs w:val="24"/>
    </w:rPr>
  </w:style>
  <w:style w:type="paragraph" w:customStyle="1" w:styleId="600">
    <w:name w:val="TOC Heading1"/>
    <w:basedOn w:val="6"/>
    <w:next w:val="1"/>
    <w:qFormat/>
    <w:uiPriority w:val="99"/>
    <w:pPr>
      <w:spacing w:line="578" w:lineRule="auto"/>
      <w:outlineLvl w:val="9"/>
    </w:pPr>
    <w:rPr>
      <w:bCs/>
      <w:szCs w:val="44"/>
    </w:rPr>
  </w:style>
  <w:style w:type="paragraph" w:customStyle="1" w:styleId="601">
    <w:name w:val="图名"/>
    <w:basedOn w:val="12"/>
    <w:qFormat/>
    <w:uiPriority w:val="0"/>
    <w:pPr>
      <w:spacing w:line="360" w:lineRule="auto"/>
      <w:ind w:firstLine="425"/>
    </w:pPr>
  </w:style>
  <w:style w:type="paragraph" w:customStyle="1" w:styleId="602">
    <w:name w:val="Char1 Char Char Char Char Char Char"/>
    <w:basedOn w:val="1"/>
    <w:qFormat/>
    <w:uiPriority w:val="0"/>
    <w:rPr>
      <w:rFonts w:ascii="Tahoma" w:hAnsi="Tahoma"/>
    </w:rPr>
  </w:style>
  <w:style w:type="paragraph" w:customStyle="1" w:styleId="603">
    <w:name w:val="正文（首行缩进2字符）"/>
    <w:basedOn w:val="1"/>
    <w:qFormat/>
    <w:uiPriority w:val="0"/>
    <w:pPr>
      <w:spacing w:line="360" w:lineRule="auto"/>
      <w:ind w:firstLine="480" w:firstLineChars="200"/>
    </w:pPr>
    <w:rPr>
      <w:szCs w:val="24"/>
    </w:rPr>
  </w:style>
  <w:style w:type="paragraph" w:customStyle="1" w:styleId="604">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605">
    <w:name w:val="标题 2 New New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06">
    <w:name w:val="正文表标题"/>
    <w:next w:val="331"/>
    <w:qFormat/>
    <w:uiPriority w:val="0"/>
    <w:pPr>
      <w:tabs>
        <w:tab w:val="left" w:pos="840"/>
      </w:tabs>
      <w:ind w:left="840" w:hanging="840"/>
      <w:jc w:val="center"/>
    </w:pPr>
    <w:rPr>
      <w:rFonts w:ascii="黑体" w:hAnsi="Times New Roman" w:eastAsia="黑体" w:cs="Times New Roman"/>
      <w:sz w:val="21"/>
      <w:lang w:val="en-US" w:eastAsia="zh-CN" w:bidi="ar-SA"/>
    </w:rPr>
  </w:style>
  <w:style w:type="paragraph" w:customStyle="1" w:styleId="607">
    <w:name w:val="Char11"/>
    <w:basedOn w:val="1"/>
    <w:qFormat/>
    <w:uiPriority w:val="0"/>
    <w:pPr>
      <w:widowControl/>
      <w:spacing w:after="160" w:line="240" w:lineRule="exact"/>
      <w:jc w:val="left"/>
    </w:pPr>
    <w:rPr>
      <w:rFonts w:ascii="Verdana" w:hAnsi="Verdana" w:eastAsia="仿宋_GB2312"/>
      <w:lang w:eastAsia="en-US"/>
    </w:rPr>
  </w:style>
  <w:style w:type="paragraph" w:customStyle="1" w:styleId="608">
    <w:name w:val="样式 标题 1H1h1章l1I11st levelHeading 01Header 1Header1Sec...3"/>
    <w:basedOn w:val="6"/>
    <w:qFormat/>
    <w:uiPriority w:val="0"/>
    <w:rPr>
      <w:rFonts w:ascii="黑体" w:hAnsi="黑体" w:eastAsia="黑体" w:cs="宋体"/>
      <w:b w:val="0"/>
      <w:bCs/>
      <w:sz w:val="36"/>
    </w:rPr>
  </w:style>
  <w:style w:type="paragraph" w:customStyle="1" w:styleId="609">
    <w:name w:val="xl17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sz w:val="20"/>
    </w:rPr>
  </w:style>
  <w:style w:type="paragraph" w:customStyle="1" w:styleId="610">
    <w:name w:val="GP正文(无首行缩进)"/>
    <w:basedOn w:val="1"/>
    <w:qFormat/>
    <w:uiPriority w:val="99"/>
    <w:pPr>
      <w:spacing w:line="360" w:lineRule="auto"/>
      <w:ind w:firstLine="480" w:firstLineChars="200"/>
      <w:jc w:val="left"/>
    </w:pPr>
    <w:rPr>
      <w:rFonts w:ascii="Calibri" w:hAnsi="宋体"/>
      <w:szCs w:val="22"/>
    </w:rPr>
  </w:style>
  <w:style w:type="paragraph" w:customStyle="1" w:styleId="611">
    <w:name w:val="xl54"/>
    <w:basedOn w:val="1"/>
    <w:qFormat/>
    <w:uiPriority w:val="0"/>
    <w:pPr>
      <w:widowControl/>
      <w:spacing w:before="100" w:beforeAutospacing="1" w:after="100" w:afterAutospacing="1"/>
      <w:jc w:val="center"/>
    </w:pPr>
    <w:rPr>
      <w:rFonts w:hint="eastAsia" w:ascii="华文中宋" w:hAnsi="华文中宋" w:eastAsia="华文中宋"/>
      <w:b/>
      <w:sz w:val="40"/>
    </w:rPr>
  </w:style>
  <w:style w:type="paragraph" w:customStyle="1" w:styleId="612">
    <w:name w:val="封面1"/>
    <w:basedOn w:val="48"/>
    <w:qFormat/>
    <w:uiPriority w:val="0"/>
    <w:pPr>
      <w:tabs>
        <w:tab w:val="left" w:pos="840"/>
        <w:tab w:val="right" w:leader="dot" w:pos="8296"/>
        <w:tab w:val="clear" w:pos="8303"/>
      </w:tabs>
      <w:spacing w:before="120" w:after="120" w:afterLines="0" w:line="360" w:lineRule="auto"/>
      <w:ind w:firstLine="425"/>
      <w:jc w:val="center"/>
    </w:pPr>
    <w:rPr>
      <w:rFonts w:ascii="黑体" w:hAnsi="Times New Roman" w:eastAsia="黑体"/>
      <w:b w:val="0"/>
      <w:caps/>
      <w:spacing w:val="50"/>
      <w:sz w:val="52"/>
      <w:szCs w:val="24"/>
    </w:rPr>
  </w:style>
  <w:style w:type="paragraph" w:customStyle="1" w:styleId="613">
    <w:name w:val="五级无标题条"/>
    <w:basedOn w:val="1"/>
    <w:qFormat/>
    <w:uiPriority w:val="0"/>
    <w:pPr>
      <w:tabs>
        <w:tab w:val="left" w:pos="2940"/>
      </w:tabs>
      <w:ind w:left="2940" w:hanging="420"/>
    </w:pPr>
  </w:style>
  <w:style w:type="paragraph" w:customStyle="1" w:styleId="614">
    <w:name w:val="标准"/>
    <w:basedOn w:val="1"/>
    <w:qFormat/>
    <w:uiPriority w:val="0"/>
    <w:pPr>
      <w:spacing w:line="0" w:lineRule="atLeast"/>
      <w:ind w:left="480" w:firstLine="425"/>
      <w:jc w:val="right"/>
    </w:pPr>
    <w:rPr>
      <w:rFonts w:ascii="宋体"/>
    </w:rPr>
  </w:style>
  <w:style w:type="paragraph" w:customStyle="1" w:styleId="61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616">
    <w:name w:val="编号，小四"/>
    <w:basedOn w:val="1"/>
    <w:qFormat/>
    <w:uiPriority w:val="99"/>
    <w:pPr>
      <w:tabs>
        <w:tab w:val="left" w:pos="2115"/>
      </w:tabs>
      <w:spacing w:line="360" w:lineRule="auto"/>
      <w:ind w:left="2115" w:hanging="1275"/>
    </w:pPr>
    <w:rPr>
      <w:rFonts w:ascii="Calibri" w:hAnsi="Calibri" w:cs="宋体"/>
    </w:rPr>
  </w:style>
  <w:style w:type="paragraph" w:customStyle="1" w:styleId="617">
    <w:name w:val="封面2"/>
    <w:basedOn w:val="48"/>
    <w:qFormat/>
    <w:uiPriority w:val="0"/>
    <w:pPr>
      <w:tabs>
        <w:tab w:val="left" w:pos="840"/>
        <w:tab w:val="right" w:leader="dot" w:pos="8296"/>
        <w:tab w:val="clear" w:pos="8303"/>
      </w:tabs>
      <w:spacing w:before="120" w:after="120" w:afterLines="0" w:line="360" w:lineRule="auto"/>
      <w:ind w:firstLine="425"/>
      <w:jc w:val="center"/>
    </w:pPr>
    <w:rPr>
      <w:rFonts w:ascii="Times New Roman" w:hAnsi="Times New Roman" w:eastAsia="黑体"/>
      <w:b w:val="0"/>
      <w:caps/>
      <w:sz w:val="52"/>
      <w:szCs w:val="24"/>
    </w:rPr>
  </w:style>
  <w:style w:type="paragraph" w:customStyle="1" w:styleId="618">
    <w:name w:val="font9"/>
    <w:basedOn w:val="1"/>
    <w:qFormat/>
    <w:uiPriority w:val="0"/>
    <w:pPr>
      <w:widowControl/>
      <w:spacing w:before="100" w:beforeAutospacing="1" w:after="100" w:afterAutospacing="1"/>
      <w:jc w:val="left"/>
    </w:pPr>
    <w:rPr>
      <w:rFonts w:hint="eastAsia" w:ascii="新宋体" w:hAnsi="新宋体" w:eastAsia="新宋体"/>
    </w:rPr>
  </w:style>
  <w:style w:type="paragraph" w:customStyle="1" w:styleId="619">
    <w:name w:val="样式 标题 3 + 右侧:  0.42 厘米"/>
    <w:basedOn w:val="8"/>
    <w:qFormat/>
    <w:uiPriority w:val="0"/>
    <w:pPr>
      <w:numPr>
        <w:ilvl w:val="0"/>
        <w:numId w:val="0"/>
      </w:numPr>
      <w:tabs>
        <w:tab w:val="left" w:pos="851"/>
      </w:tabs>
      <w:adjustRightInd/>
      <w:spacing w:line="413" w:lineRule="auto"/>
      <w:textAlignment w:val="auto"/>
    </w:pPr>
    <w:rPr>
      <w:rFonts w:ascii="黑体" w:hAnsi="黑体" w:eastAsia="黑体" w:cs="宋体"/>
      <w:b w:val="0"/>
      <w:sz w:val="30"/>
    </w:rPr>
  </w:style>
  <w:style w:type="paragraph" w:customStyle="1" w:styleId="620">
    <w:name w:val="技术报告表标题"/>
    <w:basedOn w:val="416"/>
    <w:next w:val="416"/>
    <w:qFormat/>
    <w:uiPriority w:val="0"/>
    <w:pPr>
      <w:ind w:firstLine="0" w:firstLineChars="0"/>
      <w:jc w:val="center"/>
    </w:pPr>
    <w:rPr>
      <w:rFonts w:ascii="楷体_GB2312" w:eastAsia="楷体_GB2312"/>
      <w:b/>
    </w:rPr>
  </w:style>
  <w:style w:type="paragraph" w:customStyle="1" w:styleId="621">
    <w:name w:val="_Style 2"/>
    <w:basedOn w:val="1"/>
    <w:qFormat/>
    <w:uiPriority w:val="0"/>
    <w:pPr>
      <w:ind w:firstLine="420" w:firstLineChars="200"/>
    </w:pPr>
  </w:style>
  <w:style w:type="paragraph" w:customStyle="1" w:styleId="622">
    <w:name w:val="标题 2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rPr>
  </w:style>
  <w:style w:type="paragraph" w:customStyle="1" w:styleId="624">
    <w:name w:val="Char2"/>
    <w:basedOn w:val="1"/>
    <w:qFormat/>
    <w:uiPriority w:val="0"/>
    <w:pPr>
      <w:widowControl/>
      <w:ind w:left="432" w:hanging="432"/>
      <w:jc w:val="left"/>
    </w:pPr>
  </w:style>
  <w:style w:type="paragraph" w:customStyle="1" w:styleId="625">
    <w:name w:val="正文3"/>
    <w:basedOn w:val="1"/>
    <w:qFormat/>
    <w:uiPriority w:val="99"/>
    <w:pPr>
      <w:tabs>
        <w:tab w:val="left" w:pos="425"/>
        <w:tab w:val="left" w:pos="480"/>
      </w:tabs>
      <w:spacing w:line="300" w:lineRule="auto"/>
      <w:ind w:left="480" w:hanging="480"/>
    </w:pPr>
    <w:rPr>
      <w:rFonts w:ascii="宋体"/>
    </w:rPr>
  </w:style>
  <w:style w:type="paragraph" w:customStyle="1" w:styleId="626">
    <w:name w:val="样式 标题 4 + (西文) 黑体 加粗"/>
    <w:basedOn w:val="9"/>
    <w:qFormat/>
    <w:uiPriority w:val="0"/>
    <w:pPr>
      <w:tabs>
        <w:tab w:val="left" w:pos="864"/>
      </w:tabs>
      <w:ind w:firstLine="200" w:firstLineChars="200"/>
    </w:pPr>
    <w:rPr>
      <w:rFonts w:ascii="黑体" w:hAnsi="黑体"/>
      <w:b w:val="0"/>
      <w:bCs/>
      <w:sz w:val="30"/>
      <w:szCs w:val="28"/>
    </w:rPr>
  </w:style>
  <w:style w:type="paragraph" w:customStyle="1" w:styleId="627">
    <w:name w:val="xl24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sz w:val="20"/>
    </w:rPr>
  </w:style>
  <w:style w:type="paragraph" w:customStyle="1" w:styleId="628">
    <w:name w:val="列出段落1"/>
    <w:basedOn w:val="1"/>
    <w:qFormat/>
    <w:uiPriority w:val="99"/>
    <w:pPr>
      <w:ind w:firstLine="420"/>
    </w:pPr>
    <w:rPr>
      <w:szCs w:val="24"/>
    </w:rPr>
  </w:style>
  <w:style w:type="paragraph" w:customStyle="1" w:styleId="6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30">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631">
    <w:name w:val="三级条标题 Char Char"/>
    <w:basedOn w:val="502"/>
    <w:next w:val="331"/>
    <w:qFormat/>
    <w:uiPriority w:val="0"/>
    <w:pPr>
      <w:ind w:left="900"/>
      <w:outlineLvl w:val="4"/>
    </w:pPr>
  </w:style>
  <w:style w:type="paragraph" w:customStyle="1" w:styleId="632">
    <w:name w:val="样式 正文文本 + 宋体 首行缩进:  0.74 厘米 行距: 1.5 倍行距"/>
    <w:basedOn w:val="5"/>
    <w:qFormat/>
    <w:uiPriority w:val="0"/>
    <w:pPr>
      <w:autoSpaceDE/>
      <w:autoSpaceDN/>
      <w:adjustRightInd/>
      <w:spacing w:after="120" w:line="360" w:lineRule="auto"/>
      <w:ind w:firstLine="200" w:firstLineChars="200"/>
      <w:jc w:val="both"/>
    </w:pPr>
    <w:rPr>
      <w:rFonts w:ascii="Calibri" w:hAnsi="Calibri"/>
      <w:kern w:val="2"/>
      <w:sz w:val="24"/>
      <w:szCs w:val="22"/>
    </w:rPr>
  </w:style>
  <w:style w:type="paragraph" w:customStyle="1" w:styleId="63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634">
    <w:name w:val="标题 1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635">
    <w:name w:val="xl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6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7">
    <w:name w:val="题注5"/>
    <w:basedOn w:val="1"/>
    <w:next w:val="24"/>
    <w:qFormat/>
    <w:uiPriority w:val="0"/>
    <w:pPr>
      <w:jc w:val="center"/>
    </w:pPr>
    <w:rPr>
      <w:b/>
      <w:color w:val="000000"/>
      <w:szCs w:val="21"/>
    </w:rPr>
  </w:style>
  <w:style w:type="paragraph" w:customStyle="1" w:styleId="63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639">
    <w:name w:val="xl2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Cs w:val="24"/>
    </w:rPr>
  </w:style>
  <w:style w:type="paragraph" w:customStyle="1" w:styleId="640">
    <w:name w:val="样式 正文文本缩进正文文字首行缩进HD正文1特点标题上海中望标准PI正文普通文字正文小标题正文文字缩进 + 首行..."/>
    <w:basedOn w:val="3"/>
    <w:qFormat/>
    <w:uiPriority w:val="0"/>
    <w:pPr>
      <w:spacing w:line="360" w:lineRule="auto"/>
      <w:ind w:left="0" w:leftChars="0" w:firstLine="200" w:firstLineChars="200"/>
    </w:pPr>
    <w:rPr>
      <w:rFonts w:ascii="Times New Roman" w:hAnsi="Times New Roman"/>
      <w:b w:val="0"/>
    </w:rPr>
  </w:style>
  <w:style w:type="paragraph" w:customStyle="1" w:styleId="641">
    <w:name w:val="标准书眉_偶数页"/>
    <w:basedOn w:val="394"/>
    <w:next w:val="1"/>
    <w:qFormat/>
    <w:uiPriority w:val="0"/>
    <w:pPr>
      <w:jc w:val="left"/>
    </w:pPr>
  </w:style>
  <w:style w:type="paragraph" w:customStyle="1" w:styleId="642">
    <w:name w:val="è±ê???±?"/>
    <w:basedOn w:val="1"/>
    <w:qFormat/>
    <w:uiPriority w:val="0"/>
    <w:pPr>
      <w:widowControl/>
      <w:autoSpaceDE w:val="0"/>
      <w:autoSpaceDN w:val="0"/>
      <w:adjustRightInd w:val="0"/>
      <w:snapToGrid w:val="0"/>
      <w:spacing w:before="80" w:after="80" w:line="300" w:lineRule="auto"/>
      <w:ind w:firstLine="425"/>
      <w:jc w:val="left"/>
    </w:pPr>
    <w:rPr>
      <w:rFonts w:ascii="宋体"/>
    </w:rPr>
  </w:style>
  <w:style w:type="paragraph" w:customStyle="1" w:styleId="643">
    <w:name w:val="标题 2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44">
    <w:name w:val="xl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sz w:val="20"/>
    </w:rPr>
  </w:style>
  <w:style w:type="paragraph" w:customStyle="1" w:styleId="645">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646">
    <w:name w:val="表格字"/>
    <w:basedOn w:val="1"/>
    <w:qFormat/>
    <w:uiPriority w:val="0"/>
    <w:pPr>
      <w:adjustRightInd w:val="0"/>
      <w:jc w:val="center"/>
    </w:pPr>
    <w:rPr>
      <w:rFonts w:ascii="宋体"/>
    </w:rPr>
  </w:style>
  <w:style w:type="paragraph" w:customStyle="1" w:styleId="647">
    <w:name w:val="标题 1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648">
    <w:name w:val="其他发布部门"/>
    <w:basedOn w:val="649"/>
    <w:qFormat/>
    <w:uiPriority w:val="0"/>
    <w:pPr>
      <w:spacing w:line="0" w:lineRule="atLeast"/>
    </w:pPr>
    <w:rPr>
      <w:rFonts w:ascii="黑体" w:eastAsia="黑体"/>
      <w:b w:val="0"/>
    </w:rPr>
  </w:style>
  <w:style w:type="paragraph" w:customStyle="1" w:styleId="649">
    <w:name w:val="发布部门"/>
    <w:next w:val="331"/>
    <w:qFormat/>
    <w:uiPriority w:val="0"/>
    <w:pPr>
      <w:jc w:val="center"/>
    </w:pPr>
    <w:rPr>
      <w:rFonts w:ascii="宋体" w:hAnsi="Times New Roman" w:eastAsia="宋体" w:cs="Times New Roman"/>
      <w:b/>
      <w:spacing w:val="20"/>
      <w:w w:val="135"/>
      <w:sz w:val="36"/>
      <w:lang w:val="en-US" w:eastAsia="zh-CN" w:bidi="ar-SA"/>
    </w:rPr>
  </w:style>
  <w:style w:type="paragraph" w:customStyle="1" w:styleId="650">
    <w:name w:val="font5"/>
    <w:basedOn w:val="1"/>
    <w:qFormat/>
    <w:uiPriority w:val="0"/>
    <w:pPr>
      <w:widowControl/>
      <w:spacing w:before="100" w:beforeAutospacing="1" w:after="100" w:afterAutospacing="1"/>
      <w:jc w:val="left"/>
    </w:pPr>
    <w:rPr>
      <w:rFonts w:hint="eastAsia" w:ascii="宋体" w:hAnsi="宋体"/>
    </w:rPr>
  </w:style>
  <w:style w:type="paragraph" w:customStyle="1" w:styleId="651">
    <w:name w:val="xl2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652">
    <w:name w:val="xl2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653">
    <w:name w:val="列表项目"/>
    <w:basedOn w:val="1"/>
    <w:qFormat/>
    <w:uiPriority w:val="0"/>
    <w:pPr>
      <w:tabs>
        <w:tab w:val="left" w:pos="420"/>
        <w:tab w:val="left" w:pos="980"/>
      </w:tabs>
      <w:spacing w:line="288" w:lineRule="auto"/>
      <w:ind w:left="980" w:hanging="360"/>
    </w:pPr>
  </w:style>
  <w:style w:type="paragraph" w:customStyle="1" w:styleId="654">
    <w:name w:val="彩色列表 - 强调文字颜色 12"/>
    <w:basedOn w:val="1"/>
    <w:qFormat/>
    <w:uiPriority w:val="34"/>
    <w:pPr>
      <w:ind w:firstLine="420" w:firstLineChars="200"/>
    </w:pPr>
    <w:rPr>
      <w:rFonts w:ascii="Calibri" w:hAnsi="Calibri"/>
      <w:szCs w:val="22"/>
    </w:rPr>
  </w:style>
  <w:style w:type="paragraph" w:customStyle="1" w:styleId="655">
    <w:name w:val="Char Char"/>
    <w:basedOn w:val="1"/>
    <w:qFormat/>
    <w:uiPriority w:val="0"/>
    <w:pPr>
      <w:widowControl/>
      <w:spacing w:after="160" w:line="240" w:lineRule="exact"/>
      <w:jc w:val="left"/>
    </w:pPr>
    <w:rPr>
      <w:rFonts w:ascii="Verdana" w:hAnsi="Verdana" w:eastAsia="仿宋_GB2312"/>
      <w:lang w:eastAsia="en-US"/>
    </w:rPr>
  </w:style>
  <w:style w:type="paragraph" w:customStyle="1" w:styleId="656">
    <w:name w:val="参考文献、索引标题"/>
    <w:basedOn w:val="330"/>
    <w:next w:val="1"/>
    <w:qFormat/>
    <w:uiPriority w:val="0"/>
    <w:pPr>
      <w:spacing w:after="200"/>
      <w:ind w:left="0" w:firstLine="0"/>
    </w:pPr>
    <w:rPr>
      <w:sz w:val="21"/>
    </w:rPr>
  </w:style>
  <w:style w:type="paragraph" w:customStyle="1" w:styleId="657">
    <w:name w:val="海南模板"/>
    <w:basedOn w:val="1"/>
    <w:next w:val="62"/>
    <w:qFormat/>
    <w:uiPriority w:val="0"/>
    <w:pPr>
      <w:tabs>
        <w:tab w:val="left" w:pos="360"/>
      </w:tabs>
      <w:spacing w:after="120" w:line="460" w:lineRule="exact"/>
    </w:pPr>
    <w:rPr>
      <w:rFonts w:eastAsia="仿宋_GB2312"/>
      <w:sz w:val="28"/>
    </w:rPr>
  </w:style>
  <w:style w:type="paragraph" w:customStyle="1" w:styleId="658">
    <w:name w:val="标题 2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59">
    <w:name w:val="xl2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660">
    <w:name w:val="2"/>
    <w:basedOn w:val="1"/>
    <w:next w:val="37"/>
    <w:qFormat/>
    <w:uiPriority w:val="0"/>
    <w:rPr>
      <w:rFonts w:ascii="宋体" w:hAnsi="Courier New"/>
    </w:rPr>
  </w:style>
  <w:style w:type="paragraph" w:customStyle="1" w:styleId="661">
    <w:name w:val="标题 2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662">
    <w:name w:val="样式 标题 2 + 段前: 0.5 行"/>
    <w:basedOn w:val="7"/>
    <w:qFormat/>
    <w:uiPriority w:val="0"/>
    <w:pPr>
      <w:tabs>
        <w:tab w:val="left" w:pos="927"/>
      </w:tabs>
      <w:spacing w:before="156" w:beforeLines="50" w:after="0" w:line="360" w:lineRule="auto"/>
      <w:ind w:left="927" w:hanging="567"/>
      <w:textAlignment w:val="auto"/>
    </w:pPr>
    <w:rPr>
      <w:rFonts w:eastAsia="宋体"/>
      <w:sz w:val="30"/>
    </w:rPr>
  </w:style>
  <w:style w:type="paragraph" w:customStyle="1" w:styleId="663">
    <w:name w:val="标题 2 New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64">
    <w:name w:val="xl2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66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666">
    <w:name w:val="发布日期"/>
    <w:qFormat/>
    <w:uiPriority w:val="0"/>
    <w:rPr>
      <w:rFonts w:ascii="Times New Roman" w:hAnsi="Times New Roman" w:eastAsia="黑体" w:cs="Times New Roman"/>
      <w:sz w:val="28"/>
      <w:lang w:val="en-US" w:eastAsia="zh-CN" w:bidi="ar-SA"/>
    </w:rPr>
  </w:style>
  <w:style w:type="paragraph" w:customStyle="1" w:styleId="667">
    <w:name w:val="样式 正文首行缩进 + 左侧:  2 字符 首行缩进:  4 字符"/>
    <w:basedOn w:val="1"/>
    <w:qFormat/>
    <w:uiPriority w:val="0"/>
    <w:pPr>
      <w:widowControl/>
      <w:snapToGrid w:val="0"/>
      <w:spacing w:before="40" w:after="120" w:line="360" w:lineRule="auto"/>
      <w:ind w:firstLine="420" w:firstLineChars="200"/>
      <w:jc w:val="left"/>
    </w:pPr>
  </w:style>
  <w:style w:type="paragraph" w:customStyle="1" w:styleId="66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69">
    <w:name w:val="SANGFOR_3_标题3"/>
    <w:basedOn w:val="8"/>
    <w:next w:val="151"/>
    <w:qFormat/>
    <w:uiPriority w:val="0"/>
    <w:pPr>
      <w:numPr>
        <w:ilvl w:val="0"/>
        <w:numId w:val="0"/>
      </w:numPr>
      <w:adjustRightInd/>
      <w:spacing w:before="156" w:beforeLines="50" w:after="156" w:afterLines="50" w:line="360" w:lineRule="auto"/>
      <w:textAlignment w:val="auto"/>
    </w:pPr>
    <w:rPr>
      <w:rFonts w:ascii="微软雅黑" w:hAnsi="微软雅黑" w:eastAsia="微软雅黑"/>
      <w:b w:val="0"/>
      <w:bCs/>
      <w:sz w:val="28"/>
      <w:szCs w:val="28"/>
    </w:rPr>
  </w:style>
  <w:style w:type="paragraph" w:customStyle="1" w:styleId="67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671">
    <w:name w:val="标题 2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672">
    <w:name w:val="xl130"/>
    <w:basedOn w:val="1"/>
    <w:qFormat/>
    <w:uiPriority w:val="0"/>
    <w:pPr>
      <w:widowControl/>
      <w:spacing w:before="100" w:beforeAutospacing="1" w:after="100" w:afterAutospacing="1"/>
      <w:jc w:val="left"/>
    </w:pPr>
    <w:rPr>
      <w:rFonts w:ascii="宋体" w:hAnsi="宋体" w:cs="宋体"/>
      <w:szCs w:val="24"/>
    </w:rPr>
  </w:style>
  <w:style w:type="paragraph" w:customStyle="1" w:styleId="673">
    <w:name w:val="SANGFOR_1_标题1"/>
    <w:basedOn w:val="6"/>
    <w:next w:val="151"/>
    <w:qFormat/>
    <w:uiPriority w:val="0"/>
    <w:pPr>
      <w:numPr>
        <w:ilvl w:val="0"/>
        <w:numId w:val="7"/>
      </w:numPr>
      <w:spacing w:before="468" w:beforeLines="150" w:after="156" w:afterLines="50" w:line="360" w:lineRule="auto"/>
    </w:pPr>
    <w:rPr>
      <w:rFonts w:ascii="微软雅黑" w:hAnsi="微软雅黑" w:eastAsia="微软雅黑"/>
      <w:sz w:val="28"/>
      <w:szCs w:val="28"/>
    </w:rPr>
  </w:style>
  <w:style w:type="paragraph" w:customStyle="1" w:styleId="674">
    <w:name w:val="3"/>
    <w:basedOn w:val="1"/>
    <w:next w:val="37"/>
    <w:qFormat/>
    <w:uiPriority w:val="0"/>
    <w:rPr>
      <w:rFonts w:ascii="宋体" w:hAnsi="Courier New"/>
    </w:rPr>
  </w:style>
  <w:style w:type="paragraph" w:customStyle="1" w:styleId="675">
    <w:name w:val="标题 2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676">
    <w:name w:val="xl2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677">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67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679">
    <w:name w:val="默认段落字体 Para Char Char Char Char Char Char Char Char Char1"/>
    <w:basedOn w:val="1"/>
    <w:qFormat/>
    <w:uiPriority w:val="0"/>
    <w:rPr>
      <w:rFonts w:ascii="Tahoma" w:hAnsi="Tahoma"/>
    </w:rPr>
  </w:style>
  <w:style w:type="paragraph" w:customStyle="1" w:styleId="680">
    <w:name w:val="xl124"/>
    <w:basedOn w:val="1"/>
    <w:qFormat/>
    <w:uiPriority w:val="0"/>
    <w:pPr>
      <w:widowControl/>
      <w:spacing w:before="100" w:beforeAutospacing="1" w:after="100" w:afterAutospacing="1"/>
      <w:jc w:val="left"/>
    </w:pPr>
    <w:rPr>
      <w:rFonts w:ascii="宋体" w:hAnsi="宋体" w:cs="宋体"/>
      <w:szCs w:val="24"/>
    </w:rPr>
  </w:style>
  <w:style w:type="paragraph" w:customStyle="1" w:styleId="681">
    <w:name w:val="Char1 Char Char Char Char Char Char1"/>
    <w:basedOn w:val="1"/>
    <w:qFormat/>
    <w:uiPriority w:val="0"/>
    <w:rPr>
      <w:rFonts w:ascii="Tahoma" w:hAnsi="Tahoma"/>
    </w:rPr>
  </w:style>
  <w:style w:type="paragraph" w:customStyle="1" w:styleId="682">
    <w:name w:val="Char Char Char Char Char Char1 Char Char Char Char Char Char Char Char Char Char Char Char Char Char"/>
    <w:basedOn w:val="1"/>
    <w:qFormat/>
    <w:uiPriority w:val="0"/>
    <w:pPr>
      <w:widowControl/>
      <w:spacing w:after="160" w:line="240" w:lineRule="atLeast"/>
      <w:jc w:val="left"/>
    </w:pPr>
    <w:rPr>
      <w:rFonts w:ascii="Verdana" w:hAnsi="Verdana" w:eastAsia="仿宋_GB2312"/>
      <w:lang w:eastAsia="en-US"/>
    </w:rPr>
  </w:style>
  <w:style w:type="paragraph" w:customStyle="1" w:styleId="683">
    <w:name w:val="标题 2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684">
    <w:name w:val="弱电样2"/>
    <w:basedOn w:val="8"/>
    <w:next w:val="1"/>
    <w:qFormat/>
    <w:uiPriority w:val="99"/>
    <w:pPr>
      <w:numPr>
        <w:ilvl w:val="1"/>
        <w:numId w:val="4"/>
      </w:numPr>
      <w:tabs>
        <w:tab w:val="left" w:pos="630"/>
      </w:tabs>
      <w:adjustRightInd/>
      <w:spacing w:before="240" w:after="120" w:line="360" w:lineRule="auto"/>
      <w:textAlignment w:val="auto"/>
    </w:pPr>
    <w:rPr>
      <w:rFonts w:ascii="黑体" w:hAnsi="Cambria" w:eastAsia="黑体"/>
      <w:bCs/>
      <w:szCs w:val="32"/>
    </w:rPr>
  </w:style>
  <w:style w:type="paragraph" w:customStyle="1" w:styleId="6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86">
    <w:name w:val="表格题注"/>
    <w:next w:val="1"/>
    <w:qFormat/>
    <w:uiPriority w:val="0"/>
    <w:pPr>
      <w:keepLines/>
      <w:tabs>
        <w:tab w:val="left" w:pos="3360"/>
      </w:tabs>
      <w:spacing w:before="312" w:beforeLines="100"/>
      <w:ind w:left="1089" w:hanging="369"/>
      <w:jc w:val="center"/>
    </w:pPr>
    <w:rPr>
      <w:rFonts w:ascii="Arial" w:hAnsi="Arial" w:eastAsia="宋体" w:cs="Times New Roman"/>
      <w:sz w:val="18"/>
      <w:lang w:val="en-US" w:eastAsia="zh-CN" w:bidi="ar-SA"/>
    </w:rPr>
  </w:style>
  <w:style w:type="paragraph" w:customStyle="1" w:styleId="687">
    <w:name w:val="xl2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688">
    <w:name w:val="题注4"/>
    <w:basedOn w:val="1"/>
    <w:next w:val="24"/>
    <w:qFormat/>
    <w:uiPriority w:val="0"/>
    <w:pPr>
      <w:ind w:left="-132" w:leftChars="-64" w:right="-50" w:rightChars="-50" w:hanging="2"/>
      <w:jc w:val="center"/>
    </w:pPr>
    <w:rPr>
      <w:b/>
      <w:color w:val="FF0000"/>
      <w:lang w:val="en-GB"/>
    </w:rPr>
  </w:style>
  <w:style w:type="paragraph" w:customStyle="1" w:styleId="689">
    <w:name w:val="附录表标题"/>
    <w:next w:val="33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9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69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92">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6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94">
    <w:name w:val="封面文档标题"/>
    <w:basedOn w:val="1"/>
    <w:qFormat/>
    <w:uiPriority w:val="0"/>
    <w:pPr>
      <w:widowControl/>
      <w:snapToGrid w:val="0"/>
      <w:spacing w:before="80" w:after="80" w:line="360" w:lineRule="auto"/>
      <w:ind w:left="-103" w:firstLine="480" w:firstLineChars="200"/>
      <w:jc w:val="center"/>
    </w:pPr>
    <w:rPr>
      <w:rFonts w:ascii="宋体" w:hAnsi="宋体"/>
      <w:b/>
      <w:sz w:val="56"/>
    </w:rPr>
  </w:style>
  <w:style w:type="paragraph" w:customStyle="1" w:styleId="695">
    <w:name w:val="表格内容"/>
    <w:basedOn w:val="5"/>
    <w:qFormat/>
    <w:uiPriority w:val="0"/>
    <w:pPr>
      <w:suppressLineNumbers/>
      <w:suppressAutoHyphens/>
      <w:autoSpaceDE/>
      <w:autoSpaceDN/>
      <w:adjustRightInd/>
      <w:spacing w:after="120"/>
    </w:pPr>
    <w:rPr>
      <w:rFonts w:ascii="Times New Roman"/>
      <w:sz w:val="24"/>
      <w:szCs w:val="24"/>
    </w:rPr>
  </w:style>
  <w:style w:type="paragraph" w:customStyle="1" w:styleId="696">
    <w:name w:val="标题 2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697">
    <w:name w:val="xl2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69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9">
    <w:name w:val="xl2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700">
    <w:name w:val="vmStep Instructions"/>
    <w:basedOn w:val="1"/>
    <w:qFormat/>
    <w:uiPriority w:val="99"/>
    <w:pPr>
      <w:widowControl/>
      <w:spacing w:after="80"/>
      <w:jc w:val="left"/>
    </w:pPr>
    <w:rPr>
      <w:bCs/>
      <w:sz w:val="22"/>
      <w:lang w:eastAsia="en-US"/>
    </w:rPr>
  </w:style>
  <w:style w:type="paragraph" w:customStyle="1" w:styleId="701">
    <w:name w:val="四级无标题条"/>
    <w:basedOn w:val="1"/>
    <w:qFormat/>
    <w:uiPriority w:val="0"/>
    <w:pPr>
      <w:tabs>
        <w:tab w:val="left" w:pos="2520"/>
      </w:tabs>
      <w:ind w:left="2520" w:hanging="420"/>
    </w:pPr>
  </w:style>
  <w:style w:type="paragraph" w:customStyle="1" w:styleId="70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704">
    <w:name w:val="xl263"/>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sz w:val="20"/>
    </w:rPr>
  </w:style>
  <w:style w:type="paragraph" w:customStyle="1" w:styleId="705">
    <w:name w:val="IN Feature"/>
    <w:next w:val="47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706">
    <w:name w:val="2册标题3"/>
    <w:basedOn w:val="1"/>
    <w:next w:val="1"/>
    <w:qFormat/>
    <w:uiPriority w:val="0"/>
    <w:pPr>
      <w:spacing w:before="156" w:beforeLines="50" w:after="156" w:afterLines="50"/>
      <w:ind w:left="100" w:leftChars="100"/>
      <w:outlineLvl w:val="2"/>
    </w:pPr>
    <w:rPr>
      <w:rFonts w:eastAsia="黑体"/>
      <w:sz w:val="28"/>
    </w:rPr>
  </w:style>
  <w:style w:type="paragraph" w:customStyle="1" w:styleId="70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08">
    <w:name w:val="表格文本"/>
    <w:qFormat/>
    <w:uiPriority w:val="0"/>
    <w:pPr>
      <w:tabs>
        <w:tab w:val="decimal" w:pos="0"/>
      </w:tabs>
    </w:pPr>
    <w:rPr>
      <w:rFonts w:ascii="Arial" w:hAnsi="Arial" w:eastAsia="宋体" w:cs="Times New Roman"/>
      <w:sz w:val="21"/>
      <w:lang w:val="en-US" w:eastAsia="zh-CN" w:bidi="ar-SA"/>
    </w:rPr>
  </w:style>
  <w:style w:type="paragraph" w:customStyle="1" w:styleId="7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71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711">
    <w:name w:val="xl22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71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eastAsia" w:ascii="新宋体" w:hAnsi="新宋体" w:eastAsia="新宋体"/>
    </w:rPr>
  </w:style>
  <w:style w:type="paragraph" w:customStyle="1" w:styleId="713">
    <w:name w:val="标题 2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714">
    <w:name w:val="xl2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715">
    <w:name w:val="标题 1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16">
    <w:name w:val="xl1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717">
    <w:name w:val="2册标题1"/>
    <w:basedOn w:val="1"/>
    <w:next w:val="1"/>
    <w:qFormat/>
    <w:uiPriority w:val="0"/>
    <w:pPr>
      <w:spacing w:before="156" w:beforeLines="50" w:after="156" w:afterLines="50"/>
      <w:jc w:val="center"/>
      <w:outlineLvl w:val="0"/>
    </w:pPr>
    <w:rPr>
      <w:rFonts w:eastAsia="黑体"/>
      <w:sz w:val="32"/>
    </w:rPr>
  </w:style>
  <w:style w:type="paragraph" w:customStyle="1" w:styleId="718">
    <w:name w:val="Default Paragraph Font Para Char"/>
    <w:basedOn w:val="1"/>
    <w:qFormat/>
    <w:uiPriority w:val="0"/>
    <w:pPr>
      <w:widowControl/>
      <w:spacing w:after="160" w:line="240" w:lineRule="exact"/>
      <w:jc w:val="left"/>
    </w:pPr>
    <w:rPr>
      <w:rFonts w:ascii="Verdana" w:hAnsi="Verdana"/>
      <w:sz w:val="20"/>
      <w:lang w:eastAsia="en-US"/>
    </w:rPr>
  </w:style>
  <w:style w:type="paragraph" w:customStyle="1" w:styleId="7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720">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1">
    <w:name w:val="标题 1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2">
    <w:name w:val="样式 首行缩进:  0.74 厘米"/>
    <w:basedOn w:val="1"/>
    <w:qFormat/>
    <w:uiPriority w:val="0"/>
    <w:pPr>
      <w:spacing w:line="360" w:lineRule="auto"/>
      <w:ind w:firstLine="200" w:firstLineChars="200"/>
    </w:pPr>
    <w:rPr>
      <w:rFonts w:cs="宋体"/>
    </w:rPr>
  </w:style>
  <w:style w:type="paragraph" w:customStyle="1" w:styleId="723">
    <w:name w:val="封面标准号2"/>
    <w:basedOn w:val="724"/>
    <w:qFormat/>
    <w:uiPriority w:val="0"/>
    <w:pPr>
      <w:adjustRightInd w:val="0"/>
      <w:spacing w:before="357" w:line="280" w:lineRule="exact"/>
    </w:pPr>
  </w:style>
  <w:style w:type="paragraph" w:customStyle="1" w:styleId="7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5">
    <w:name w:val="Char Char Char2"/>
    <w:basedOn w:val="1"/>
    <w:qFormat/>
    <w:uiPriority w:val="0"/>
    <w:rPr>
      <w:szCs w:val="24"/>
    </w:rPr>
  </w:style>
  <w:style w:type="paragraph" w:customStyle="1" w:styleId="726">
    <w:name w:val="样式 标题 2H2sect 1.2HD2h2Level 2 Topic Heading2Header 2head...2"/>
    <w:basedOn w:val="7"/>
    <w:qFormat/>
    <w:uiPriority w:val="0"/>
    <w:pPr>
      <w:adjustRightInd/>
      <w:spacing w:line="413" w:lineRule="auto"/>
      <w:textAlignment w:val="auto"/>
    </w:pPr>
    <w:rPr>
      <w:rFonts w:ascii="黑体" w:hAnsi="黑体"/>
      <w:bCs/>
      <w:sz w:val="30"/>
      <w:szCs w:val="30"/>
    </w:rPr>
  </w:style>
  <w:style w:type="paragraph" w:customStyle="1" w:styleId="727">
    <w:name w:val="标题 1 New New New New New New New New New New New New New New New New New New New New New New New New New New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28">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7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7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732">
    <w:name w:val="条文脚注"/>
    <w:basedOn w:val="54"/>
    <w:qFormat/>
    <w:uiPriority w:val="0"/>
    <w:pPr>
      <w:ind w:left="780" w:leftChars="200" w:hanging="360" w:hangingChars="200"/>
      <w:jc w:val="both"/>
    </w:pPr>
    <w:rPr>
      <w:rFonts w:ascii="宋体"/>
    </w:rPr>
  </w:style>
  <w:style w:type="paragraph" w:customStyle="1" w:styleId="733">
    <w:name w:val="Graphic"/>
    <w:basedOn w:val="1"/>
    <w:qFormat/>
    <w:uiPriority w:val="99"/>
    <w:pPr>
      <w:widowControl/>
      <w:spacing w:before="120" w:after="120"/>
      <w:ind w:left="288"/>
      <w:jc w:val="left"/>
    </w:pPr>
    <w:rPr>
      <w:sz w:val="20"/>
      <w:szCs w:val="22"/>
      <w:lang w:eastAsia="en-US"/>
    </w:rPr>
  </w:style>
  <w:style w:type="paragraph" w:customStyle="1" w:styleId="734">
    <w:name w:val="封面_项目建设单位"/>
    <w:basedOn w:val="37"/>
    <w:qFormat/>
    <w:uiPriority w:val="0"/>
    <w:pPr>
      <w:autoSpaceDE w:val="0"/>
      <w:autoSpaceDN w:val="0"/>
      <w:adjustRightInd w:val="0"/>
      <w:spacing w:line="240" w:lineRule="atLeast"/>
      <w:ind w:firstLine="425"/>
      <w:jc w:val="distribute"/>
    </w:pPr>
    <w:rPr>
      <w:rFonts w:ascii="Arial" w:hAnsi="Arial" w:eastAsia="黑体"/>
      <w:color w:val="000000"/>
      <w:sz w:val="32"/>
    </w:rPr>
  </w:style>
  <w:style w:type="paragraph" w:customStyle="1" w:styleId="735">
    <w:name w:val="图"/>
    <w:basedOn w:val="1"/>
    <w:qFormat/>
    <w:uiPriority w:val="0"/>
    <w:pPr>
      <w:keepNext/>
      <w:adjustRightInd w:val="0"/>
      <w:spacing w:before="60" w:after="60" w:line="300" w:lineRule="auto"/>
      <w:jc w:val="center"/>
      <w:textAlignment w:val="center"/>
    </w:pPr>
    <w:rPr>
      <w:snapToGrid w:val="0"/>
      <w:spacing w:val="20"/>
    </w:rPr>
  </w:style>
  <w:style w:type="paragraph" w:customStyle="1" w:styleId="736">
    <w:name w:val="封面标准代替信息"/>
    <w:basedOn w:val="723"/>
    <w:qFormat/>
    <w:uiPriority w:val="0"/>
    <w:pPr>
      <w:kinsoku/>
      <w:overflowPunct/>
      <w:autoSpaceDE/>
      <w:autoSpaceDN/>
      <w:adjustRightInd/>
      <w:spacing w:before="0" w:line="240" w:lineRule="auto"/>
      <w:jc w:val="both"/>
      <w:textAlignment w:val="auto"/>
    </w:pPr>
    <w:rPr>
      <w:kern w:val="2"/>
      <w:sz w:val="21"/>
    </w:rPr>
  </w:style>
  <w:style w:type="paragraph" w:customStyle="1" w:styleId="73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738">
    <w:name w:val="Item List in Table"/>
    <w:qFormat/>
    <w:uiPriority w:val="0"/>
    <w:pPr>
      <w:tabs>
        <w:tab w:val="left" w:pos="284"/>
      </w:tabs>
      <w:spacing w:before="40" w:after="40"/>
      <w:ind w:left="284" w:hanging="284"/>
      <w:jc w:val="both"/>
    </w:pPr>
    <w:rPr>
      <w:rFonts w:ascii="Arial" w:hAnsi="Arial" w:eastAsia="宋体" w:cs="Times New Roman"/>
      <w:sz w:val="18"/>
      <w:lang w:val="en-US" w:eastAsia="zh-CN" w:bidi="ar-SA"/>
    </w:rPr>
  </w:style>
  <w:style w:type="paragraph" w:customStyle="1" w:styleId="73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740">
    <w:name w:val="列出段落3"/>
    <w:basedOn w:val="1"/>
    <w:qFormat/>
    <w:uiPriority w:val="99"/>
    <w:pPr>
      <w:ind w:firstLine="420" w:firstLineChars="200"/>
    </w:pPr>
    <w:rPr>
      <w:rFonts w:ascii="Calibri" w:hAnsi="Calibri"/>
    </w:rPr>
  </w:style>
  <w:style w:type="paragraph" w:customStyle="1" w:styleId="741">
    <w:name w:val="标题 1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42">
    <w:name w:val="xl25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sz w:val="20"/>
    </w:rPr>
  </w:style>
  <w:style w:type="paragraph" w:customStyle="1" w:styleId="743">
    <w:name w:val="xl20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744">
    <w:name w:val="Block"/>
    <w:basedOn w:val="1"/>
    <w:next w:val="128"/>
    <w:qFormat/>
    <w:uiPriority w:val="0"/>
    <w:pPr>
      <w:tabs>
        <w:tab w:val="left" w:pos="0"/>
      </w:tabs>
    </w:pPr>
    <w:rPr>
      <w:rFonts w:eastAsia="楷体_GB2312"/>
      <w:color w:val="000080"/>
      <w:sz w:val="28"/>
      <w:szCs w:val="28"/>
    </w:rPr>
  </w:style>
  <w:style w:type="paragraph" w:customStyle="1" w:styleId="74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746">
    <w:name w:val="标题 3.1"/>
    <w:basedOn w:val="8"/>
    <w:qFormat/>
    <w:uiPriority w:val="0"/>
    <w:pPr>
      <w:numPr>
        <w:numId w:val="0"/>
      </w:numPr>
      <w:tabs>
        <w:tab w:val="left" w:pos="1440"/>
        <w:tab w:val="left" w:pos="1620"/>
      </w:tabs>
      <w:adjustRightInd/>
      <w:spacing w:line="600" w:lineRule="exact"/>
      <w:textAlignment w:val="auto"/>
    </w:pPr>
    <w:rPr>
      <w:rFonts w:ascii="宋体" w:hAnsi="宋体"/>
      <w:bCs/>
      <w:szCs w:val="32"/>
    </w:rPr>
  </w:style>
  <w:style w:type="paragraph" w:customStyle="1" w:styleId="747">
    <w:name w:val="标题 1 New"/>
    <w:basedOn w:val="1"/>
    <w:next w:val="1"/>
    <w:qFormat/>
    <w:uiPriority w:val="99"/>
    <w:pPr>
      <w:keepNext/>
      <w:keepLines/>
      <w:tabs>
        <w:tab w:val="left" w:pos="720"/>
      </w:tabs>
      <w:spacing w:before="340" w:after="330" w:line="578" w:lineRule="auto"/>
      <w:outlineLvl w:val="0"/>
    </w:pPr>
    <w:rPr>
      <w:rFonts w:ascii="Calibri" w:hAnsi="Calibri"/>
      <w:b/>
      <w:bCs/>
      <w:kern w:val="44"/>
      <w:sz w:val="44"/>
      <w:szCs w:val="44"/>
    </w:rPr>
  </w:style>
  <w:style w:type="paragraph" w:customStyle="1" w:styleId="748">
    <w:name w:val="标题 2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749">
    <w:name w:val="技术报告图标题"/>
    <w:basedOn w:val="416"/>
    <w:next w:val="416"/>
    <w:qFormat/>
    <w:uiPriority w:val="0"/>
    <w:pPr>
      <w:ind w:firstLine="0" w:firstLineChars="0"/>
      <w:jc w:val="center"/>
    </w:pPr>
    <w:rPr>
      <w:rFonts w:ascii="楷体_GB2312" w:eastAsia="楷体_GB2312"/>
      <w:b/>
    </w:rPr>
  </w:style>
  <w:style w:type="paragraph" w:customStyle="1" w:styleId="750">
    <w:name w:val="附录五级条标题"/>
    <w:basedOn w:val="751"/>
    <w:next w:val="331"/>
    <w:qFormat/>
    <w:uiPriority w:val="0"/>
    <w:pPr>
      <w:outlineLvl w:val="6"/>
    </w:pPr>
  </w:style>
  <w:style w:type="paragraph" w:customStyle="1" w:styleId="751">
    <w:name w:val="附录四级条标题"/>
    <w:basedOn w:val="752"/>
    <w:next w:val="331"/>
    <w:qFormat/>
    <w:uiPriority w:val="0"/>
    <w:pPr>
      <w:outlineLvl w:val="5"/>
    </w:pPr>
  </w:style>
  <w:style w:type="paragraph" w:customStyle="1" w:styleId="752">
    <w:name w:val="附录三级条标题"/>
    <w:basedOn w:val="525"/>
    <w:next w:val="331"/>
    <w:qFormat/>
    <w:uiPriority w:val="0"/>
    <w:pPr>
      <w:outlineLvl w:val="4"/>
    </w:pPr>
  </w:style>
  <w:style w:type="paragraph" w:customStyle="1" w:styleId="753">
    <w:name w:val="标题 2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754">
    <w:name w:val="标题 2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新宋体" w:hAnsi="新宋体" w:eastAsia="新宋体"/>
      <w:b/>
    </w:rPr>
  </w:style>
  <w:style w:type="paragraph" w:customStyle="1" w:styleId="756">
    <w:name w:val="xl2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757">
    <w:name w:val="tableheading"/>
    <w:basedOn w:val="1"/>
    <w:qFormat/>
    <w:uiPriority w:val="0"/>
    <w:pPr>
      <w:widowControl/>
      <w:spacing w:before="100" w:beforeAutospacing="1" w:after="100" w:afterAutospacing="1"/>
      <w:jc w:val="left"/>
    </w:pPr>
    <w:rPr>
      <w:rFonts w:ascii="宋体" w:hAnsi="宋体"/>
    </w:rPr>
  </w:style>
  <w:style w:type="paragraph" w:customStyle="1" w:styleId="75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59">
    <w:name w:val="列出段落2"/>
    <w:basedOn w:val="1"/>
    <w:qFormat/>
    <w:uiPriority w:val="34"/>
    <w:pPr>
      <w:ind w:firstLine="420" w:firstLineChars="200"/>
    </w:pPr>
    <w:rPr>
      <w:rFonts w:ascii="Calibri" w:hAnsi="Calibri" w:cs="Microsoft Himalaya"/>
    </w:rPr>
  </w:style>
  <w:style w:type="paragraph" w:customStyle="1" w:styleId="760">
    <w:name w:val="默认段落字体 Para Char Char Char Char Char Char Char Char Char2 Char Char Char Char"/>
    <w:basedOn w:val="1"/>
    <w:qFormat/>
    <w:uiPriority w:val="0"/>
    <w:rPr>
      <w:rFonts w:ascii="Tahoma" w:hAnsi="Tahoma"/>
    </w:rPr>
  </w:style>
  <w:style w:type="paragraph" w:customStyle="1" w:styleId="76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sz w:val="20"/>
    </w:rPr>
  </w:style>
  <w:style w:type="paragraph" w:customStyle="1" w:styleId="76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76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4">
    <w:name w:val="xl137"/>
    <w:basedOn w:val="1"/>
    <w:qFormat/>
    <w:uiPriority w:val="0"/>
    <w:pPr>
      <w:widowControl/>
      <w:spacing w:before="100" w:beforeAutospacing="1" w:after="100" w:afterAutospacing="1"/>
      <w:jc w:val="center"/>
    </w:pPr>
    <w:rPr>
      <w:rFonts w:ascii="宋体" w:hAnsi="宋体" w:cs="宋体"/>
      <w:szCs w:val="24"/>
    </w:rPr>
  </w:style>
  <w:style w:type="paragraph" w:customStyle="1" w:styleId="765">
    <w:name w:val="bt"/>
    <w:basedOn w:val="1"/>
    <w:next w:val="5"/>
    <w:qFormat/>
    <w:uiPriority w:val="0"/>
    <w:pPr>
      <w:spacing w:after="120"/>
    </w:pPr>
    <w:rPr>
      <w:szCs w:val="24"/>
    </w:rPr>
  </w:style>
  <w:style w:type="paragraph" w:customStyle="1" w:styleId="766">
    <w:name w:val="_Style 764"/>
    <w:qFormat/>
    <w:uiPriority w:val="0"/>
    <w:rPr>
      <w:rFonts w:ascii="Times New Roman" w:hAnsi="Times New Roman" w:eastAsia="宋体" w:cs="Times New Roman"/>
      <w:kern w:val="2"/>
      <w:sz w:val="21"/>
      <w:lang w:val="en-US" w:eastAsia="zh-CN" w:bidi="ar-SA"/>
    </w:rPr>
  </w:style>
  <w:style w:type="paragraph" w:customStyle="1" w:styleId="7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0"/>
    </w:rPr>
  </w:style>
  <w:style w:type="paragraph" w:customStyle="1" w:styleId="768">
    <w:name w:val="无标题条"/>
    <w:next w:val="331"/>
    <w:qFormat/>
    <w:uiPriority w:val="0"/>
    <w:pPr>
      <w:jc w:val="both"/>
    </w:pPr>
    <w:rPr>
      <w:rFonts w:ascii="Times New Roman" w:hAnsi="Times New Roman" w:eastAsia="宋体" w:cs="Times New Roman"/>
      <w:sz w:val="21"/>
      <w:lang w:val="en-US" w:eastAsia="zh-CN" w:bidi="ar-SA"/>
    </w:rPr>
  </w:style>
  <w:style w:type="paragraph" w:customStyle="1" w:styleId="769">
    <w:name w:val="样式 首行缩进:  2 字符"/>
    <w:basedOn w:val="1"/>
    <w:qFormat/>
    <w:uiPriority w:val="0"/>
    <w:pPr>
      <w:spacing w:line="360" w:lineRule="auto"/>
      <w:ind w:firstLine="480" w:firstLineChars="200"/>
    </w:pPr>
    <w:rPr>
      <w:rFonts w:eastAsia="仿宋_GB2312" w:cs="宋体"/>
      <w:sz w:val="28"/>
    </w:rPr>
  </w:style>
  <w:style w:type="paragraph" w:customStyle="1" w:styleId="770">
    <w:name w:val="标题 2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71">
    <w:name w:val="List Paragraph2"/>
    <w:basedOn w:val="1"/>
    <w:qFormat/>
    <w:uiPriority w:val="34"/>
    <w:pPr>
      <w:ind w:firstLine="420" w:firstLineChars="200"/>
    </w:pPr>
  </w:style>
  <w:style w:type="paragraph" w:customStyle="1" w:styleId="772">
    <w:name w:val="标题 1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77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74">
    <w:name w:val="_Style 3"/>
    <w:basedOn w:val="1"/>
    <w:qFormat/>
    <w:uiPriority w:val="0"/>
    <w:pPr>
      <w:ind w:firstLine="420" w:firstLineChars="200"/>
    </w:pPr>
  </w:style>
  <w:style w:type="paragraph" w:customStyle="1" w:styleId="775">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77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777">
    <w:name w:val="xl266"/>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b/>
      <w:bCs/>
      <w:sz w:val="20"/>
    </w:rPr>
  </w:style>
  <w:style w:type="paragraph" w:customStyle="1" w:styleId="77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80">
    <w:name w:val="xl22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81">
    <w:name w:val="标题 2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782">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83">
    <w:name w:val="表格正文"/>
    <w:basedOn w:val="1"/>
    <w:qFormat/>
    <w:uiPriority w:val="99"/>
    <w:pPr>
      <w:spacing w:line="360" w:lineRule="auto"/>
      <w:jc w:val="left"/>
    </w:pPr>
    <w:rPr>
      <w:rFonts w:ascii="Calibri" w:hAnsi="Calibri"/>
      <w:szCs w:val="22"/>
    </w:rPr>
  </w:style>
  <w:style w:type="paragraph" w:customStyle="1" w:styleId="784">
    <w:name w:val="Notes Text in Table"/>
    <w:qFormat/>
    <w:uiPriority w:val="0"/>
    <w:pPr>
      <w:keepLines/>
      <w:spacing w:before="40" w:after="40"/>
      <w:jc w:val="both"/>
    </w:pPr>
    <w:rPr>
      <w:rFonts w:ascii="Arial" w:hAnsi="Arial" w:eastAsia="楷体_GB2312" w:cs="Times New Roman"/>
      <w:sz w:val="18"/>
      <w:lang w:val="en-US" w:eastAsia="zh-CN" w:bidi="ar-SA"/>
    </w:rPr>
  </w:style>
  <w:style w:type="paragraph" w:customStyle="1" w:styleId="785">
    <w:name w:val="È±Ê¡ÎÄ±¾"/>
    <w:basedOn w:val="1"/>
    <w:qFormat/>
    <w:uiPriority w:val="0"/>
    <w:pPr>
      <w:widowControl/>
      <w:overflowPunct w:val="0"/>
      <w:autoSpaceDE w:val="0"/>
      <w:autoSpaceDN w:val="0"/>
      <w:adjustRightInd w:val="0"/>
      <w:snapToGrid w:val="0"/>
      <w:spacing w:before="80" w:after="80" w:line="300" w:lineRule="auto"/>
      <w:ind w:firstLine="425"/>
      <w:jc w:val="left"/>
      <w:textAlignment w:val="baseline"/>
    </w:pPr>
  </w:style>
  <w:style w:type="paragraph" w:customStyle="1" w:styleId="786">
    <w:name w:val="标题 2 New New New New New New New New New New New New New New New New New New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787">
    <w:name w:val="标题 2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788">
    <w:name w:val="图表脚注"/>
    <w:next w:val="3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89">
    <w:name w:val="xl2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790">
    <w:name w:val="示例"/>
    <w:next w:val="331"/>
    <w:qFormat/>
    <w:uiPriority w:val="0"/>
    <w:pPr>
      <w:tabs>
        <w:tab w:val="left" w:pos="816"/>
      </w:tabs>
      <w:ind w:left="360" w:firstLine="419" w:firstLineChars="233"/>
      <w:jc w:val="both"/>
    </w:pPr>
    <w:rPr>
      <w:rFonts w:ascii="宋体" w:hAnsi="Times New Roman" w:eastAsia="宋体" w:cs="Times New Roman"/>
      <w:sz w:val="18"/>
      <w:lang w:val="en-US" w:eastAsia="zh-CN" w:bidi="ar-SA"/>
    </w:rPr>
  </w:style>
  <w:style w:type="paragraph" w:customStyle="1" w:styleId="791">
    <w:name w:val="注示文本"/>
    <w:basedOn w:val="1"/>
    <w:qFormat/>
    <w:uiPriority w:val="0"/>
    <w:pPr>
      <w:widowControl/>
      <w:pBdr>
        <w:bottom w:val="single" w:color="000000" w:sz="4" w:space="1"/>
      </w:pBdr>
      <w:snapToGrid w:val="0"/>
      <w:spacing w:before="80" w:after="80" w:line="300" w:lineRule="auto"/>
      <w:ind w:left="1701" w:firstLine="360"/>
    </w:pPr>
    <w:rPr>
      <w:rFonts w:eastAsia="楷体_GB2312"/>
      <w:sz w:val="18"/>
    </w:rPr>
  </w:style>
  <w:style w:type="paragraph" w:customStyle="1" w:styleId="792">
    <w:name w:val="GW-标题5"/>
    <w:basedOn w:val="1"/>
    <w:next w:val="1"/>
    <w:qFormat/>
    <w:uiPriority w:val="99"/>
    <w:pPr>
      <w:keepNext/>
      <w:keepLines/>
      <w:spacing w:beforeLines="50" w:afterLines="50" w:line="360" w:lineRule="auto"/>
      <w:outlineLvl w:val="4"/>
    </w:pPr>
    <w:rPr>
      <w:rFonts w:ascii="仿宋_GB2312" w:hAnsi="Calibri" w:eastAsia="仿宋_GB2312"/>
      <w:b/>
      <w:bCs/>
      <w:kern w:val="44"/>
      <w:sz w:val="28"/>
      <w:szCs w:val="22"/>
    </w:rPr>
  </w:style>
  <w:style w:type="paragraph" w:customStyle="1" w:styleId="793">
    <w:name w:val="缺省文本"/>
    <w:basedOn w:val="1"/>
    <w:qFormat/>
    <w:uiPriority w:val="0"/>
    <w:pPr>
      <w:autoSpaceDE w:val="0"/>
      <w:autoSpaceDN w:val="0"/>
      <w:adjustRightInd w:val="0"/>
      <w:jc w:val="left"/>
    </w:pPr>
  </w:style>
  <w:style w:type="paragraph" w:customStyle="1" w:styleId="79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95">
    <w:name w:val="xl2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szCs w:val="24"/>
    </w:rPr>
  </w:style>
  <w:style w:type="paragraph" w:customStyle="1" w:styleId="79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797">
    <w:name w:val="q1"/>
    <w:basedOn w:val="62"/>
    <w:qFormat/>
    <w:uiPriority w:val="0"/>
    <w:pPr>
      <w:tabs>
        <w:tab w:val="left" w:pos="740"/>
      </w:tabs>
      <w:spacing w:line="360" w:lineRule="auto"/>
      <w:ind w:left="740" w:hanging="540"/>
      <w:jc w:val="left"/>
    </w:pPr>
    <w:rPr>
      <w:sz w:val="36"/>
    </w:rPr>
  </w:style>
  <w:style w:type="paragraph" w:customStyle="1" w:styleId="798">
    <w:name w:val="p0"/>
    <w:basedOn w:val="1"/>
    <w:qFormat/>
    <w:uiPriority w:val="0"/>
    <w:pPr>
      <w:widowControl/>
    </w:pPr>
  </w:style>
  <w:style w:type="paragraph" w:customStyle="1" w:styleId="7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0"/>
    </w:rPr>
  </w:style>
  <w:style w:type="paragraph" w:customStyle="1" w:styleId="800">
    <w:name w:val="样式 中软正文 + 首行缩进:  2 字符 Char Char"/>
    <w:basedOn w:val="1"/>
    <w:qFormat/>
    <w:uiPriority w:val="0"/>
    <w:pPr>
      <w:widowControl/>
      <w:overflowPunct w:val="0"/>
      <w:autoSpaceDE w:val="0"/>
      <w:autoSpaceDN w:val="0"/>
      <w:adjustRightInd w:val="0"/>
      <w:spacing w:after="120" w:line="440" w:lineRule="exact"/>
      <w:ind w:firstLine="463" w:firstLineChars="192"/>
      <w:jc w:val="left"/>
      <w:textAlignment w:val="baseline"/>
    </w:pPr>
    <w:rPr>
      <w:rFonts w:ascii="方正仿宋简体" w:hAnsi="宋体" w:eastAsia="方正仿宋简体"/>
      <w:b/>
      <w:szCs w:val="24"/>
    </w:rPr>
  </w:style>
  <w:style w:type="paragraph" w:customStyle="1" w:styleId="801">
    <w:name w:val="Char3"/>
    <w:next w:val="37"/>
    <w:qFormat/>
    <w:uiPriority w:val="0"/>
    <w:rPr>
      <w:rFonts w:ascii="Tahoma" w:hAnsi="Tahoma" w:eastAsia="宋体" w:cs="Times New Roman"/>
      <w:bCs/>
      <w:sz w:val="24"/>
      <w:lang w:val="en-US" w:eastAsia="zh-CN" w:bidi="ar-SA"/>
    </w:rPr>
  </w:style>
  <w:style w:type="paragraph" w:customStyle="1" w:styleId="80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803">
    <w:name w:val="标题 2 New New New New New New New New New New New New New New New New New New New New New New New"/>
    <w:basedOn w:val="1"/>
    <w:next w:val="1"/>
    <w:qFormat/>
    <w:uiPriority w:val="99"/>
    <w:pPr>
      <w:keepNext/>
      <w:keepLines/>
      <w:tabs>
        <w:tab w:val="left" w:pos="1260"/>
      </w:tabs>
      <w:spacing w:before="260" w:after="260" w:line="416" w:lineRule="auto"/>
      <w:outlineLvl w:val="1"/>
    </w:pPr>
    <w:rPr>
      <w:rFonts w:eastAsia="黑体"/>
      <w:b/>
      <w:bCs/>
      <w:sz w:val="32"/>
      <w:szCs w:val="32"/>
    </w:rPr>
  </w:style>
  <w:style w:type="paragraph" w:customStyle="1" w:styleId="804">
    <w:name w:val="xl262"/>
    <w:basedOn w:val="1"/>
    <w:qFormat/>
    <w:uiPriority w:val="0"/>
    <w:pPr>
      <w:widowControl/>
      <w:pBdr>
        <w:top w:val="single" w:color="auto" w:sz="4" w:space="0"/>
        <w:bottom w:val="single" w:color="auto" w:sz="4" w:space="0"/>
      </w:pBdr>
      <w:shd w:val="clear" w:color="FFFFFF" w:fill="FFFFFF"/>
      <w:spacing w:before="100" w:beforeAutospacing="1" w:after="100" w:afterAutospacing="1"/>
      <w:jc w:val="left"/>
    </w:pPr>
    <w:rPr>
      <w:rFonts w:ascii="宋体" w:hAnsi="宋体" w:cs="宋体"/>
      <w:sz w:val="20"/>
    </w:rPr>
  </w:style>
  <w:style w:type="paragraph" w:customStyle="1" w:styleId="805">
    <w:name w:val="正文（首行不缩进）"/>
    <w:basedOn w:val="1"/>
    <w:qFormat/>
    <w:uiPriority w:val="0"/>
    <w:pPr>
      <w:widowControl/>
      <w:snapToGrid w:val="0"/>
      <w:spacing w:before="80" w:after="80" w:line="300" w:lineRule="auto"/>
      <w:ind w:left="1701"/>
    </w:pPr>
  </w:style>
  <w:style w:type="paragraph" w:customStyle="1" w:styleId="806">
    <w:name w:val="标题 2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07">
    <w:name w:val="xl2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808">
    <w:name w:val="实施日期"/>
    <w:basedOn w:val="666"/>
    <w:qFormat/>
    <w:uiPriority w:val="0"/>
    <w:pPr>
      <w:jc w:val="right"/>
    </w:pPr>
  </w:style>
  <w:style w:type="paragraph" w:customStyle="1" w:styleId="80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rPr>
  </w:style>
  <w:style w:type="paragraph" w:customStyle="1" w:styleId="810">
    <w:name w:val="正文段落"/>
    <w:basedOn w:val="1"/>
    <w:qFormat/>
    <w:uiPriority w:val="0"/>
    <w:pPr>
      <w:ind w:firstLine="200" w:firstLineChars="200"/>
    </w:pPr>
    <w:rPr>
      <w:szCs w:val="24"/>
    </w:rPr>
  </w:style>
  <w:style w:type="paragraph" w:customStyle="1" w:styleId="811">
    <w:name w:val="Char Char Char Char Char Char Char Char Char Char Char Char Char Char Char Char"/>
    <w:basedOn w:val="1"/>
    <w:qFormat/>
    <w:uiPriority w:val="0"/>
    <w:pPr>
      <w:widowControl/>
      <w:spacing w:after="160" w:line="240" w:lineRule="exact"/>
      <w:jc w:val="left"/>
    </w:pPr>
    <w:rPr>
      <w:rFonts w:ascii="Verdana" w:hAnsi="Verdana" w:eastAsia="仿宋_GB2312"/>
      <w:lang w:eastAsia="en-US"/>
    </w:rPr>
  </w:style>
  <w:style w:type="paragraph" w:customStyle="1" w:styleId="8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13">
    <w:name w:val="样式2"/>
    <w:basedOn w:val="7"/>
    <w:qFormat/>
    <w:uiPriority w:val="0"/>
    <w:pPr>
      <w:keepLines w:val="0"/>
      <w:adjustRightInd/>
      <w:spacing w:before="0" w:after="0" w:line="360" w:lineRule="auto"/>
      <w:ind w:left="567" w:hanging="567"/>
      <w:jc w:val="left"/>
      <w:textAlignment w:val="auto"/>
    </w:pPr>
    <w:rPr>
      <w:rFonts w:ascii="宋体" w:hAnsi="宋体" w:eastAsia="宋体"/>
      <w:szCs w:val="24"/>
    </w:rPr>
  </w:style>
  <w:style w:type="paragraph" w:customStyle="1" w:styleId="814">
    <w:name w:val="图注"/>
    <w:basedOn w:val="24"/>
    <w:next w:val="21"/>
    <w:qFormat/>
    <w:uiPriority w:val="0"/>
    <w:pPr>
      <w:spacing w:before="0" w:after="0"/>
      <w:jc w:val="center"/>
    </w:pPr>
    <w:rPr>
      <w:rFonts w:ascii="Times New Roman" w:hAnsi="Times New Roman" w:eastAsia="宋体"/>
      <w:sz w:val="21"/>
    </w:rPr>
  </w:style>
  <w:style w:type="paragraph" w:customStyle="1" w:styleId="815">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eastAsia" w:ascii="新宋体" w:hAnsi="新宋体" w:eastAsia="新宋体"/>
    </w:rPr>
  </w:style>
  <w:style w:type="paragraph" w:customStyle="1" w:styleId="816">
    <w:name w:val="1"/>
    <w:basedOn w:val="1"/>
    <w:next w:val="5"/>
    <w:qFormat/>
    <w:uiPriority w:val="0"/>
    <w:pPr>
      <w:widowControl/>
      <w:spacing w:after="120"/>
      <w:jc w:val="left"/>
    </w:pPr>
  </w:style>
  <w:style w:type="paragraph" w:customStyle="1" w:styleId="817">
    <w:name w:val="正文11"/>
    <w:basedOn w:val="1"/>
    <w:qFormat/>
    <w:uiPriority w:val="0"/>
    <w:pPr>
      <w:spacing w:before="60" w:after="60" w:line="360" w:lineRule="auto"/>
      <w:outlineLvl w:val="6"/>
    </w:pPr>
    <w:rPr>
      <w:rFonts w:eastAsia="仿宋_GB2312"/>
    </w:rPr>
  </w:style>
  <w:style w:type="paragraph" w:customStyle="1" w:styleId="818">
    <w:name w:val="标题2"/>
    <w:basedOn w:val="7"/>
    <w:qFormat/>
    <w:uiPriority w:val="0"/>
    <w:pPr>
      <w:tabs>
        <w:tab w:val="left" w:pos="567"/>
      </w:tabs>
      <w:adjustRightInd/>
      <w:spacing w:before="120" w:after="120" w:line="413" w:lineRule="auto"/>
      <w:textAlignment w:val="auto"/>
    </w:pPr>
    <w:rPr>
      <w:rFonts w:ascii="宋体" w:hAnsi="宋体" w:eastAsia="宋体"/>
      <w:spacing w:val="6"/>
      <w:sz w:val="21"/>
    </w:rPr>
  </w:style>
  <w:style w:type="paragraph" w:customStyle="1" w:styleId="819">
    <w:name w:val="xl2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820">
    <w:name w:val="xl2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82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822">
    <w:name w:val="样式 小四 加粗 左 行距: 单倍行距"/>
    <w:basedOn w:val="1"/>
    <w:qFormat/>
    <w:uiPriority w:val="0"/>
    <w:pPr>
      <w:widowControl/>
      <w:tabs>
        <w:tab w:val="left" w:pos="420"/>
      </w:tabs>
      <w:snapToGrid w:val="0"/>
      <w:spacing w:before="40" w:after="40" w:line="300" w:lineRule="auto"/>
      <w:ind w:left="420" w:firstLine="400"/>
      <w:jc w:val="left"/>
    </w:pPr>
  </w:style>
  <w:style w:type="paragraph" w:customStyle="1" w:styleId="823">
    <w:name w:val="xl24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sz w:val="20"/>
    </w:rPr>
  </w:style>
  <w:style w:type="paragraph" w:customStyle="1" w:styleId="824">
    <w:name w:val="样式 样式 首行缩进:  2 字符 + 首行缩进:  2 字符"/>
    <w:basedOn w:val="1"/>
    <w:qFormat/>
    <w:uiPriority w:val="0"/>
    <w:pPr>
      <w:spacing w:beforeLines="50" w:line="360" w:lineRule="auto"/>
      <w:ind w:firstLine="560" w:firstLineChars="200"/>
    </w:pPr>
    <w:rPr>
      <w:rFonts w:eastAsia="仿宋_GB2312" w:cs="宋体"/>
      <w:sz w:val="28"/>
    </w:rPr>
  </w:style>
  <w:style w:type="paragraph" w:customStyle="1" w:styleId="825">
    <w:name w:val="xl99"/>
    <w:basedOn w:val="1"/>
    <w:qFormat/>
    <w:uiPriority w:val="0"/>
    <w:pPr>
      <w:widowControl/>
      <w:spacing w:before="100" w:beforeAutospacing="1" w:after="100" w:afterAutospacing="1"/>
      <w:jc w:val="left"/>
    </w:pPr>
    <w:rPr>
      <w:rFonts w:ascii="宋体" w:hAnsi="宋体" w:cs="宋体"/>
      <w:szCs w:val="24"/>
    </w:rPr>
  </w:style>
  <w:style w:type="paragraph" w:customStyle="1" w:styleId="826">
    <w:name w:val="q3"/>
    <w:basedOn w:val="62"/>
    <w:next w:val="1"/>
    <w:qFormat/>
    <w:uiPriority w:val="0"/>
    <w:pPr>
      <w:tabs>
        <w:tab w:val="left" w:pos="1280"/>
      </w:tabs>
      <w:spacing w:line="360" w:lineRule="auto"/>
      <w:ind w:left="1280" w:hanging="1080"/>
      <w:jc w:val="left"/>
      <w:outlineLvl w:val="2"/>
    </w:pPr>
    <w:rPr>
      <w:sz w:val="28"/>
    </w:rPr>
  </w:style>
  <w:style w:type="paragraph" w:customStyle="1" w:styleId="827">
    <w:name w:val="样式 首行缩进:  2 字符 段后: 0.5 行"/>
    <w:basedOn w:val="1"/>
    <w:qFormat/>
    <w:uiPriority w:val="0"/>
    <w:pPr>
      <w:numPr>
        <w:ilvl w:val="0"/>
        <w:numId w:val="10"/>
      </w:numPr>
      <w:tabs>
        <w:tab w:val="left" w:pos="980"/>
      </w:tabs>
      <w:spacing w:line="360" w:lineRule="auto"/>
      <w:jc w:val="left"/>
    </w:pPr>
    <w:rPr>
      <w:rFonts w:eastAsia="仿宋_GB2312" w:cs="宋体"/>
      <w:sz w:val="28"/>
    </w:rPr>
  </w:style>
  <w:style w:type="paragraph" w:customStyle="1" w:styleId="828">
    <w:name w:val="xl2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29">
    <w:name w:val="正文编码"/>
    <w:basedOn w:val="21"/>
    <w:qFormat/>
    <w:uiPriority w:val="0"/>
    <w:pPr>
      <w:tabs>
        <w:tab w:val="left" w:pos="902"/>
      </w:tabs>
      <w:spacing w:before="120" w:after="0" w:line="360" w:lineRule="auto"/>
      <w:ind w:left="902" w:hanging="482" w:firstLineChars="0"/>
    </w:pPr>
    <w:rPr>
      <w:rFonts w:hAnsi="宋体"/>
      <w:spacing w:val="4"/>
      <w:kern w:val="44"/>
      <w:sz w:val="24"/>
    </w:rPr>
  </w:style>
  <w:style w:type="paragraph" w:customStyle="1" w:styleId="830">
    <w:name w:val="标题 1 New New New New New New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3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32">
    <w:name w:val="1级正文"/>
    <w:basedOn w:val="1"/>
    <w:qFormat/>
    <w:uiPriority w:val="0"/>
    <w:pPr>
      <w:tabs>
        <w:tab w:val="left" w:pos="0"/>
        <w:tab w:val="left" w:pos="400"/>
      </w:tabs>
      <w:spacing w:line="360" w:lineRule="auto"/>
      <w:ind w:firstLine="480" w:firstLineChars="200"/>
      <w:jc w:val="left"/>
    </w:pPr>
  </w:style>
  <w:style w:type="paragraph" w:customStyle="1" w:styleId="833">
    <w:name w:val="Char Char Char1 Char Char Char Char1"/>
    <w:basedOn w:val="1"/>
    <w:qFormat/>
    <w:uiPriority w:val="0"/>
    <w:pPr>
      <w:adjustRightInd w:val="0"/>
      <w:spacing w:line="360" w:lineRule="auto"/>
    </w:pPr>
  </w:style>
  <w:style w:type="paragraph" w:customStyle="1" w:styleId="834">
    <w:name w:val="正文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83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836">
    <w:name w:val="xl25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sz w:val="20"/>
    </w:rPr>
  </w:style>
  <w:style w:type="paragraph" w:customStyle="1" w:styleId="837">
    <w:name w:val="xl150"/>
    <w:basedOn w:val="1"/>
    <w:qFormat/>
    <w:uiPriority w:val="0"/>
    <w:pPr>
      <w:widowControl/>
      <w:spacing w:before="100" w:beforeAutospacing="1" w:after="100" w:afterAutospacing="1"/>
      <w:jc w:val="center"/>
    </w:pPr>
    <w:rPr>
      <w:rFonts w:ascii="宋体" w:hAnsi="宋体" w:cs="宋体"/>
      <w:szCs w:val="24"/>
    </w:rPr>
  </w:style>
  <w:style w:type="paragraph" w:customStyle="1" w:styleId="838">
    <w:name w:val="xl261"/>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pPr>
    <w:rPr>
      <w:rFonts w:ascii="宋体" w:hAnsi="宋体" w:cs="宋体"/>
      <w:sz w:val="20"/>
    </w:rPr>
  </w:style>
  <w:style w:type="paragraph" w:customStyle="1" w:styleId="839">
    <w:name w:val="xl1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840">
    <w:name w:val="xl2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Cs w:val="24"/>
    </w:rPr>
  </w:style>
  <w:style w:type="paragraph" w:customStyle="1" w:styleId="841">
    <w:name w:val="xl2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42">
    <w:name w:val="xl224"/>
    <w:basedOn w:val="1"/>
    <w:qFormat/>
    <w:uiPriority w:val="0"/>
    <w:pPr>
      <w:widowControl/>
      <w:pBdr>
        <w:bottom w:val="single" w:color="auto" w:sz="4" w:space="0"/>
      </w:pBdr>
      <w:spacing w:before="100" w:beforeAutospacing="1" w:after="100" w:afterAutospacing="1"/>
      <w:jc w:val="left"/>
    </w:pPr>
    <w:rPr>
      <w:rFonts w:ascii="宋体" w:hAnsi="宋体" w:cs="宋体"/>
      <w:b/>
      <w:bCs/>
      <w:sz w:val="20"/>
    </w:rPr>
  </w:style>
  <w:style w:type="paragraph" w:customStyle="1" w:styleId="843">
    <w:name w:val="xl117"/>
    <w:basedOn w:val="1"/>
    <w:qFormat/>
    <w:uiPriority w:val="0"/>
    <w:pPr>
      <w:widowControl/>
      <w:spacing w:before="100" w:beforeAutospacing="1" w:after="100" w:afterAutospacing="1"/>
      <w:jc w:val="left"/>
    </w:pPr>
    <w:rPr>
      <w:rFonts w:ascii="宋体" w:hAnsi="宋体" w:cs="宋体"/>
      <w:szCs w:val="24"/>
    </w:rPr>
  </w:style>
  <w:style w:type="paragraph" w:customStyle="1" w:styleId="84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845">
    <w:name w:val="表格名"/>
    <w:basedOn w:val="245"/>
    <w:qFormat/>
    <w:uiPriority w:val="0"/>
    <w:pPr>
      <w:ind w:left="420" w:firstLine="0" w:firstLineChars="0"/>
      <w:jc w:val="center"/>
    </w:pPr>
    <w:rPr>
      <w:rFonts w:ascii="宋体" w:hAnsi="宋体"/>
      <w:b/>
      <w:sz w:val="21"/>
      <w:szCs w:val="21"/>
    </w:rPr>
  </w:style>
  <w:style w:type="paragraph" w:customStyle="1" w:styleId="84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847">
    <w:name w:val="xl24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4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4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85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85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5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853">
    <w:name w:val="标题 1 New New New New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855">
    <w:name w:val="标题 2 New New New New New New New New New New New New New New New New New New New New New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56">
    <w:name w:val="xl180"/>
    <w:basedOn w:val="1"/>
    <w:qFormat/>
    <w:uiPriority w:val="0"/>
    <w:pPr>
      <w:widowControl/>
      <w:spacing w:before="100" w:beforeAutospacing="1" w:after="100" w:afterAutospacing="1"/>
      <w:jc w:val="left"/>
      <w:textAlignment w:val="bottom"/>
    </w:pPr>
    <w:rPr>
      <w:rFonts w:ascii="宋体" w:hAnsi="宋体" w:cs="宋体"/>
      <w:color w:val="000000"/>
      <w:sz w:val="32"/>
      <w:szCs w:val="32"/>
    </w:rPr>
  </w:style>
  <w:style w:type="paragraph" w:customStyle="1" w:styleId="85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5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rPr>
  </w:style>
  <w:style w:type="paragraph" w:customStyle="1" w:styleId="859">
    <w:name w:val="xl2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60">
    <w:name w:val="TOC 标题11"/>
    <w:basedOn w:val="6"/>
    <w:next w:val="1"/>
    <w:qFormat/>
    <w:uiPriority w:val="0"/>
    <w:pPr>
      <w:widowControl/>
      <w:spacing w:line="276" w:lineRule="auto"/>
      <w:jc w:val="left"/>
      <w:outlineLvl w:val="9"/>
    </w:pPr>
    <w:rPr>
      <w:rFonts w:ascii="Cambria" w:hAnsi="Cambria"/>
      <w:bCs/>
      <w:color w:val="365F91"/>
      <w:kern w:val="0"/>
      <w:sz w:val="28"/>
      <w:szCs w:val="28"/>
    </w:rPr>
  </w:style>
  <w:style w:type="paragraph" w:customStyle="1" w:styleId="861">
    <w:name w:val="我的正文"/>
    <w:basedOn w:val="1"/>
    <w:qFormat/>
    <w:uiPriority w:val="0"/>
    <w:pPr>
      <w:spacing w:line="440" w:lineRule="exact"/>
      <w:ind w:firstLine="200" w:firstLineChars="200"/>
      <w:jc w:val="left"/>
    </w:pPr>
    <w:rPr>
      <w:rFonts w:eastAsia="微软雅黑"/>
      <w:szCs w:val="21"/>
    </w:rPr>
  </w:style>
  <w:style w:type="paragraph" w:customStyle="1" w:styleId="86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rPr>
  </w:style>
  <w:style w:type="paragraph" w:customStyle="1" w:styleId="863">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0"/>
    </w:rPr>
  </w:style>
  <w:style w:type="paragraph" w:customStyle="1" w:styleId="864">
    <w:name w:val="样式 标题 2H2sect 1.2HD2h2Level 2 Topic Heading2Header 2head..."/>
    <w:basedOn w:val="7"/>
    <w:qFormat/>
    <w:uiPriority w:val="0"/>
    <w:pPr>
      <w:adjustRightInd/>
      <w:spacing w:line="413" w:lineRule="auto"/>
      <w:textAlignment w:val="auto"/>
    </w:pPr>
    <w:rPr>
      <w:rFonts w:ascii="Times New Roman" w:hAnsi="Times New Roman"/>
      <w:b w:val="0"/>
      <w:bCs/>
      <w:sz w:val="30"/>
      <w:szCs w:val="30"/>
    </w:rPr>
  </w:style>
  <w:style w:type="paragraph" w:customStyle="1" w:styleId="865">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sz w:val="20"/>
    </w:rPr>
  </w:style>
  <w:style w:type="paragraph" w:customStyle="1" w:styleId="866">
    <w:name w:val="标题 2 New New New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7">
    <w:name w:val="标题 2 New New New New New New New New New New New New New New New New New New New New New New New New"/>
    <w:qFormat/>
    <w:uiPriority w:val="99"/>
    <w:pPr>
      <w:keepNext/>
      <w:keepLines/>
      <w:tabs>
        <w:tab w:val="left" w:pos="1260"/>
      </w:tabs>
      <w:spacing w:before="260" w:after="260" w:line="416" w:lineRule="auto"/>
      <w:outlineLvl w:val="1"/>
    </w:pPr>
    <w:rPr>
      <w:rFonts w:ascii="Arial" w:hAnsi="Arial" w:eastAsia="黑体" w:cs="Times New Roman"/>
      <w:b/>
      <w:bCs/>
      <w:kern w:val="2"/>
      <w:sz w:val="32"/>
      <w:szCs w:val="32"/>
      <w:lang w:val="en-US" w:eastAsia="zh-CN" w:bidi="ar-SA"/>
    </w:rPr>
  </w:style>
  <w:style w:type="paragraph" w:customStyle="1" w:styleId="868">
    <w:name w:val="标题 1 New New New New"/>
    <w:qFormat/>
    <w:uiPriority w:val="99"/>
    <w:pPr>
      <w:keepNext/>
      <w:keepLines/>
      <w:tabs>
        <w:tab w:val="left" w:pos="720"/>
      </w:tabs>
      <w:spacing w:before="340" w:after="330" w:line="578" w:lineRule="auto"/>
      <w:outlineLvl w:val="0"/>
    </w:pPr>
    <w:rPr>
      <w:rFonts w:ascii="Calibri" w:hAnsi="Calibri" w:eastAsia="宋体" w:cs="Times New Roman"/>
      <w:b/>
      <w:bCs/>
      <w:kern w:val="44"/>
      <w:sz w:val="44"/>
      <w:szCs w:val="44"/>
      <w:lang w:val="en-US" w:eastAsia="zh-CN" w:bidi="ar-SA"/>
    </w:rPr>
  </w:style>
  <w:style w:type="paragraph" w:customStyle="1" w:styleId="86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870">
    <w:name w:val="xl131"/>
    <w:basedOn w:val="1"/>
    <w:qFormat/>
    <w:uiPriority w:val="0"/>
    <w:pPr>
      <w:widowControl/>
      <w:spacing w:before="100" w:beforeAutospacing="1" w:after="100" w:afterAutospacing="1"/>
      <w:jc w:val="left"/>
    </w:pPr>
    <w:rPr>
      <w:rFonts w:ascii="宋体" w:hAnsi="宋体" w:cs="宋体"/>
      <w:sz w:val="18"/>
      <w:szCs w:val="18"/>
    </w:rPr>
  </w:style>
  <w:style w:type="paragraph" w:customStyle="1" w:styleId="871">
    <w:name w:val="xl2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rPr>
  </w:style>
  <w:style w:type="paragraph" w:customStyle="1" w:styleId="872">
    <w:name w:val="首行缩进"/>
    <w:basedOn w:val="1"/>
    <w:qFormat/>
    <w:uiPriority w:val="0"/>
    <w:pPr>
      <w:ind w:firstLine="480" w:firstLineChars="200"/>
    </w:pPr>
    <w:rPr>
      <w:szCs w:val="24"/>
      <w:lang w:val="zh-CN"/>
    </w:rPr>
  </w:style>
  <w:style w:type="paragraph" w:customStyle="1" w:styleId="873">
    <w:name w:val="列出段落11"/>
    <w:basedOn w:val="1"/>
    <w:qFormat/>
    <w:uiPriority w:val="34"/>
    <w:pPr>
      <w:ind w:firstLine="420" w:firstLineChars="200"/>
    </w:pPr>
    <w:rPr>
      <w:szCs w:val="24"/>
    </w:rPr>
  </w:style>
  <w:style w:type="character" w:customStyle="1" w:styleId="874">
    <w:name w:val="Body1! Char"/>
    <w:link w:val="875"/>
    <w:qFormat/>
    <w:uiPriority w:val="0"/>
    <w:rPr>
      <w:rFonts w:ascii="Arial" w:hAnsi="Arial"/>
      <w:sz w:val="21"/>
      <w:szCs w:val="21"/>
    </w:rPr>
  </w:style>
  <w:style w:type="paragraph" w:customStyle="1" w:styleId="875">
    <w:name w:val="Body1!"/>
    <w:basedOn w:val="1"/>
    <w:link w:val="874"/>
    <w:qFormat/>
    <w:uiPriority w:val="0"/>
    <w:pPr>
      <w:widowControl/>
      <w:tabs>
        <w:tab w:val="left" w:pos="1247"/>
      </w:tabs>
      <w:spacing w:before="120" w:line="288" w:lineRule="auto"/>
      <w:ind w:left="1247" w:firstLine="200" w:firstLineChars="200"/>
      <w:jc w:val="left"/>
    </w:pPr>
    <w:rPr>
      <w:szCs w:val="21"/>
    </w:rPr>
  </w:style>
  <w:style w:type="character" w:customStyle="1" w:styleId="876">
    <w:name w:val="浅色底纹 - 强调文字颜色 2 Char"/>
    <w:qFormat/>
    <w:uiPriority w:val="30"/>
    <w:rPr>
      <w:i/>
      <w:iCs/>
      <w:color w:val="5B9BD5"/>
      <w:kern w:val="2"/>
      <w:sz w:val="21"/>
      <w:szCs w:val="24"/>
    </w:rPr>
  </w:style>
  <w:style w:type="character" w:customStyle="1" w:styleId="877">
    <w:name w:val="标准正文 S字符"/>
    <w:link w:val="878"/>
    <w:qFormat/>
    <w:uiPriority w:val="0"/>
    <w:rPr>
      <w:rFonts w:cs="宋体"/>
      <w:szCs w:val="24"/>
    </w:rPr>
  </w:style>
  <w:style w:type="paragraph" w:customStyle="1" w:styleId="878">
    <w:name w:val="标准正文 S"/>
    <w:basedOn w:val="1"/>
    <w:link w:val="877"/>
    <w:qFormat/>
    <w:uiPriority w:val="0"/>
    <w:pPr>
      <w:spacing w:before="120" w:after="120" w:line="360" w:lineRule="auto"/>
      <w:ind w:firstLine="480"/>
      <w:jc w:val="left"/>
    </w:pPr>
    <w:rPr>
      <w:sz w:val="20"/>
      <w:szCs w:val="24"/>
    </w:rPr>
  </w:style>
  <w:style w:type="character" w:customStyle="1" w:styleId="879">
    <w:name w:val="MM Title Char"/>
    <w:link w:val="880"/>
    <w:qFormat/>
    <w:uiPriority w:val="0"/>
    <w:rPr>
      <w:rFonts w:ascii="Cambria" w:hAnsi="Cambria"/>
      <w:b/>
      <w:bCs/>
      <w:kern w:val="2"/>
      <w:sz w:val="32"/>
      <w:szCs w:val="32"/>
    </w:rPr>
  </w:style>
  <w:style w:type="paragraph" w:customStyle="1" w:styleId="880">
    <w:name w:val="MM Title"/>
    <w:basedOn w:val="62"/>
    <w:link w:val="879"/>
    <w:qFormat/>
    <w:uiPriority w:val="0"/>
    <w:rPr>
      <w:rFonts w:ascii="Cambria" w:hAnsi="Cambria"/>
      <w:bCs/>
      <w:szCs w:val="32"/>
    </w:rPr>
  </w:style>
  <w:style w:type="character" w:customStyle="1" w:styleId="881">
    <w:name w:val="表格内文字 Char"/>
    <w:link w:val="882"/>
    <w:qFormat/>
    <w:uiPriority w:val="0"/>
    <w:rPr>
      <w:rFonts w:ascii="Arial" w:hAnsi="Arial"/>
      <w:color w:val="000000"/>
      <w:kern w:val="2"/>
      <w:sz w:val="18"/>
      <w:szCs w:val="18"/>
    </w:rPr>
  </w:style>
  <w:style w:type="paragraph" w:customStyle="1" w:styleId="882">
    <w:name w:val="表格内文字"/>
    <w:basedOn w:val="1"/>
    <w:link w:val="881"/>
    <w:qFormat/>
    <w:uiPriority w:val="0"/>
    <w:pPr>
      <w:keepLines/>
      <w:widowControl/>
      <w:spacing w:before="40" w:after="40"/>
    </w:pPr>
    <w:rPr>
      <w:color w:val="000000"/>
      <w:sz w:val="18"/>
      <w:szCs w:val="18"/>
    </w:rPr>
  </w:style>
  <w:style w:type="character" w:customStyle="1" w:styleId="883">
    <w:name w:val="样式 首行缩进:  2 字符5 Char"/>
    <w:link w:val="884"/>
    <w:qFormat/>
    <w:uiPriority w:val="0"/>
    <w:rPr>
      <w:rFonts w:cs="宋体"/>
      <w:kern w:val="2"/>
      <w:sz w:val="24"/>
    </w:rPr>
  </w:style>
  <w:style w:type="paragraph" w:customStyle="1" w:styleId="884">
    <w:name w:val="样式 首行缩进:  2 字符5"/>
    <w:basedOn w:val="1"/>
    <w:link w:val="883"/>
    <w:qFormat/>
    <w:uiPriority w:val="0"/>
    <w:pPr>
      <w:spacing w:before="120" w:line="360" w:lineRule="auto"/>
      <w:ind w:firstLine="480" w:firstLineChars="200"/>
    </w:pPr>
  </w:style>
  <w:style w:type="character" w:customStyle="1" w:styleId="885">
    <w:name w:val="apple-style-span"/>
    <w:qFormat/>
    <w:uiPriority w:val="0"/>
  </w:style>
  <w:style w:type="character" w:customStyle="1" w:styleId="886">
    <w:name w:val="样式7 Char"/>
    <w:link w:val="887"/>
    <w:qFormat/>
    <w:uiPriority w:val="0"/>
    <w:rPr>
      <w:rFonts w:ascii="Calibri" w:hAnsi="Calibri"/>
      <w:kern w:val="2"/>
      <w:sz w:val="21"/>
      <w:szCs w:val="21"/>
    </w:rPr>
  </w:style>
  <w:style w:type="paragraph" w:customStyle="1" w:styleId="887">
    <w:name w:val="样式7"/>
    <w:basedOn w:val="1"/>
    <w:next w:val="1"/>
    <w:link w:val="886"/>
    <w:qFormat/>
    <w:uiPriority w:val="0"/>
    <w:pPr>
      <w:numPr>
        <w:ilvl w:val="0"/>
        <w:numId w:val="11"/>
      </w:numPr>
    </w:pPr>
    <w:rPr>
      <w:rFonts w:ascii="Calibri" w:hAnsi="Calibri"/>
      <w:szCs w:val="21"/>
    </w:rPr>
  </w:style>
  <w:style w:type="character" w:customStyle="1" w:styleId="888">
    <w:name w:val="样式 宋体"/>
    <w:qFormat/>
    <w:uiPriority w:val="0"/>
    <w:rPr>
      <w:rFonts w:ascii="宋体" w:hAnsi="宋体" w:eastAsia="宋体"/>
      <w:kern w:val="0"/>
      <w:sz w:val="21"/>
      <w:szCs w:val="32"/>
      <w:lang w:val="en-US" w:eastAsia="zh-CN" w:bidi="ar-SA"/>
    </w:rPr>
  </w:style>
  <w:style w:type="character" w:customStyle="1" w:styleId="889">
    <w:name w:val="样式 14 磅 Char"/>
    <w:link w:val="890"/>
    <w:qFormat/>
    <w:uiPriority w:val="0"/>
    <w:rPr>
      <w:kern w:val="2"/>
      <w:szCs w:val="28"/>
    </w:rPr>
  </w:style>
  <w:style w:type="paragraph" w:customStyle="1" w:styleId="890">
    <w:name w:val="样式 14 磅"/>
    <w:basedOn w:val="1"/>
    <w:link w:val="889"/>
    <w:qFormat/>
    <w:uiPriority w:val="0"/>
    <w:pPr>
      <w:widowControl/>
      <w:tabs>
        <w:tab w:val="right" w:pos="8460"/>
      </w:tabs>
      <w:autoSpaceDE w:val="0"/>
      <w:autoSpaceDN w:val="0"/>
      <w:snapToGrid w:val="0"/>
      <w:spacing w:line="480" w:lineRule="auto"/>
      <w:jc w:val="left"/>
      <w:textAlignment w:val="bottom"/>
    </w:pPr>
    <w:rPr>
      <w:sz w:val="20"/>
      <w:szCs w:val="28"/>
    </w:rPr>
  </w:style>
  <w:style w:type="character" w:customStyle="1" w:styleId="891">
    <w:name w:val="一级Bullet Char"/>
    <w:link w:val="892"/>
    <w:qFormat/>
    <w:uiPriority w:val="0"/>
    <w:rPr>
      <w:rFonts w:ascii="Arial" w:hAnsi="Arial"/>
      <w:sz w:val="24"/>
      <w:szCs w:val="21"/>
    </w:rPr>
  </w:style>
  <w:style w:type="paragraph" w:customStyle="1" w:styleId="892">
    <w:name w:val="一级Bullet"/>
    <w:basedOn w:val="1"/>
    <w:link w:val="891"/>
    <w:qFormat/>
    <w:uiPriority w:val="0"/>
    <w:pPr>
      <w:spacing w:beforeLines="50" w:afterLines="50" w:line="360" w:lineRule="auto"/>
    </w:pPr>
    <w:rPr>
      <w:szCs w:val="21"/>
    </w:rPr>
  </w:style>
  <w:style w:type="character" w:customStyle="1" w:styleId="893">
    <w:name w:val="投标文件 正文首行缩进 Char"/>
    <w:link w:val="894"/>
    <w:qFormat/>
    <w:uiPriority w:val="0"/>
    <w:rPr>
      <w:rFonts w:ascii="Arial" w:hAnsi="Arial"/>
      <w:kern w:val="2"/>
      <w:sz w:val="21"/>
      <w:szCs w:val="24"/>
    </w:rPr>
  </w:style>
  <w:style w:type="paragraph" w:customStyle="1" w:styleId="894">
    <w:name w:val="投标文件 正文首行缩进"/>
    <w:basedOn w:val="2"/>
    <w:link w:val="893"/>
    <w:qFormat/>
    <w:uiPriority w:val="0"/>
    <w:pPr>
      <w:spacing w:after="220" w:line="360" w:lineRule="auto"/>
      <w:ind w:left="0" w:leftChars="0" w:firstLine="200"/>
    </w:pPr>
    <w:rPr>
      <w:rFonts w:ascii="Arial" w:hAnsi="Arial"/>
      <w:b w:val="0"/>
    </w:rPr>
  </w:style>
  <w:style w:type="character" w:customStyle="1" w:styleId="895">
    <w:name w:val="彩色列表 - 强调文字颜色 1字符"/>
    <w:qFormat/>
    <w:locked/>
    <w:uiPriority w:val="0"/>
    <w:rPr>
      <w:rFonts w:ascii="Calibri" w:hAnsi="Calibri"/>
      <w:kern w:val="2"/>
      <w:sz w:val="21"/>
      <w:szCs w:val="22"/>
    </w:rPr>
  </w:style>
  <w:style w:type="paragraph" w:customStyle="1" w:styleId="896">
    <w:name w:val="Char Char1 Char Char Char Char Char Char1"/>
    <w:basedOn w:val="1"/>
    <w:qFormat/>
    <w:uiPriority w:val="0"/>
    <w:pPr>
      <w:widowControl/>
      <w:spacing w:after="160" w:line="240" w:lineRule="exact"/>
      <w:jc w:val="left"/>
    </w:pPr>
    <w:rPr>
      <w:rFonts w:ascii="Verdana" w:hAnsi="Verdana" w:eastAsia="仿宋_GB2312"/>
      <w:lang w:eastAsia="en-US"/>
    </w:rPr>
  </w:style>
  <w:style w:type="paragraph" w:customStyle="1" w:styleId="897">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898">
    <w:name w:val="Char Char1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899">
    <w:name w:val="sub 1"/>
    <w:basedOn w:val="1"/>
    <w:qFormat/>
    <w:uiPriority w:val="0"/>
    <w:pPr>
      <w:numPr>
        <w:ilvl w:val="0"/>
        <w:numId w:val="12"/>
      </w:numPr>
      <w:spacing w:before="120" w:after="60"/>
    </w:pPr>
  </w:style>
  <w:style w:type="paragraph" w:customStyle="1" w:styleId="900">
    <w:name w:val="back"/>
    <w:basedOn w:val="1"/>
    <w:qFormat/>
    <w:uiPriority w:val="0"/>
    <w:pPr>
      <w:widowControl/>
      <w:spacing w:before="100" w:beforeAutospacing="1" w:after="100" w:afterAutospacing="1"/>
      <w:jc w:val="left"/>
    </w:pPr>
    <w:rPr>
      <w:rFonts w:ascii="宋体" w:hAnsi="宋体" w:cs="宋体"/>
      <w:szCs w:val="24"/>
    </w:rPr>
  </w:style>
  <w:style w:type="paragraph" w:customStyle="1" w:styleId="901">
    <w:name w:val="Char Char1 Char Char Char Char Char Char Char Char Char Char Char Char Char Char1"/>
    <w:basedOn w:val="1"/>
    <w:qFormat/>
    <w:uiPriority w:val="0"/>
    <w:pPr>
      <w:widowControl/>
      <w:spacing w:after="160" w:line="240" w:lineRule="exact"/>
      <w:jc w:val="left"/>
    </w:pPr>
    <w:rPr>
      <w:rFonts w:ascii="Verdana" w:hAnsi="Verdana"/>
      <w:sz w:val="20"/>
      <w:lang w:eastAsia="en-US"/>
    </w:rPr>
  </w:style>
  <w:style w:type="paragraph" w:customStyle="1" w:styleId="902">
    <w:name w:val="标题 61"/>
    <w:basedOn w:val="1"/>
    <w:qFormat/>
    <w:uiPriority w:val="0"/>
    <w:pPr>
      <w:widowControl/>
      <w:numPr>
        <w:ilvl w:val="1"/>
        <w:numId w:val="13"/>
      </w:numPr>
      <w:tabs>
        <w:tab w:val="left" w:pos="1152"/>
        <w:tab w:val="clear" w:pos="576"/>
      </w:tabs>
      <w:autoSpaceDE w:val="0"/>
      <w:autoSpaceDN w:val="0"/>
      <w:ind w:left="1152" w:hanging="1152"/>
      <w:jc w:val="left"/>
    </w:pPr>
    <w:rPr>
      <w:kern w:val="24"/>
      <w:sz w:val="20"/>
    </w:rPr>
  </w:style>
  <w:style w:type="paragraph" w:customStyle="1" w:styleId="903">
    <w:name w:val="标题 71"/>
    <w:basedOn w:val="1"/>
    <w:qFormat/>
    <w:uiPriority w:val="0"/>
    <w:pPr>
      <w:widowControl/>
      <w:numPr>
        <w:ilvl w:val="2"/>
        <w:numId w:val="13"/>
      </w:numPr>
      <w:tabs>
        <w:tab w:val="left" w:pos="1296"/>
        <w:tab w:val="clear" w:pos="720"/>
      </w:tabs>
      <w:autoSpaceDE w:val="0"/>
      <w:autoSpaceDN w:val="0"/>
      <w:ind w:left="1296" w:hanging="1296"/>
      <w:jc w:val="left"/>
    </w:pPr>
    <w:rPr>
      <w:kern w:val="24"/>
      <w:sz w:val="20"/>
    </w:rPr>
  </w:style>
  <w:style w:type="paragraph" w:customStyle="1" w:styleId="904">
    <w:name w:val="标题 81"/>
    <w:basedOn w:val="1"/>
    <w:qFormat/>
    <w:uiPriority w:val="0"/>
    <w:pPr>
      <w:widowControl/>
      <w:numPr>
        <w:ilvl w:val="3"/>
        <w:numId w:val="13"/>
      </w:numPr>
      <w:tabs>
        <w:tab w:val="left" w:pos="1440"/>
        <w:tab w:val="clear" w:pos="864"/>
      </w:tabs>
      <w:autoSpaceDE w:val="0"/>
      <w:autoSpaceDN w:val="0"/>
      <w:ind w:left="1440" w:hanging="1440"/>
      <w:jc w:val="left"/>
    </w:pPr>
    <w:rPr>
      <w:kern w:val="24"/>
      <w:sz w:val="20"/>
    </w:rPr>
  </w:style>
  <w:style w:type="paragraph" w:customStyle="1" w:styleId="905">
    <w:name w:val="目录标题1"/>
    <w:basedOn w:val="6"/>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906">
    <w:name w:val="样式 样式 正文文本正文文本 Char + 首行缩进:  2 字符 + 首行缩进:  2 字符"/>
    <w:basedOn w:val="1"/>
    <w:qFormat/>
    <w:uiPriority w:val="0"/>
    <w:pPr>
      <w:widowControl/>
      <w:snapToGrid w:val="0"/>
      <w:spacing w:after="120" w:line="360" w:lineRule="auto"/>
      <w:ind w:firstLine="420" w:firstLineChars="200"/>
      <w:jc w:val="left"/>
    </w:pPr>
    <w:rPr>
      <w:rFonts w:cs="宋体"/>
    </w:rPr>
  </w:style>
  <w:style w:type="paragraph" w:customStyle="1" w:styleId="907">
    <w:name w:val="样式 标题 3 + 宋体 小三 左 段前: 2.5 磅 段后: 2.5 磅 行距: 1.5 倍行距"/>
    <w:basedOn w:val="8"/>
    <w:qFormat/>
    <w:uiPriority w:val="0"/>
    <w:pPr>
      <w:numPr>
        <w:ilvl w:val="0"/>
        <w:numId w:val="14"/>
      </w:numPr>
      <w:adjustRightInd/>
      <w:spacing w:before="50" w:after="50" w:line="360" w:lineRule="auto"/>
      <w:jc w:val="left"/>
      <w:textAlignment w:val="auto"/>
    </w:pPr>
    <w:rPr>
      <w:rFonts w:ascii="宋体" w:hAnsi="宋体" w:cs="宋体"/>
      <w:bCs/>
      <w:sz w:val="30"/>
    </w:rPr>
  </w:style>
  <w:style w:type="paragraph" w:customStyle="1" w:styleId="908">
    <w:name w:val="正文小四"/>
    <w:basedOn w:val="1"/>
    <w:qFormat/>
    <w:uiPriority w:val="0"/>
    <w:pPr>
      <w:spacing w:beforeLines="50" w:afterLines="50" w:line="400" w:lineRule="exact"/>
    </w:pPr>
    <w:rPr>
      <w:color w:val="000000"/>
      <w:szCs w:val="24"/>
    </w:rPr>
  </w:style>
  <w:style w:type="paragraph" w:customStyle="1" w:styleId="909">
    <w:name w:val="ZTE标题4"/>
    <w:basedOn w:val="1"/>
    <w:qFormat/>
    <w:uiPriority w:val="0"/>
    <w:pPr>
      <w:keepNext/>
      <w:widowControl/>
      <w:numPr>
        <w:ilvl w:val="0"/>
        <w:numId w:val="15"/>
      </w:numPr>
      <w:tabs>
        <w:tab w:val="left" w:pos="855"/>
      </w:tabs>
      <w:spacing w:before="200" w:after="120"/>
      <w:jc w:val="left"/>
      <w:outlineLvl w:val="3"/>
    </w:pPr>
    <w:rPr>
      <w:b/>
      <w:szCs w:val="21"/>
      <w:lang w:val="pt-BR" w:eastAsia="en-US"/>
    </w:rPr>
  </w:style>
  <w:style w:type="paragraph" w:customStyle="1" w:styleId="910">
    <w:name w:val="正文首行缩进2字"/>
    <w:basedOn w:val="1"/>
    <w:qFormat/>
    <w:uiPriority w:val="0"/>
    <w:pPr>
      <w:spacing w:before="100" w:beforeAutospacing="1" w:after="100" w:afterAutospacing="1"/>
      <w:ind w:firstLine="560" w:firstLineChars="200"/>
    </w:pPr>
    <w:rPr>
      <w:rFonts w:eastAsia="楷体_GB2312"/>
      <w:sz w:val="28"/>
      <w:szCs w:val="24"/>
    </w:rPr>
  </w:style>
  <w:style w:type="paragraph" w:customStyle="1" w:styleId="911">
    <w:name w:val="BodyText"/>
    <w:basedOn w:val="1"/>
    <w:qFormat/>
    <w:uiPriority w:val="0"/>
    <w:pPr>
      <w:widowControl/>
      <w:autoSpaceDE w:val="0"/>
      <w:autoSpaceDN w:val="0"/>
      <w:spacing w:before="120" w:after="120" w:line="360" w:lineRule="auto"/>
      <w:ind w:firstLine="540"/>
    </w:pPr>
    <w:rPr>
      <w:rFonts w:ascii="宋体"/>
      <w:sz w:val="28"/>
    </w:rPr>
  </w:style>
  <w:style w:type="paragraph" w:customStyle="1" w:styleId="912">
    <w:name w:val="正文＋小四＋缩进2字符"/>
    <w:basedOn w:val="1"/>
    <w:qFormat/>
    <w:uiPriority w:val="0"/>
    <w:pPr>
      <w:spacing w:line="360" w:lineRule="auto"/>
      <w:ind w:firstLine="200" w:firstLineChars="200"/>
    </w:pPr>
    <w:rPr>
      <w:szCs w:val="24"/>
    </w:rPr>
  </w:style>
  <w:style w:type="paragraph" w:customStyle="1" w:styleId="913">
    <w:name w:val="标准正文"/>
    <w:basedOn w:val="1"/>
    <w:qFormat/>
    <w:uiPriority w:val="0"/>
    <w:pPr>
      <w:spacing w:line="360" w:lineRule="auto"/>
      <w:ind w:firstLine="420" w:firstLineChars="200"/>
      <w:jc w:val="left"/>
    </w:pPr>
    <w:rPr>
      <w:rFonts w:cs="宋体"/>
      <w:szCs w:val="32"/>
    </w:rPr>
  </w:style>
  <w:style w:type="paragraph" w:customStyle="1" w:styleId="914">
    <w:name w:val="样式 段落缩进2 小四 + 段前: 15.6 磅"/>
    <w:basedOn w:val="1"/>
    <w:qFormat/>
    <w:uiPriority w:val="0"/>
    <w:pPr>
      <w:spacing w:before="312" w:line="360" w:lineRule="auto"/>
      <w:ind w:firstLine="480" w:firstLineChars="200"/>
    </w:pPr>
    <w:rPr>
      <w:rFonts w:ascii="宋体" w:hAnsi="宋体"/>
    </w:rPr>
  </w:style>
  <w:style w:type="paragraph" w:customStyle="1" w:styleId="915">
    <w:name w:val="方案正文"/>
    <w:basedOn w:val="1"/>
    <w:link w:val="916"/>
    <w:qFormat/>
    <w:uiPriority w:val="0"/>
    <w:pPr>
      <w:spacing w:beforeLines="50" w:afterLines="50" w:line="360" w:lineRule="auto"/>
    </w:pPr>
    <w:rPr>
      <w:rFonts w:ascii="宋体" w:hAnsi="宋体" w:eastAsia="微软雅黑"/>
      <w:szCs w:val="24"/>
    </w:rPr>
  </w:style>
  <w:style w:type="character" w:customStyle="1" w:styleId="916">
    <w:name w:val="方案正文 Char"/>
    <w:link w:val="915"/>
    <w:qFormat/>
    <w:uiPriority w:val="0"/>
    <w:rPr>
      <w:rFonts w:ascii="宋体" w:hAnsi="宋体" w:eastAsia="微软雅黑"/>
      <w:kern w:val="2"/>
      <w:sz w:val="24"/>
      <w:szCs w:val="24"/>
    </w:rPr>
  </w:style>
  <w:style w:type="paragraph" w:customStyle="1" w:styleId="917">
    <w:name w:val="列表段落11"/>
    <w:basedOn w:val="1"/>
    <w:qFormat/>
    <w:uiPriority w:val="0"/>
    <w:pPr>
      <w:ind w:firstLine="420" w:firstLineChars="200"/>
    </w:pPr>
    <w:rPr>
      <w:rFonts w:ascii="Calibri" w:hAnsi="Calibri"/>
      <w:szCs w:val="22"/>
    </w:rPr>
  </w:style>
  <w:style w:type="character" w:customStyle="1" w:styleId="918">
    <w:name w:val="NormalCharacter"/>
    <w:qFormat/>
    <w:uiPriority w:val="0"/>
  </w:style>
  <w:style w:type="paragraph" w:customStyle="1" w:styleId="919">
    <w:name w:val="正文段"/>
    <w:basedOn w:val="1"/>
    <w:qFormat/>
    <w:uiPriority w:val="0"/>
    <w:pPr>
      <w:widowControl/>
      <w:snapToGrid w:val="0"/>
      <w:spacing w:afterLines="50"/>
      <w:ind w:firstLine="200" w:firstLineChars="200"/>
    </w:pPr>
    <w:rPr>
      <w:rFonts w:ascii="Calibri" w:hAnsi="Calibri"/>
    </w:rPr>
  </w:style>
  <w:style w:type="paragraph" w:customStyle="1" w:styleId="9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1">
    <w:name w:val="fontstyle11"/>
    <w:qFormat/>
    <w:uiPriority w:val="0"/>
    <w:rPr>
      <w:rFonts w:hint="eastAsia" w:ascii="DejaVuSans" w:eastAsia="DejaVuSans"/>
      <w:color w:val="000000"/>
      <w:sz w:val="20"/>
      <w:szCs w:val="20"/>
    </w:rPr>
  </w:style>
  <w:style w:type="character" w:customStyle="1" w:styleId="922">
    <w:name w:val="font51"/>
    <w:qFormat/>
    <w:uiPriority w:val="0"/>
    <w:rPr>
      <w:rFonts w:hint="default" w:ascii="Times New Roman" w:hAnsi="Times New Roman" w:cs="Times New Roman"/>
      <w:b/>
      <w:bCs/>
      <w:color w:val="000000"/>
      <w:sz w:val="22"/>
      <w:szCs w:val="22"/>
      <w:u w:val="none"/>
    </w:rPr>
  </w:style>
  <w:style w:type="character" w:customStyle="1" w:styleId="923">
    <w:name w:val="pr_basic_title"/>
    <w:qFormat/>
    <w:uiPriority w:val="0"/>
  </w:style>
  <w:style w:type="paragraph" w:customStyle="1" w:styleId="924">
    <w:name w:val="UserStyle_67"/>
    <w:qFormat/>
    <w:uiPriority w:val="0"/>
    <w:pPr>
      <w:spacing w:line="360" w:lineRule="auto"/>
      <w:ind w:firstLine="200" w:firstLineChars="200"/>
      <w:textAlignment w:val="baseline"/>
    </w:pPr>
    <w:rPr>
      <w:rFonts w:ascii="Times New Roman" w:hAnsi="Times New Roman" w:eastAsia="宋?" w:cs="Times New Roman"/>
      <w:kern w:val="2"/>
      <w:sz w:val="24"/>
      <w:szCs w:val="21"/>
      <w:lang w:val="en-US" w:eastAsia="zh-CN" w:bidi="ar-SA"/>
    </w:rPr>
  </w:style>
  <w:style w:type="paragraph" w:customStyle="1" w:styleId="925">
    <w:name w:val="Mo_表格五号"/>
    <w:basedOn w:val="1"/>
    <w:qFormat/>
    <w:uiPriority w:val="0"/>
    <w:pPr>
      <w:widowControl/>
      <w:spacing w:line="276" w:lineRule="auto"/>
      <w:jc w:val="center"/>
    </w:pPr>
    <w:rPr>
      <w:sz w:val="18"/>
      <w:szCs w:val="21"/>
    </w:rPr>
  </w:style>
  <w:style w:type="character" w:customStyle="1" w:styleId="926">
    <w:name w:val="sharebtn_m"/>
    <w:basedOn w:val="63"/>
    <w:qFormat/>
    <w:uiPriority w:val="0"/>
    <w:rPr>
      <w:vanish/>
    </w:rPr>
  </w:style>
  <w:style w:type="character" w:customStyle="1" w:styleId="927">
    <w:name w:val="txtbg"/>
    <w:basedOn w:val="63"/>
    <w:qFormat/>
    <w:uiPriority w:val="0"/>
    <w:rPr>
      <w:shd w:val="clear" w:color="auto" w:fill="000000"/>
    </w:rPr>
  </w:style>
  <w:style w:type="character" w:customStyle="1" w:styleId="928">
    <w:name w:val="txtbg1"/>
    <w:basedOn w:val="63"/>
    <w:qFormat/>
    <w:uiPriority w:val="0"/>
    <w:rPr>
      <w:shd w:val="clear" w:color="auto" w:fill="000000"/>
    </w:rPr>
  </w:style>
  <w:style w:type="character" w:customStyle="1" w:styleId="929">
    <w:name w:val="llcs4"/>
    <w:basedOn w:val="63"/>
    <w:qFormat/>
    <w:uiPriority w:val="0"/>
    <w:rPr>
      <w:vanish/>
    </w:rPr>
  </w:style>
  <w:style w:type="character" w:customStyle="1" w:styleId="930">
    <w:name w:val="llcs_lm"/>
    <w:basedOn w:val="63"/>
    <w:qFormat/>
    <w:uiPriority w:val="0"/>
    <w:rPr>
      <w:vanish/>
    </w:rPr>
  </w:style>
  <w:style w:type="character" w:customStyle="1" w:styleId="931">
    <w:name w:val="txt"/>
    <w:basedOn w:val="63"/>
    <w:qFormat/>
    <w:uiPriority w:val="0"/>
    <w:rPr>
      <w:color w:val="F1F1F1"/>
    </w:rPr>
  </w:style>
  <w:style w:type="character" w:customStyle="1" w:styleId="932">
    <w:name w:val="txt1"/>
    <w:basedOn w:val="63"/>
    <w:qFormat/>
    <w:uiPriority w:val="0"/>
    <w:rPr>
      <w:color w:val="F1F1F1"/>
    </w:rPr>
  </w:style>
  <w:style w:type="paragraph" w:customStyle="1" w:styleId="933">
    <w:name w:val="Normal_0"/>
    <w:next w:val="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934">
    <w:name w:val="列出段落"/>
    <w:basedOn w:val="1"/>
    <w:qFormat/>
    <w:uiPriority w:val="34"/>
    <w:pPr>
      <w:ind w:firstLine="420" w:firstLineChars="200"/>
    </w:pPr>
  </w:style>
  <w:style w:type="paragraph" w:customStyle="1" w:styleId="935">
    <w:name w:val="15"/>
    <w:basedOn w:val="1"/>
    <w:qFormat/>
    <w:uiPriority w:val="0"/>
  </w:style>
  <w:style w:type="paragraph" w:customStyle="1" w:styleId="936">
    <w:name w:val="MsoNormal"/>
    <w:basedOn w:val="1"/>
    <w:qFormat/>
    <w:uiPriority w:val="0"/>
  </w:style>
  <w:style w:type="paragraph" w:customStyle="1" w:styleId="937">
    <w:name w:val="17"/>
    <w:basedOn w:val="1"/>
    <w:qFormat/>
    <w:uiPriority w:val="0"/>
  </w:style>
  <w:style w:type="paragraph" w:customStyle="1" w:styleId="938">
    <w:name w:val="19"/>
    <w:basedOn w:val="1"/>
    <w:qFormat/>
    <w:uiPriority w:val="0"/>
  </w:style>
  <w:style w:type="table" w:customStyle="1" w:styleId="939">
    <w:name w:val="22"/>
    <w:basedOn w:val="79"/>
    <w:qFormat/>
    <w:uiPriority w:val="0"/>
  </w:style>
  <w:style w:type="table" w:customStyle="1" w:styleId="940">
    <w:name w:val="23"/>
    <w:basedOn w:val="79"/>
    <w:qFormat/>
    <w:uiPriority w:val="0"/>
  </w:style>
  <w:style w:type="character" w:customStyle="1" w:styleId="941">
    <w:name w:val="15 Character"/>
    <w:basedOn w:val="63"/>
    <w:qFormat/>
    <w:uiPriority w:val="0"/>
  </w:style>
  <w:style w:type="table" w:customStyle="1" w:styleId="942">
    <w:name w:val="19 Table"/>
    <w:basedOn w:val="79"/>
    <w:qFormat/>
    <w:uiPriority w:val="0"/>
  </w:style>
  <w:style w:type="table" w:customStyle="1" w:styleId="943">
    <w:name w:val="MsoTableGrid"/>
    <w:basedOn w:val="79"/>
    <w:qFormat/>
    <w:uiPriority w:val="0"/>
  </w:style>
  <w:style w:type="paragraph" w:customStyle="1" w:styleId="944">
    <w:name w:val="MsoBodyTextFirstIndent2"/>
    <w:basedOn w:val="1"/>
    <w:qFormat/>
    <w:uiPriority w:val="0"/>
  </w:style>
  <w:style w:type="paragraph" w:customStyle="1" w:styleId="945">
    <w:name w:val="MsoBodyText"/>
    <w:basedOn w:val="1"/>
    <w:qFormat/>
    <w:uiPriority w:val="0"/>
  </w:style>
  <w:style w:type="table" w:customStyle="1" w:styleId="946">
    <w:name w:val="MsoNormalTable"/>
    <w:basedOn w:val="79"/>
    <w:qFormat/>
    <w:uiPriority w:val="0"/>
  </w:style>
  <w:style w:type="paragraph" w:customStyle="1" w:styleId="947">
    <w:name w:val="18"/>
    <w:basedOn w:val="1"/>
    <w:qFormat/>
    <w:uiPriority w:val="0"/>
  </w:style>
  <w:style w:type="character" w:customStyle="1" w:styleId="948">
    <w:name w:val="16 Character"/>
    <w:basedOn w:val="63"/>
    <w:qFormat/>
    <w:uiPriority w:val="0"/>
  </w:style>
  <w:style w:type="paragraph" w:customStyle="1" w:styleId="949">
    <w:name w:val="Revision"/>
    <w:hidden/>
    <w:unhideWhenUsed/>
    <w:qFormat/>
    <w:uiPriority w:val="99"/>
    <w:rPr>
      <w:rFonts w:ascii="Arial" w:hAnsi="Arial"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105</Pages>
  <Words>18624</Words>
  <Characters>20765</Characters>
  <Lines>117</Lines>
  <Paragraphs>120</Paragraphs>
  <TotalTime>9</TotalTime>
  <ScaleCrop>false</ScaleCrop>
  <LinksUpToDate>false</LinksUpToDate>
  <CharactersWithSpaces>21130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2024-04-30T00:56:00Z</dcterms:created>
  <dc:creator>USER</dc:creator>
  <cp:lastModifiedBy>Administrator</cp:lastModifiedBy>
  <cp:lastPrinted>2021-12-06T00:57:00Z</cp:lastPrinted>
  <dcterms:modified xsi:type="dcterms:W3CDTF">2025-03-25T02:38:53Z</dcterms:modified>
  <dc:title>汕头市农产品质量安全监督检验检测中心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B12565A99985473E8BF6699CBA286EF6_13</vt:lpwstr>
  </property>
  <property fmtid="{D5CDD505-2E9C-101B-9397-08002B2CF9AE}" pid="4" name="commondata">
    <vt:lpwstr>eyJoZGlkIjoiYzEwMGVjNTVhZThkZjczMDc5NTIwYTlhNzViMGEyYzUifQ==</vt:lpwstr>
  </property>
  <property fmtid="{D5CDD505-2E9C-101B-9397-08002B2CF9AE}" pid="5" name="KSOTemplateDocerSaveRecord">
    <vt:lpwstr>eyJoZGlkIjoiMDExYzU0NTkzMTcwN2ZjN2E5Y2JkZTE0N2MzMGFhNzQiLCJ1c2VySWQiOiIxNDk3MTQ3OTI5In0=</vt:lpwstr>
  </property>
</Properties>
</file>