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附4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乐企直连服务授权委托书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纳税人识别号：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纳税人识别号：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一、乐企自用</w:t>
      </w:r>
      <w:r>
        <w:rPr>
          <w:rFonts w:hint="eastAsia" w:ascii="仿宋_GB2312" w:hAnsi="仿宋_GB2312" w:eastAsia="仿宋_GB2312" w:cs="仿宋_GB2312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单位授权其关联企业建设、管理平台，或授权不具关联关系的第三方企业承担建设责任，并承担因被授权单位的违法违规行为引发严重后果的连带责任。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二、被授权单位应当能够统筹建设或改造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乐企自用</w:t>
      </w:r>
      <w:r>
        <w:rPr>
          <w:rFonts w:hint="eastAsia" w:ascii="仿宋_GB2312" w:hAnsi="仿宋_GB2312" w:eastAsia="仿宋_GB2312" w:cs="仿宋_GB2312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单位及使用单位的自有业务系统以适配乐企服务要求；被授权单位为授权单位的关联企业时，被授权单位可按照税务机关的服务管理要求，代表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单位实施乐企对接，并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乐企自用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的管理工作。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应当具备的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（一）基本条件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.已纳入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数电票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开票试点纳税人范围；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.纳税信用等级为A、B级（B级纳税人需要定期提供货物流、资金流、现金流的有关数据）；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.近三年内不存在税务机关确定的重大税收违法行为；</w:t>
      </w:r>
    </w:p>
    <w:p>
      <w:pPr>
        <w:overflowPunct w:val="0"/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.能按照税务机关要求依法提供相关涉税数据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，包括但不限于使用单位身份信息、取酬账户信息、经营收入情况等，以及需要特别提供的货物流、资金流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、现金流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等其他涉税数据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（二）技术和安全条件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1.有较强的信息化建设、服务、运维能力，企业自有信息系统具有软件著作权、使用权，或相关授权；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乐企自用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必须按照税务机关的要求保存数据并内嵌风险控制规则，同时向税务机关开放接口，供税务机关在线审计；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3.遵守网络安全、数据安全相关规定，遵循税务机关相关管理要求，如实向税务机关报告重大变化和使用单位情况，并承担因使用单位的违法违规行为引发严重后果的连带责任。</w:t>
      </w: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(签名)</w:t>
      </w:r>
    </w:p>
    <w:p>
      <w:pPr>
        <w:pStyle w:val="2"/>
        <w:spacing w:line="560" w:lineRule="exact"/>
        <w:ind w:left="0" w:leftChars="0"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日 </w:t>
      </w:r>
    </w:p>
    <w:p>
      <w:pPr>
        <w:pStyle w:val="2"/>
        <w:spacing w:line="56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(签名)</w:t>
      </w:r>
    </w:p>
    <w:p>
      <w:pPr>
        <w:spacing w:line="56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2023-09-08T07:14:35Z</dcterms:created>
  <dc:creator>admin</dc:creator>
  <cp:lastModifiedBy>梁顺萍</cp:lastModifiedBy>
  <dcterms:modified xsi:type="dcterms:W3CDTF">2023-09-08T07:14:43Z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