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eastAsia="宋体"/>
        </w:rPr>
      </w:pPr>
      <w:r>
        <w:rPr>
          <w:rFonts w:ascii="宋体" w:hAnsi="宋体" w:eastAsia="宋体"/>
        </w:rPr>
        <w:t>A06640</w:t>
      </w:r>
      <w:r>
        <w:rPr>
          <w:rFonts w:hint="eastAsia" w:ascii="宋体" w:hAnsi="宋体" w:eastAsia="宋体"/>
        </w:rPr>
        <w:t>《</w:t>
      </w:r>
      <w:r>
        <w:rPr>
          <w:rFonts w:ascii="宋体" w:hAnsi="宋体" w:eastAsia="宋体"/>
        </w:rPr>
        <w:t>A202000</w:t>
      </w:r>
      <w:r>
        <w:rPr>
          <w:rFonts w:hint="eastAsia" w:ascii="宋体" w:hAnsi="宋体" w:eastAsia="宋体"/>
        </w:rPr>
        <w:t>企业所得税汇总纳税分支机构所得税分配表》</w:t>
      </w:r>
    </w:p>
    <w:p>
      <w:pPr>
        <w:pStyle w:val="7"/>
        <w:jc w:val="center"/>
        <w:rPr>
          <w:sz w:val="4"/>
          <w:szCs w:val="4"/>
        </w:rPr>
      </w:pPr>
      <w:bookmarkStart w:id="0" w:name="_GoBack"/>
      <w:bookmarkEnd w:id="0"/>
      <w:r>
        <w:rPr>
          <w:b/>
          <w:color w:val="000000"/>
          <w:sz w:val="28"/>
          <w:szCs w:val="28"/>
        </w:rPr>
        <w:t>A202000</w:t>
      </w:r>
      <w:r>
        <w:rPr>
          <w:b/>
          <w:color w:val="000000"/>
          <w:sz w:val="28"/>
          <w:szCs w:val="28"/>
        </w:rPr>
        <w:tab/>
      </w:r>
      <w:r>
        <w:rPr>
          <w:rFonts w:hint="eastAsia"/>
          <w:b/>
          <w:color w:val="000000"/>
          <w:sz w:val="28"/>
          <w:szCs w:val="28"/>
        </w:rPr>
        <w:t>企业所得税汇总纳税分支机构所得税分配表</w:t>
      </w:r>
    </w:p>
    <w:tbl>
      <w:tblPr>
        <w:tblStyle w:val="2"/>
        <w:tblW w:w="14520" w:type="dxa"/>
        <w:jc w:val="center"/>
        <w:tblInd w:w="0" w:type="dxa"/>
        <w:tblLayout w:type="fixed"/>
        <w:tblCellMar>
          <w:top w:w="0" w:type="dxa"/>
          <w:left w:w="108" w:type="dxa"/>
          <w:bottom w:w="0" w:type="dxa"/>
          <w:right w:w="108" w:type="dxa"/>
        </w:tblCellMar>
      </w:tblPr>
      <w:tblGrid>
        <w:gridCol w:w="640"/>
        <w:gridCol w:w="2720"/>
        <w:gridCol w:w="2720"/>
        <w:gridCol w:w="1760"/>
        <w:gridCol w:w="1760"/>
        <w:gridCol w:w="1760"/>
        <w:gridCol w:w="1060"/>
        <w:gridCol w:w="1759"/>
        <w:gridCol w:w="341"/>
      </w:tblGrid>
      <w:tr>
        <w:tblPrEx>
          <w:tblLayout w:type="fixed"/>
          <w:tblCellMar>
            <w:top w:w="0" w:type="dxa"/>
            <w:left w:w="108" w:type="dxa"/>
            <w:bottom w:w="0" w:type="dxa"/>
            <w:right w:w="108" w:type="dxa"/>
          </w:tblCellMar>
        </w:tblPrEx>
        <w:trPr>
          <w:gridAfter w:val="1"/>
          <w:wAfter w:w="341" w:type="dxa"/>
          <w:trHeight w:val="285" w:hRule="atLeast"/>
          <w:jc w:val="center"/>
        </w:trPr>
        <w:tc>
          <w:tcPr>
            <w:tcW w:w="14179" w:type="dxa"/>
            <w:gridSpan w:val="8"/>
            <w:tcBorders>
              <w:top w:val="nil"/>
              <w:left w:val="nil"/>
              <w:bottom w:val="nil"/>
              <w:right w:val="nil"/>
            </w:tcBorders>
            <w:noWrap w:val="0"/>
            <w:vAlign w:val="center"/>
          </w:tcPr>
          <w:p>
            <w:pPr>
              <w:pStyle w:val="8"/>
              <w:tabs>
                <w:tab w:val="center" w:pos="7230"/>
              </w:tabs>
              <w:jc w:val="center"/>
              <w:rPr>
                <w:b w:val="0"/>
                <w:sz w:val="20"/>
                <w:szCs w:val="20"/>
              </w:rPr>
            </w:pPr>
            <w:r>
              <w:rPr>
                <w:rFonts w:hint="eastAsia"/>
                <w:b w:val="0"/>
                <w:sz w:val="20"/>
                <w:szCs w:val="20"/>
              </w:rPr>
              <w:t>税款所属期间：</w:t>
            </w:r>
            <w:r>
              <w:rPr>
                <w:b w:val="0"/>
                <w:sz w:val="20"/>
                <w:szCs w:val="20"/>
              </w:rPr>
              <w:t xml:space="preserve">   </w:t>
            </w:r>
            <w:r>
              <w:rPr>
                <w:rFonts w:hint="eastAsia"/>
                <w:b w:val="0"/>
                <w:sz w:val="20"/>
                <w:szCs w:val="20"/>
              </w:rPr>
              <w:t>年</w:t>
            </w:r>
            <w:r>
              <w:rPr>
                <w:b w:val="0"/>
                <w:sz w:val="20"/>
                <w:szCs w:val="20"/>
              </w:rPr>
              <w:t xml:space="preserve">  </w:t>
            </w:r>
            <w:r>
              <w:rPr>
                <w:rFonts w:hint="eastAsia"/>
                <w:b w:val="0"/>
                <w:sz w:val="20"/>
                <w:szCs w:val="20"/>
              </w:rPr>
              <w:t>月</w:t>
            </w:r>
            <w:r>
              <w:rPr>
                <w:b w:val="0"/>
                <w:sz w:val="20"/>
                <w:szCs w:val="20"/>
              </w:rPr>
              <w:t xml:space="preserve">  </w:t>
            </w:r>
            <w:r>
              <w:rPr>
                <w:rFonts w:hint="eastAsia"/>
                <w:b w:val="0"/>
                <w:sz w:val="20"/>
                <w:szCs w:val="20"/>
              </w:rPr>
              <w:t>日至</w:t>
            </w:r>
            <w:r>
              <w:rPr>
                <w:b w:val="0"/>
                <w:sz w:val="20"/>
                <w:szCs w:val="20"/>
              </w:rPr>
              <w:t xml:space="preserve">   </w:t>
            </w:r>
            <w:r>
              <w:rPr>
                <w:rFonts w:hint="eastAsia"/>
                <w:b w:val="0"/>
                <w:sz w:val="20"/>
                <w:szCs w:val="20"/>
              </w:rPr>
              <w:t>年</w:t>
            </w:r>
            <w:r>
              <w:rPr>
                <w:b w:val="0"/>
                <w:sz w:val="20"/>
                <w:szCs w:val="20"/>
              </w:rPr>
              <w:t xml:space="preserve">  </w:t>
            </w:r>
            <w:r>
              <w:rPr>
                <w:rFonts w:hint="eastAsia"/>
                <w:b w:val="0"/>
                <w:sz w:val="20"/>
                <w:szCs w:val="20"/>
              </w:rPr>
              <w:t>月</w:t>
            </w:r>
            <w:r>
              <w:rPr>
                <w:b w:val="0"/>
                <w:sz w:val="20"/>
                <w:szCs w:val="20"/>
              </w:rPr>
              <w:t xml:space="preserve">  </w:t>
            </w:r>
            <w:r>
              <w:rPr>
                <w:rFonts w:hint="eastAsia"/>
                <w:b w:val="0"/>
                <w:sz w:val="20"/>
                <w:szCs w:val="20"/>
              </w:rPr>
              <w:t>日</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nil"/>
              <w:left w:val="nil"/>
              <w:bottom w:val="nil"/>
              <w:right w:val="nil"/>
            </w:tcBorders>
            <w:noWrap w:val="0"/>
            <w:vAlign w:val="center"/>
          </w:tcPr>
          <w:p>
            <w:pPr>
              <w:pStyle w:val="9"/>
              <w:rPr>
                <w:rFonts w:ascii="宋体" w:hAnsi="宋体" w:cs="宋体"/>
              </w:rPr>
            </w:pPr>
            <w:r>
              <w:rPr>
                <w:rFonts w:hint="eastAsia" w:ascii="宋体" w:hAnsi="宋体" w:cs="宋体"/>
              </w:rPr>
              <w:t>总机构名称（盖章）</w:t>
            </w:r>
            <w:r>
              <w:rPr>
                <w:rFonts w:ascii="宋体" w:hAnsi="宋体"/>
              </w:rPr>
              <w:t xml:space="preserve">:                                                                   </w:t>
            </w:r>
          </w:p>
        </w:tc>
        <w:tc>
          <w:tcPr>
            <w:tcW w:w="4480" w:type="dxa"/>
            <w:gridSpan w:val="2"/>
            <w:tcBorders>
              <w:top w:val="nil"/>
              <w:left w:val="nil"/>
              <w:bottom w:val="nil"/>
              <w:right w:val="nil"/>
            </w:tcBorders>
            <w:noWrap w:val="0"/>
            <w:vAlign w:val="center"/>
          </w:tcPr>
          <w:p>
            <w:pPr>
              <w:pStyle w:val="9"/>
              <w:rPr>
                <w:rFonts w:ascii="宋体" w:hAnsi="宋体" w:cs="宋体"/>
              </w:rPr>
            </w:pPr>
          </w:p>
        </w:tc>
        <w:tc>
          <w:tcPr>
            <w:tcW w:w="1760" w:type="dxa"/>
            <w:tcBorders>
              <w:top w:val="nil"/>
              <w:left w:val="nil"/>
              <w:bottom w:val="nil"/>
              <w:right w:val="nil"/>
            </w:tcBorders>
            <w:noWrap w:val="0"/>
            <w:vAlign w:val="center"/>
          </w:tcPr>
          <w:p>
            <w:pPr>
              <w:pStyle w:val="9"/>
              <w:jc w:val="center"/>
              <w:rPr>
                <w:rFonts w:ascii="宋体" w:hAnsi="宋体"/>
              </w:rPr>
            </w:pPr>
          </w:p>
        </w:tc>
        <w:tc>
          <w:tcPr>
            <w:tcW w:w="1760" w:type="dxa"/>
            <w:tcBorders>
              <w:top w:val="nil"/>
              <w:left w:val="nil"/>
              <w:bottom w:val="nil"/>
              <w:right w:val="nil"/>
            </w:tcBorders>
            <w:noWrap w:val="0"/>
            <w:vAlign w:val="center"/>
          </w:tcPr>
          <w:p>
            <w:pPr>
              <w:pStyle w:val="9"/>
              <w:rPr>
                <w:rFonts w:ascii="宋体" w:hAnsi="宋体"/>
              </w:rPr>
            </w:pPr>
          </w:p>
        </w:tc>
        <w:tc>
          <w:tcPr>
            <w:tcW w:w="3160" w:type="dxa"/>
            <w:gridSpan w:val="3"/>
            <w:tcBorders>
              <w:top w:val="nil"/>
              <w:left w:val="nil"/>
              <w:bottom w:val="nil"/>
              <w:right w:val="nil"/>
            </w:tcBorders>
            <w:noWrap w:val="0"/>
            <w:vAlign w:val="center"/>
          </w:tcPr>
          <w:p>
            <w:pPr>
              <w:pStyle w:val="9"/>
              <w:rPr>
                <w:rFonts w:ascii="宋体" w:hAnsi="宋体"/>
              </w:rPr>
            </w:pPr>
          </w:p>
        </w:tc>
      </w:tr>
      <w:tr>
        <w:tblPrEx>
          <w:tblLayout w:type="fixed"/>
          <w:tblCellMar>
            <w:top w:w="0" w:type="dxa"/>
            <w:left w:w="108" w:type="dxa"/>
            <w:bottom w:w="0" w:type="dxa"/>
            <w:right w:w="108" w:type="dxa"/>
          </w:tblCellMar>
        </w:tblPrEx>
        <w:trPr>
          <w:cantSplit/>
          <w:trHeight w:val="340" w:hRule="atLeast"/>
          <w:jc w:val="center"/>
        </w:trPr>
        <w:tc>
          <w:tcPr>
            <w:tcW w:w="6080" w:type="dxa"/>
            <w:gridSpan w:val="3"/>
            <w:tcBorders>
              <w:top w:val="nil"/>
              <w:left w:val="nil"/>
              <w:bottom w:val="single" w:color="auto" w:sz="12" w:space="0"/>
              <w:right w:val="nil"/>
            </w:tcBorders>
            <w:noWrap w:val="0"/>
            <w:vAlign w:val="center"/>
          </w:tcPr>
          <w:p>
            <w:pPr>
              <w:pStyle w:val="9"/>
              <w:rPr>
                <w:rFonts w:ascii="宋体" w:hAnsi="宋体" w:cs="宋体"/>
              </w:rPr>
            </w:pPr>
            <w:r>
              <w:rPr>
                <w:rFonts w:hint="eastAsia" w:ascii="宋体" w:hAnsi="宋体" w:cs="宋体"/>
              </w:rPr>
              <w:t>总机构统一社会信用代码（纳税人识别号）：</w:t>
            </w:r>
          </w:p>
        </w:tc>
        <w:tc>
          <w:tcPr>
            <w:tcW w:w="5280" w:type="dxa"/>
            <w:gridSpan w:val="3"/>
            <w:tcBorders>
              <w:top w:val="nil"/>
              <w:left w:val="nil"/>
              <w:bottom w:val="single" w:color="auto" w:sz="12" w:space="0"/>
              <w:right w:val="nil"/>
            </w:tcBorders>
            <w:noWrap w:val="0"/>
            <w:vAlign w:val="center"/>
          </w:tcPr>
          <w:p>
            <w:pPr>
              <w:pStyle w:val="9"/>
              <w:rPr>
                <w:rFonts w:ascii="宋体" w:hAnsi="宋体" w:cs="宋体"/>
              </w:rPr>
            </w:pPr>
            <w:r>
              <w:rPr>
                <w:rFonts w:hint="eastAsia" w:ascii="宋体" w:hAnsi="宋体" w:cs="宋体"/>
              </w:rPr>
              <w:t>　</w:t>
            </w:r>
          </w:p>
        </w:tc>
        <w:tc>
          <w:tcPr>
            <w:tcW w:w="3160" w:type="dxa"/>
            <w:gridSpan w:val="3"/>
            <w:tcBorders>
              <w:top w:val="nil"/>
              <w:left w:val="nil"/>
              <w:bottom w:val="single" w:color="auto" w:sz="12" w:space="0"/>
              <w:right w:val="nil"/>
            </w:tcBorders>
            <w:noWrap w:val="0"/>
            <w:vAlign w:val="center"/>
          </w:tcPr>
          <w:p>
            <w:pPr>
              <w:pStyle w:val="9"/>
              <w:jc w:val="center"/>
              <w:rPr>
                <w:rFonts w:ascii="宋体" w:hAnsi="宋体" w:cs="宋体"/>
              </w:rPr>
            </w:pPr>
            <w:r>
              <w:rPr>
                <w:rFonts w:hint="eastAsia" w:ascii="宋体" w:hAnsi="宋体" w:cs="宋体"/>
              </w:rPr>
              <w:t>金额单位</w:t>
            </w:r>
            <w:r>
              <w:rPr>
                <w:rFonts w:ascii="宋体" w:hAnsi="宋体" w:cs="宋体"/>
              </w:rPr>
              <w:t xml:space="preserve">: </w:t>
            </w:r>
            <w:r>
              <w:rPr>
                <w:rFonts w:hint="eastAsia" w:ascii="宋体" w:hAnsi="宋体" w:cs="宋体"/>
              </w:rPr>
              <w:t>元（列至角分）</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single" w:color="auto" w:sz="12" w:space="0"/>
              <w:left w:val="single" w:color="auto" w:sz="12"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应纳所得税额</w:t>
            </w:r>
          </w:p>
        </w:tc>
        <w:tc>
          <w:tcPr>
            <w:tcW w:w="2720" w:type="dxa"/>
            <w:tcBorders>
              <w:top w:val="single" w:color="auto" w:sz="12"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总机构分摊所得税额</w:t>
            </w:r>
          </w:p>
        </w:tc>
        <w:tc>
          <w:tcPr>
            <w:tcW w:w="5280" w:type="dxa"/>
            <w:gridSpan w:val="3"/>
            <w:tcBorders>
              <w:top w:val="single" w:color="auto" w:sz="12"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ascii="宋体" w:hAnsi="宋体" w:cs="宋体"/>
              </w:rPr>
              <w:t xml:space="preserve"> </w:t>
            </w:r>
            <w:r>
              <w:rPr>
                <w:rFonts w:hint="eastAsia" w:ascii="宋体" w:hAnsi="宋体" w:cs="宋体"/>
              </w:rPr>
              <w:t>总机构财政集中分配所得税额</w:t>
            </w:r>
          </w:p>
        </w:tc>
        <w:tc>
          <w:tcPr>
            <w:tcW w:w="3160" w:type="dxa"/>
            <w:gridSpan w:val="3"/>
            <w:tcBorders>
              <w:top w:val="single" w:color="auto" w:sz="12" w:space="0"/>
              <w:left w:val="single" w:color="auto" w:sz="6" w:space="0"/>
              <w:bottom w:val="single" w:color="auto" w:sz="6" w:space="0"/>
              <w:right w:val="single" w:color="auto" w:sz="12" w:space="0"/>
            </w:tcBorders>
            <w:noWrap w:val="0"/>
            <w:vAlign w:val="center"/>
          </w:tcPr>
          <w:p>
            <w:pPr>
              <w:pStyle w:val="9"/>
              <w:jc w:val="center"/>
              <w:rPr>
                <w:rFonts w:ascii="宋体" w:hAnsi="宋体" w:cs="宋体"/>
              </w:rPr>
            </w:pPr>
            <w:r>
              <w:rPr>
                <w:rFonts w:hint="eastAsia" w:ascii="宋体" w:hAnsi="宋体" w:cs="宋体"/>
              </w:rPr>
              <w:t>分支机构分摊所得税额</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single" w:color="auto" w:sz="6" w:space="0"/>
              <w:left w:val="single" w:color="auto" w:sz="12" w:space="0"/>
              <w:bottom w:val="single" w:color="auto" w:sz="12"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12"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5280" w:type="dxa"/>
            <w:gridSpan w:val="3"/>
            <w:tcBorders>
              <w:top w:val="single" w:color="auto" w:sz="6" w:space="0"/>
              <w:left w:val="single" w:color="auto" w:sz="6" w:space="0"/>
              <w:bottom w:val="single" w:color="auto" w:sz="12"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3160" w:type="dxa"/>
            <w:gridSpan w:val="3"/>
            <w:tcBorders>
              <w:top w:val="single" w:color="auto" w:sz="6" w:space="0"/>
              <w:left w:val="single" w:color="auto" w:sz="6" w:space="0"/>
              <w:bottom w:val="single" w:color="auto" w:sz="12"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restart"/>
            <w:tcBorders>
              <w:top w:val="single" w:color="auto" w:sz="12" w:space="0"/>
              <w:left w:val="single" w:color="auto" w:sz="12" w:space="0"/>
              <w:bottom w:val="single" w:color="auto" w:sz="6" w:space="0"/>
              <w:right w:val="single" w:color="auto" w:sz="6" w:space="0"/>
            </w:tcBorders>
            <w:noWrap w:val="0"/>
            <w:textDirection w:val="tbRlV"/>
            <w:vAlign w:val="center"/>
          </w:tcPr>
          <w:p>
            <w:pPr>
              <w:pStyle w:val="9"/>
              <w:spacing w:line="240" w:lineRule="atLeast"/>
              <w:jc w:val="center"/>
              <w:rPr>
                <w:rFonts w:ascii="宋体" w:hAnsi="宋体" w:cs="宋体"/>
              </w:rPr>
            </w:pPr>
            <w:r>
              <w:rPr>
                <w:rFonts w:hint="eastAsia" w:ascii="宋体" w:hAnsi="宋体" w:cs="宋体"/>
              </w:rPr>
              <w:t>分支机构情况</w:t>
            </w:r>
          </w:p>
        </w:tc>
        <w:tc>
          <w:tcPr>
            <w:tcW w:w="2720" w:type="dxa"/>
            <w:vMerge w:val="restart"/>
            <w:tcBorders>
              <w:top w:val="single" w:color="auto" w:sz="12"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分支机构统一社会信用代码</w:t>
            </w:r>
            <w:r>
              <w:rPr>
                <w:rFonts w:ascii="宋体" w:hAnsi="宋体" w:cs="宋体"/>
              </w:rPr>
              <w:br w:type="textWrapping"/>
            </w:r>
            <w:r>
              <w:rPr>
                <w:rFonts w:hint="eastAsia" w:ascii="宋体" w:hAnsi="宋体" w:cs="宋体"/>
              </w:rPr>
              <w:t>（纳税人识别号）</w:t>
            </w:r>
          </w:p>
        </w:tc>
        <w:tc>
          <w:tcPr>
            <w:tcW w:w="2720" w:type="dxa"/>
            <w:vMerge w:val="restart"/>
            <w:tcBorders>
              <w:top w:val="single" w:color="auto" w:sz="12"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分支机构名称</w:t>
            </w:r>
          </w:p>
        </w:tc>
        <w:tc>
          <w:tcPr>
            <w:tcW w:w="5280" w:type="dxa"/>
            <w:gridSpan w:val="3"/>
            <w:tcBorders>
              <w:top w:val="single" w:color="auto" w:sz="12"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三项因素</w:t>
            </w:r>
          </w:p>
        </w:tc>
        <w:tc>
          <w:tcPr>
            <w:tcW w:w="1060" w:type="dxa"/>
            <w:vMerge w:val="restart"/>
            <w:tcBorders>
              <w:top w:val="single" w:color="auto" w:sz="12"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分配</w:t>
            </w:r>
            <w:r>
              <w:rPr>
                <w:rFonts w:ascii="宋体" w:hAnsi="宋体" w:cs="宋体"/>
              </w:rPr>
              <w:br w:type="textWrapping"/>
            </w:r>
            <w:r>
              <w:rPr>
                <w:rFonts w:hint="eastAsia" w:ascii="宋体" w:hAnsi="宋体" w:cs="宋体"/>
              </w:rPr>
              <w:t>比例</w:t>
            </w:r>
          </w:p>
        </w:tc>
        <w:tc>
          <w:tcPr>
            <w:tcW w:w="2100" w:type="dxa"/>
            <w:gridSpan w:val="2"/>
            <w:vMerge w:val="restart"/>
            <w:tcBorders>
              <w:top w:val="single" w:color="auto" w:sz="12" w:space="0"/>
              <w:left w:val="single" w:color="auto" w:sz="6" w:space="0"/>
              <w:bottom w:val="single" w:color="auto" w:sz="6" w:space="0"/>
              <w:right w:val="single" w:color="auto" w:sz="12" w:space="0"/>
            </w:tcBorders>
            <w:noWrap w:val="0"/>
            <w:vAlign w:val="center"/>
          </w:tcPr>
          <w:p>
            <w:pPr>
              <w:pStyle w:val="9"/>
              <w:jc w:val="center"/>
              <w:rPr>
                <w:rFonts w:ascii="宋体" w:hAnsi="宋体" w:cs="宋体"/>
              </w:rPr>
            </w:pPr>
            <w:r>
              <w:rPr>
                <w:rFonts w:hint="eastAsia" w:ascii="宋体" w:hAnsi="宋体" w:cs="宋体"/>
              </w:rPr>
              <w:t>分配所得税额</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vMerge w:val="continue"/>
            <w:tcBorders>
              <w:top w:val="single" w:color="auto" w:sz="6" w:space="0"/>
              <w:left w:val="single" w:color="auto" w:sz="6" w:space="0"/>
              <w:bottom w:val="single" w:color="auto" w:sz="6" w:space="0"/>
              <w:right w:val="single" w:color="auto" w:sz="6" w:space="0"/>
            </w:tcBorders>
            <w:noWrap w:val="0"/>
            <w:vAlign w:val="center"/>
          </w:tcPr>
          <w:p>
            <w:pPr>
              <w:pStyle w:val="9"/>
              <w:rPr>
                <w:rFonts w:ascii="宋体" w:hAnsi="宋体" w:cs="宋体"/>
              </w:rPr>
            </w:pPr>
          </w:p>
        </w:tc>
        <w:tc>
          <w:tcPr>
            <w:tcW w:w="2720" w:type="dxa"/>
            <w:vMerge w:val="continue"/>
            <w:tcBorders>
              <w:top w:val="single" w:color="auto" w:sz="6" w:space="0"/>
              <w:left w:val="single" w:color="auto" w:sz="6" w:space="0"/>
              <w:bottom w:val="single" w:color="auto" w:sz="6" w:space="0"/>
              <w:right w:val="single" w:color="auto" w:sz="6" w:space="0"/>
            </w:tcBorders>
            <w:noWrap w:val="0"/>
            <w:vAlign w:val="center"/>
          </w:tcPr>
          <w:p>
            <w:pPr>
              <w:pStyle w:val="9"/>
              <w:rPr>
                <w:rFonts w:ascii="宋体" w:hAnsi="宋体" w:cs="宋体"/>
              </w:rPr>
            </w:pP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营业收入</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职工薪酬</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center"/>
              <w:rPr>
                <w:rFonts w:ascii="宋体" w:hAnsi="宋体" w:cs="宋体"/>
              </w:rPr>
            </w:pPr>
            <w:r>
              <w:rPr>
                <w:rFonts w:hint="eastAsia" w:ascii="宋体" w:hAnsi="宋体" w:cs="宋体"/>
              </w:rPr>
              <w:t>资产总额</w:t>
            </w:r>
          </w:p>
        </w:tc>
        <w:tc>
          <w:tcPr>
            <w:tcW w:w="1060" w:type="dxa"/>
            <w:vMerge w:val="continue"/>
            <w:tcBorders>
              <w:top w:val="single" w:color="auto" w:sz="6" w:space="0"/>
              <w:left w:val="single" w:color="auto" w:sz="6" w:space="0"/>
              <w:bottom w:val="single" w:color="auto" w:sz="6" w:space="0"/>
              <w:right w:val="single" w:color="auto" w:sz="6" w:space="0"/>
            </w:tcBorders>
            <w:noWrap w:val="0"/>
            <w:vAlign w:val="center"/>
          </w:tcPr>
          <w:p>
            <w:pPr>
              <w:pStyle w:val="9"/>
              <w:rPr>
                <w:rFonts w:ascii="宋体" w:hAnsi="宋体" w:cs="宋体"/>
              </w:rPr>
            </w:pPr>
          </w:p>
        </w:tc>
        <w:tc>
          <w:tcPr>
            <w:tcW w:w="2100" w:type="dxa"/>
            <w:gridSpan w:val="2"/>
            <w:vMerge w:val="continue"/>
            <w:tcBorders>
              <w:top w:val="single" w:color="auto" w:sz="6" w:space="0"/>
              <w:left w:val="single" w:color="auto" w:sz="6" w:space="0"/>
              <w:bottom w:val="single" w:color="auto" w:sz="6" w:space="0"/>
              <w:right w:val="single" w:color="auto" w:sz="12" w:space="0"/>
            </w:tcBorders>
            <w:noWrap w:val="0"/>
            <w:vAlign w:val="center"/>
          </w:tcPr>
          <w:p>
            <w:pPr>
              <w:pStyle w:val="9"/>
              <w:rPr>
                <w:rFonts w:ascii="宋体" w:hAnsi="宋体" w:cs="宋体"/>
              </w:rPr>
            </w:pP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pStyle w:val="9"/>
              <w:rPr>
                <w:rFonts w:ascii="宋体" w:hAnsi="宋体" w:cs="宋体"/>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12" w:space="0"/>
              <w:right w:val="single" w:color="auto" w:sz="6" w:space="0"/>
            </w:tcBorders>
            <w:noWrap w:val="0"/>
            <w:vAlign w:val="center"/>
          </w:tcPr>
          <w:p>
            <w:pPr>
              <w:pStyle w:val="9"/>
              <w:rPr>
                <w:rFonts w:ascii="宋体" w:hAnsi="宋体" w:cs="宋体"/>
              </w:rPr>
            </w:pPr>
          </w:p>
        </w:tc>
        <w:tc>
          <w:tcPr>
            <w:tcW w:w="5440" w:type="dxa"/>
            <w:gridSpan w:val="2"/>
            <w:tcBorders>
              <w:top w:val="single" w:color="auto" w:sz="6" w:space="0"/>
              <w:left w:val="single" w:color="auto" w:sz="6" w:space="0"/>
              <w:bottom w:val="single" w:color="auto" w:sz="12" w:space="0"/>
              <w:right w:val="single" w:color="auto" w:sz="6" w:space="0"/>
            </w:tcBorders>
            <w:noWrap w:val="0"/>
            <w:vAlign w:val="center"/>
          </w:tcPr>
          <w:p>
            <w:pPr>
              <w:pStyle w:val="9"/>
              <w:jc w:val="center"/>
              <w:rPr>
                <w:rFonts w:ascii="宋体" w:hAnsi="宋体" w:cs="宋体"/>
              </w:rPr>
            </w:pPr>
            <w:r>
              <w:rPr>
                <w:rFonts w:hint="eastAsia" w:ascii="宋体" w:hAnsi="宋体" w:cs="宋体"/>
              </w:rPr>
              <w:t>合计</w:t>
            </w:r>
          </w:p>
        </w:tc>
        <w:tc>
          <w:tcPr>
            <w:tcW w:w="1760" w:type="dxa"/>
            <w:tcBorders>
              <w:top w:val="single" w:color="auto" w:sz="6" w:space="0"/>
              <w:left w:val="single" w:color="auto" w:sz="6" w:space="0"/>
              <w:bottom w:val="single" w:color="auto" w:sz="12"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12"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760" w:type="dxa"/>
            <w:tcBorders>
              <w:top w:val="single" w:color="auto" w:sz="6" w:space="0"/>
              <w:left w:val="single" w:color="auto" w:sz="6" w:space="0"/>
              <w:bottom w:val="single" w:color="auto" w:sz="12"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1060" w:type="dxa"/>
            <w:tcBorders>
              <w:top w:val="single" w:color="auto" w:sz="6" w:space="0"/>
              <w:left w:val="single" w:color="auto" w:sz="6" w:space="0"/>
              <w:bottom w:val="single" w:color="auto" w:sz="12" w:space="0"/>
              <w:right w:val="single" w:color="auto" w:sz="6" w:space="0"/>
            </w:tcBorders>
            <w:noWrap w:val="0"/>
            <w:vAlign w:val="center"/>
          </w:tcPr>
          <w:p>
            <w:pPr>
              <w:pStyle w:val="9"/>
              <w:jc w:val="right"/>
              <w:rPr>
                <w:rFonts w:ascii="宋体" w:hAnsi="宋体" w:cs="宋体"/>
              </w:rPr>
            </w:pPr>
            <w:r>
              <w:rPr>
                <w:rFonts w:hint="eastAsia" w:ascii="宋体" w:hAnsi="宋体" w:cs="宋体"/>
              </w:rPr>
              <w:t>　</w:t>
            </w:r>
          </w:p>
        </w:tc>
        <w:tc>
          <w:tcPr>
            <w:tcW w:w="2100" w:type="dxa"/>
            <w:gridSpan w:val="2"/>
            <w:tcBorders>
              <w:top w:val="single" w:color="auto" w:sz="6" w:space="0"/>
              <w:left w:val="single" w:color="auto" w:sz="6" w:space="0"/>
              <w:bottom w:val="single" w:color="auto" w:sz="12" w:space="0"/>
              <w:right w:val="single" w:color="auto" w:sz="12" w:space="0"/>
            </w:tcBorders>
            <w:noWrap w:val="0"/>
            <w:vAlign w:val="center"/>
          </w:tcPr>
          <w:p>
            <w:pPr>
              <w:pStyle w:val="9"/>
              <w:jc w:val="right"/>
              <w:rPr>
                <w:rFonts w:ascii="宋体" w:hAnsi="宋体" w:cs="宋体"/>
              </w:rPr>
            </w:pPr>
            <w:r>
              <w:rPr>
                <w:rFonts w:hint="eastAsia" w:ascii="宋体" w:hAnsi="宋体" w:cs="宋体"/>
              </w:rPr>
              <w:t>　</w:t>
            </w:r>
          </w:p>
        </w:tc>
      </w:tr>
    </w:tbl>
    <w:p>
      <w:pPr>
        <w:pStyle w:val="10"/>
        <w:sectPr>
          <w:pgSz w:w="16838" w:h="11906" w:orient="landscape"/>
          <w:pgMar w:top="1800" w:right="1440" w:bottom="1800" w:left="1440" w:header="851" w:footer="992" w:gutter="0"/>
          <w:cols w:space="720" w:num="1"/>
          <w:docGrid w:type="lines" w:linePitch="312" w:charSpace="0"/>
        </w:sectPr>
      </w:pPr>
    </w:p>
    <w:p>
      <w:pPr>
        <w:pStyle w:val="5"/>
        <w:ind w:firstLine="422"/>
        <w:rPr>
          <w:rFonts w:ascii="宋体" w:hAnsi="宋体" w:eastAsia="宋体"/>
        </w:rPr>
      </w:pPr>
      <w:r>
        <w:rPr>
          <w:rFonts w:hint="eastAsia" w:ascii="宋体" w:hAnsi="宋体" w:eastAsia="宋体"/>
        </w:rPr>
        <w:t>【表单说明】</w:t>
      </w:r>
    </w:p>
    <w:p>
      <w:pPr>
        <w:pStyle w:val="7"/>
        <w:rPr>
          <w:rFonts w:ascii="宋体" w:hAnsi="宋体"/>
        </w:rPr>
      </w:pPr>
      <w:r>
        <w:rPr>
          <w:rFonts w:hint="eastAsia" w:ascii="宋体" w:hAnsi="宋体"/>
        </w:rPr>
        <w:t>一、适用范围及报送要求</w:t>
      </w:r>
    </w:p>
    <w:p>
      <w:pPr>
        <w:pStyle w:val="7"/>
        <w:rPr>
          <w:rFonts w:ascii="宋体" w:hAnsi="宋体"/>
        </w:rPr>
      </w:pPr>
      <w:r>
        <w:rPr>
          <w:rFonts w:hint="eastAsia" w:ascii="宋体" w:hAnsi="宋体"/>
        </w:rPr>
        <w:t>本表为《中华人民共和国企业所得税月（季）度预缴纳税申报表（</w:t>
      </w:r>
      <w:r>
        <w:rPr>
          <w:rFonts w:ascii="宋体" w:hAnsi="宋体"/>
        </w:rPr>
        <w:t>A</w:t>
      </w:r>
      <w:r>
        <w:rPr>
          <w:rFonts w:hint="eastAsia" w:ascii="宋体" w:hAnsi="宋体"/>
        </w:rPr>
        <w:t>类）》（</w:t>
      </w:r>
      <w:r>
        <w:rPr>
          <w:rFonts w:ascii="宋体" w:hAnsi="宋体"/>
        </w:rPr>
        <w:t>A200000</w:t>
      </w:r>
      <w:r>
        <w:rPr>
          <w:rFonts w:hint="eastAsia" w:ascii="宋体" w:hAnsi="宋体"/>
        </w:rPr>
        <w:t>）附表，适用于跨地区经营汇总纳税企业的总机构填报。纳税人应根据《财政部</w:t>
      </w:r>
      <w:r>
        <w:rPr>
          <w:rFonts w:ascii="宋体" w:hAnsi="宋体"/>
        </w:rPr>
        <w:t xml:space="preserve"> </w:t>
      </w:r>
      <w:r>
        <w:rPr>
          <w:rFonts w:hint="eastAsia" w:ascii="宋体" w:hAnsi="宋体"/>
        </w:rPr>
        <w:t>国家税务总局</w:t>
      </w:r>
      <w:r>
        <w:rPr>
          <w:rFonts w:ascii="宋体" w:hAnsi="宋体"/>
        </w:rPr>
        <w:t xml:space="preserve"> </w:t>
      </w:r>
      <w:r>
        <w:rPr>
          <w:rFonts w:hint="eastAsia" w:ascii="宋体" w:hAnsi="宋体"/>
        </w:rPr>
        <w:t>中国人民银行关于印发〈跨省市总分机构企业所得税分配及预算管理办法〉的通知》（财预〔</w:t>
      </w:r>
      <w:r>
        <w:rPr>
          <w:rFonts w:ascii="宋体" w:hAnsi="宋体"/>
        </w:rPr>
        <w:t>2012</w:t>
      </w:r>
      <w:r>
        <w:rPr>
          <w:rFonts w:hint="eastAsia" w:ascii="宋体" w:hAnsi="宋体"/>
        </w:rPr>
        <w:t>〕</w:t>
      </w:r>
      <w:r>
        <w:rPr>
          <w:rFonts w:ascii="宋体" w:hAnsi="宋体"/>
        </w:rPr>
        <w:t>40</w:t>
      </w:r>
      <w:r>
        <w:rPr>
          <w:rFonts w:hint="eastAsia" w:ascii="宋体" w:hAnsi="宋体"/>
        </w:rPr>
        <w:t>号）、《国家税务总局关于印发〈跨地区经营汇总纳税企业所得税征收管理办法〉的公告》（国家税务总局公告</w:t>
      </w:r>
      <w:r>
        <w:rPr>
          <w:rFonts w:ascii="宋体" w:hAnsi="宋体"/>
        </w:rPr>
        <w:t>2012</w:t>
      </w:r>
      <w:r>
        <w:rPr>
          <w:rFonts w:hint="eastAsia" w:ascii="宋体" w:hAnsi="宋体"/>
        </w:rPr>
        <w:t>年第</w:t>
      </w:r>
      <w:r>
        <w:rPr>
          <w:rFonts w:ascii="宋体" w:hAnsi="宋体"/>
        </w:rPr>
        <w:t>57</w:t>
      </w:r>
      <w:r>
        <w:rPr>
          <w:rFonts w:hint="eastAsia" w:ascii="宋体" w:hAnsi="宋体"/>
        </w:rPr>
        <w:t>号）规定，计算总分机构每一预缴期应纳的企业所得税额、总机构和分支机构应分摊的企业所得税额。对于仅在同一省（自治区、直辖市和计划单列市）内设立不具有法人资格分支机构的企业，本省（自治区、直辖市和计划单列市）参照上述文件规定制定企业所得税分配管理办法的，按照其规定填报本表。</w:t>
      </w:r>
    </w:p>
    <w:p>
      <w:pPr>
        <w:pStyle w:val="7"/>
        <w:rPr>
          <w:rFonts w:ascii="宋体" w:hAnsi="宋体"/>
        </w:rPr>
      </w:pPr>
      <w:r>
        <w:rPr>
          <w:rFonts w:hint="eastAsia" w:ascii="宋体" w:hAnsi="宋体"/>
        </w:rPr>
        <w:t>本表与《国家税务总局关于发布〈中华人民共和国企业所得税年度纳税申报表（</w:t>
      </w:r>
      <w:r>
        <w:rPr>
          <w:rFonts w:ascii="宋体" w:hAnsi="宋体"/>
        </w:rPr>
        <w:t>A</w:t>
      </w:r>
      <w:r>
        <w:rPr>
          <w:rFonts w:hint="eastAsia" w:ascii="宋体" w:hAnsi="宋体"/>
        </w:rPr>
        <w:t>类，</w:t>
      </w:r>
      <w:r>
        <w:rPr>
          <w:rFonts w:ascii="宋体" w:hAnsi="宋体"/>
        </w:rPr>
        <w:t>2017</w:t>
      </w:r>
      <w:r>
        <w:rPr>
          <w:rFonts w:hint="eastAsia" w:ascii="宋体" w:hAnsi="宋体"/>
        </w:rPr>
        <w:t>年版）〉的公告》（国家税务总局公告</w:t>
      </w:r>
      <w:r>
        <w:rPr>
          <w:rFonts w:ascii="宋体" w:hAnsi="宋体"/>
        </w:rPr>
        <w:t>2017</w:t>
      </w:r>
      <w:r>
        <w:rPr>
          <w:rFonts w:hint="eastAsia" w:ascii="宋体" w:hAnsi="宋体"/>
        </w:rPr>
        <w:t>年第</w:t>
      </w:r>
      <w:r>
        <w:rPr>
          <w:rFonts w:ascii="宋体" w:hAnsi="宋体"/>
        </w:rPr>
        <w:t>54</w:t>
      </w:r>
      <w:r>
        <w:rPr>
          <w:rFonts w:hint="eastAsia" w:ascii="宋体" w:hAnsi="宋体"/>
        </w:rPr>
        <w:t>号）中的《企业所得税汇总纳税分支机构所得税分配表》（</w:t>
      </w:r>
      <w:r>
        <w:rPr>
          <w:rFonts w:ascii="宋体" w:hAnsi="宋体"/>
        </w:rPr>
        <w:t>A109010</w:t>
      </w:r>
      <w:r>
        <w:rPr>
          <w:rFonts w:hint="eastAsia" w:ascii="宋体" w:hAnsi="宋体"/>
        </w:rPr>
        <w:t>）表单样式一致。年度终了后五个月内，《企业所得税汇总纳税分支机构所得税分配表》（</w:t>
      </w:r>
      <w:r>
        <w:rPr>
          <w:rFonts w:ascii="宋体" w:hAnsi="宋体"/>
        </w:rPr>
        <w:t>A109010</w:t>
      </w:r>
      <w:r>
        <w:rPr>
          <w:rFonts w:hint="eastAsia" w:ascii="宋体" w:hAnsi="宋体"/>
        </w:rPr>
        <w:t>）由实行汇总纳税的企业总机构填报。</w:t>
      </w:r>
    </w:p>
    <w:p>
      <w:pPr>
        <w:pStyle w:val="7"/>
        <w:rPr>
          <w:rFonts w:ascii="宋体" w:hAnsi="宋体"/>
        </w:rPr>
      </w:pPr>
      <w:r>
        <w:rPr>
          <w:rFonts w:hint="eastAsia" w:ascii="宋体" w:hAnsi="宋体"/>
        </w:rPr>
        <w:t>二、具体项目填报说明</w:t>
      </w:r>
    </w:p>
    <w:p>
      <w:pPr>
        <w:pStyle w:val="7"/>
        <w:rPr>
          <w:rFonts w:ascii="宋体" w:hAnsi="宋体"/>
        </w:rPr>
      </w:pPr>
      <w:r>
        <w:rPr>
          <w:rFonts w:ascii="宋体" w:hAnsi="宋体"/>
        </w:rPr>
        <w:t>1.“</w:t>
      </w:r>
      <w:r>
        <w:rPr>
          <w:rFonts w:hint="eastAsia" w:ascii="宋体" w:hAnsi="宋体"/>
        </w:rPr>
        <w:t>税款所属时期</w:t>
      </w:r>
      <w:r>
        <w:rPr>
          <w:rFonts w:ascii="宋体" w:hAnsi="宋体"/>
        </w:rPr>
        <w:t>”</w:t>
      </w:r>
      <w:r>
        <w:rPr>
          <w:rFonts w:hint="eastAsia" w:ascii="宋体" w:hAnsi="宋体"/>
        </w:rPr>
        <w:t>：填报税款所属期月（季）度第一日至税款所属期月（季）度最后一日。如：按季度预缴纳税申报的纳税人，第二季度申报时</w:t>
      </w:r>
      <w:r>
        <w:rPr>
          <w:rFonts w:ascii="宋体" w:hAnsi="宋体"/>
        </w:rPr>
        <w:t>“</w:t>
      </w:r>
      <w:r>
        <w:rPr>
          <w:rFonts w:hint="eastAsia" w:ascii="宋体" w:hAnsi="宋体"/>
        </w:rPr>
        <w:t>税款所属期间</w:t>
      </w:r>
      <w:r>
        <w:rPr>
          <w:rFonts w:ascii="宋体" w:hAnsi="宋体"/>
        </w:rPr>
        <w:t>”</w:t>
      </w:r>
      <w:r>
        <w:rPr>
          <w:rFonts w:hint="eastAsia" w:ascii="宋体" w:hAnsi="宋体"/>
        </w:rPr>
        <w:t>填报</w:t>
      </w:r>
      <w:r>
        <w:rPr>
          <w:rFonts w:ascii="宋体" w:hAnsi="宋体"/>
        </w:rPr>
        <w:t>“××</w:t>
      </w:r>
      <w:r>
        <w:rPr>
          <w:rFonts w:hint="eastAsia" w:ascii="宋体" w:hAnsi="宋体"/>
        </w:rPr>
        <w:t>年</w:t>
      </w:r>
      <w:r>
        <w:rPr>
          <w:rFonts w:ascii="宋体" w:hAnsi="宋体"/>
        </w:rPr>
        <w:t>4</w:t>
      </w:r>
      <w:r>
        <w:rPr>
          <w:rFonts w:hint="eastAsia" w:ascii="宋体" w:hAnsi="宋体"/>
        </w:rPr>
        <w:t>月</w:t>
      </w:r>
      <w:r>
        <w:rPr>
          <w:rFonts w:ascii="宋体" w:hAnsi="宋体"/>
        </w:rPr>
        <w:t>1</w:t>
      </w:r>
      <w:r>
        <w:rPr>
          <w:rFonts w:hint="eastAsia" w:ascii="宋体" w:hAnsi="宋体"/>
        </w:rPr>
        <w:t>日至</w:t>
      </w:r>
      <w:r>
        <w:rPr>
          <w:rFonts w:ascii="宋体" w:hAnsi="宋体"/>
        </w:rPr>
        <w:t>××</w:t>
      </w:r>
      <w:r>
        <w:rPr>
          <w:rFonts w:hint="eastAsia" w:ascii="宋体" w:hAnsi="宋体"/>
        </w:rPr>
        <w:t>年</w:t>
      </w:r>
      <w:r>
        <w:rPr>
          <w:rFonts w:ascii="宋体" w:hAnsi="宋体"/>
        </w:rPr>
        <w:t>6</w:t>
      </w:r>
      <w:r>
        <w:rPr>
          <w:rFonts w:hint="eastAsia" w:ascii="宋体" w:hAnsi="宋体"/>
        </w:rPr>
        <w:t>月</w:t>
      </w:r>
      <w:r>
        <w:rPr>
          <w:rFonts w:ascii="宋体" w:hAnsi="宋体"/>
        </w:rPr>
        <w:t>30</w:t>
      </w:r>
      <w:r>
        <w:rPr>
          <w:rFonts w:hint="eastAsia" w:ascii="宋体" w:hAnsi="宋体"/>
        </w:rPr>
        <w:t>日</w:t>
      </w:r>
      <w:r>
        <w:rPr>
          <w:rFonts w:ascii="宋体" w:hAnsi="宋体"/>
        </w:rPr>
        <w:t>”</w:t>
      </w:r>
      <w:r>
        <w:rPr>
          <w:rFonts w:hint="eastAsia" w:ascii="宋体" w:hAnsi="宋体"/>
        </w:rPr>
        <w:t>。</w:t>
      </w:r>
    </w:p>
    <w:p>
      <w:pPr>
        <w:pStyle w:val="7"/>
        <w:rPr>
          <w:rFonts w:ascii="宋体" w:hAnsi="宋体"/>
        </w:rPr>
      </w:pPr>
      <w:r>
        <w:rPr>
          <w:rFonts w:ascii="宋体" w:hAnsi="宋体"/>
        </w:rPr>
        <w:t>2.“</w:t>
      </w:r>
      <w:r>
        <w:rPr>
          <w:rFonts w:hint="eastAsia" w:ascii="宋体" w:hAnsi="宋体"/>
        </w:rPr>
        <w:t>总机构名称</w:t>
      </w:r>
      <w:r>
        <w:rPr>
          <w:rFonts w:ascii="宋体" w:hAnsi="宋体"/>
        </w:rPr>
        <w:t>”“</w:t>
      </w:r>
      <w:r>
        <w:rPr>
          <w:rFonts w:hint="eastAsia" w:ascii="宋体" w:hAnsi="宋体"/>
        </w:rPr>
        <w:t>分支机构名称</w:t>
      </w:r>
      <w:r>
        <w:rPr>
          <w:rFonts w:ascii="宋体" w:hAnsi="宋体"/>
        </w:rPr>
        <w:t>”</w:t>
      </w:r>
      <w:r>
        <w:rPr>
          <w:rFonts w:hint="eastAsia" w:ascii="宋体" w:hAnsi="宋体"/>
        </w:rPr>
        <w:t>：填报营业执照、税务登记证等证件载明的纳税人名称。</w:t>
      </w:r>
    </w:p>
    <w:p>
      <w:pPr>
        <w:pStyle w:val="7"/>
        <w:rPr>
          <w:rFonts w:ascii="宋体" w:hAnsi="宋体"/>
        </w:rPr>
      </w:pPr>
      <w:r>
        <w:rPr>
          <w:rFonts w:ascii="宋体" w:hAnsi="宋体"/>
        </w:rPr>
        <w:t>3.“</w:t>
      </w:r>
      <w:r>
        <w:rPr>
          <w:rFonts w:hint="eastAsia" w:ascii="宋体" w:hAnsi="宋体"/>
        </w:rPr>
        <w:t>总机构统一社会信用代码（纳税人识别号）</w:t>
      </w:r>
      <w:r>
        <w:rPr>
          <w:rFonts w:ascii="宋体" w:hAnsi="宋体"/>
        </w:rPr>
        <w:t>”“</w:t>
      </w:r>
      <w:r>
        <w:rPr>
          <w:rFonts w:hint="eastAsia" w:ascii="宋体" w:hAnsi="宋体"/>
        </w:rPr>
        <w:t>分支机构统一社会信用代码（纳税人识别号）</w:t>
      </w:r>
      <w:r>
        <w:rPr>
          <w:rFonts w:ascii="宋体" w:hAnsi="宋体"/>
        </w:rPr>
        <w:t>”</w:t>
      </w:r>
      <w:r>
        <w:rPr>
          <w:rFonts w:hint="eastAsia" w:ascii="宋体" w:hAnsi="宋体"/>
        </w:rPr>
        <w:t>：填报有关部门核发的纳税人统一社会信用代码。未取得统一社会信用代码的，填报税务机关核发的纳税人识别号。</w:t>
      </w:r>
    </w:p>
    <w:p>
      <w:pPr>
        <w:pStyle w:val="7"/>
        <w:rPr>
          <w:rFonts w:ascii="宋体" w:hAnsi="宋体"/>
        </w:rPr>
      </w:pPr>
      <w:r>
        <w:rPr>
          <w:rFonts w:ascii="宋体" w:hAnsi="宋体"/>
        </w:rPr>
        <w:t>4.“</w:t>
      </w:r>
      <w:r>
        <w:rPr>
          <w:rFonts w:hint="eastAsia" w:ascii="宋体" w:hAnsi="宋体"/>
        </w:rPr>
        <w:t>应纳所得税额</w:t>
      </w:r>
      <w:r>
        <w:rPr>
          <w:rFonts w:ascii="宋体" w:hAnsi="宋体"/>
        </w:rPr>
        <w:t>”</w:t>
      </w:r>
      <w:r>
        <w:rPr>
          <w:rFonts w:hint="eastAsia" w:ascii="宋体" w:hAnsi="宋体"/>
        </w:rPr>
        <w:t>：填报本税款所属期企业汇总计算的本期应补（退）的所得税额。</w:t>
      </w:r>
    </w:p>
    <w:p>
      <w:pPr>
        <w:pStyle w:val="7"/>
        <w:rPr>
          <w:rFonts w:ascii="宋体" w:hAnsi="宋体"/>
        </w:rPr>
      </w:pPr>
      <w:r>
        <w:rPr>
          <w:rFonts w:ascii="宋体" w:hAnsi="宋体"/>
        </w:rPr>
        <w:t>5.“</w:t>
      </w:r>
      <w:r>
        <w:rPr>
          <w:rFonts w:hint="eastAsia" w:ascii="宋体" w:hAnsi="宋体"/>
        </w:rPr>
        <w:t>总机构分摊所得税额</w:t>
      </w:r>
      <w:r>
        <w:rPr>
          <w:rFonts w:ascii="宋体" w:hAnsi="宋体"/>
        </w:rPr>
        <w:t>”</w:t>
      </w:r>
      <w:r>
        <w:rPr>
          <w:rFonts w:hint="eastAsia" w:ascii="宋体" w:hAnsi="宋体"/>
        </w:rPr>
        <w:t>：对于跨省（自治区、直辖市和计划单列市）经营汇总纳税企业，填报本期《中华人民共和国企业所得税月（季）度预缴纳税申报表（</w:t>
      </w:r>
      <w:r>
        <w:rPr>
          <w:rFonts w:ascii="宋体" w:hAnsi="宋体"/>
        </w:rPr>
        <w:t>A</w:t>
      </w:r>
      <w:r>
        <w:rPr>
          <w:rFonts w:hint="eastAsia" w:ascii="宋体" w:hAnsi="宋体"/>
        </w:rPr>
        <w:t>类）》（</w:t>
      </w:r>
      <w:r>
        <w:rPr>
          <w:rFonts w:ascii="宋体" w:hAnsi="宋体"/>
        </w:rPr>
        <w:t>A200000</w:t>
      </w:r>
      <w:r>
        <w:rPr>
          <w:rFonts w:hint="eastAsia" w:ascii="宋体" w:hAnsi="宋体"/>
        </w:rPr>
        <w:t>）第</w:t>
      </w:r>
      <w:r>
        <w:rPr>
          <w:rFonts w:ascii="宋体" w:hAnsi="宋体"/>
        </w:rPr>
        <w:t>15</w:t>
      </w:r>
      <w:r>
        <w:rPr>
          <w:rFonts w:hint="eastAsia" w:ascii="宋体" w:hAnsi="宋体"/>
        </w:rPr>
        <w:t>行</w:t>
      </w:r>
      <w:r>
        <w:rPr>
          <w:rFonts w:ascii="宋体" w:hAnsi="宋体"/>
        </w:rPr>
        <w:t>×25%</w:t>
      </w:r>
      <w:r>
        <w:rPr>
          <w:rFonts w:hint="eastAsia" w:ascii="宋体" w:hAnsi="宋体"/>
        </w:rPr>
        <w:t>的金额；对于同一省（自治区、直辖市、计划单列市）内跨地区经营汇总纳税企业，填报本期《中华人民共和国企业所得税月（季）度预缴纳税申报表（</w:t>
      </w:r>
      <w:r>
        <w:rPr>
          <w:rFonts w:ascii="宋体" w:hAnsi="宋体"/>
        </w:rPr>
        <w:t>A</w:t>
      </w:r>
      <w:r>
        <w:rPr>
          <w:rFonts w:hint="eastAsia" w:ascii="宋体" w:hAnsi="宋体"/>
        </w:rPr>
        <w:t>类）》（</w:t>
      </w:r>
      <w:r>
        <w:rPr>
          <w:rFonts w:ascii="宋体" w:hAnsi="宋体"/>
        </w:rPr>
        <w:t>A200000</w:t>
      </w:r>
      <w:r>
        <w:rPr>
          <w:rFonts w:hint="eastAsia" w:ascii="宋体" w:hAnsi="宋体"/>
        </w:rPr>
        <w:t>）第</w:t>
      </w:r>
      <w:r>
        <w:rPr>
          <w:rFonts w:ascii="宋体" w:hAnsi="宋体"/>
        </w:rPr>
        <w:t>15</w:t>
      </w:r>
      <w:r>
        <w:rPr>
          <w:rFonts w:hint="eastAsia" w:ascii="宋体" w:hAnsi="宋体"/>
        </w:rPr>
        <w:t>行</w:t>
      </w:r>
      <w:r>
        <w:rPr>
          <w:rFonts w:ascii="宋体" w:hAnsi="宋体"/>
        </w:rPr>
        <w:t>×</w:t>
      </w:r>
      <w:r>
        <w:rPr>
          <w:rFonts w:hint="eastAsia" w:ascii="宋体" w:hAnsi="宋体"/>
        </w:rPr>
        <w:t>各省（自治区、直辖市和计划单列市）确定的总机构分摊比例的金额。</w:t>
      </w:r>
    </w:p>
    <w:p>
      <w:pPr>
        <w:pStyle w:val="7"/>
        <w:rPr>
          <w:rFonts w:ascii="宋体" w:hAnsi="宋体"/>
        </w:rPr>
      </w:pPr>
      <w:r>
        <w:rPr>
          <w:rFonts w:ascii="宋体" w:hAnsi="宋体"/>
        </w:rPr>
        <w:t>6.“</w:t>
      </w:r>
      <w:r>
        <w:rPr>
          <w:rFonts w:hint="eastAsia" w:ascii="宋体" w:hAnsi="宋体"/>
        </w:rPr>
        <w:t>总机构财政集中分配所得税额</w:t>
      </w:r>
      <w:r>
        <w:rPr>
          <w:rFonts w:ascii="宋体" w:hAnsi="宋体"/>
        </w:rPr>
        <w:t>”</w:t>
      </w:r>
      <w:r>
        <w:rPr>
          <w:rFonts w:hint="eastAsia" w:ascii="宋体" w:hAnsi="宋体"/>
        </w:rPr>
        <w:t>：对于跨省（自治区、直辖市和计划单列市）经营汇总纳税企业，填报本期《中华人民共和国企业所得税月（季）度预缴纳税申报表（</w:t>
      </w:r>
      <w:r>
        <w:rPr>
          <w:rFonts w:ascii="宋体" w:hAnsi="宋体"/>
        </w:rPr>
        <w:t>A</w:t>
      </w:r>
      <w:r>
        <w:rPr>
          <w:rFonts w:hint="eastAsia" w:ascii="宋体" w:hAnsi="宋体"/>
        </w:rPr>
        <w:t>类）》（</w:t>
      </w:r>
      <w:r>
        <w:rPr>
          <w:rFonts w:ascii="宋体" w:hAnsi="宋体"/>
        </w:rPr>
        <w:t>A200000</w:t>
      </w:r>
      <w:r>
        <w:rPr>
          <w:rFonts w:hint="eastAsia" w:ascii="宋体" w:hAnsi="宋体"/>
        </w:rPr>
        <w:t>）第</w:t>
      </w:r>
      <w:r>
        <w:rPr>
          <w:rFonts w:ascii="宋体" w:hAnsi="宋体"/>
        </w:rPr>
        <w:t>15</w:t>
      </w:r>
      <w:r>
        <w:rPr>
          <w:rFonts w:hint="eastAsia" w:ascii="宋体" w:hAnsi="宋体"/>
        </w:rPr>
        <w:t>行</w:t>
      </w:r>
      <w:r>
        <w:rPr>
          <w:rFonts w:ascii="宋体" w:hAnsi="宋体"/>
        </w:rPr>
        <w:t>×25%</w:t>
      </w:r>
      <w:r>
        <w:rPr>
          <w:rFonts w:hint="eastAsia" w:ascii="宋体" w:hAnsi="宋体"/>
        </w:rPr>
        <w:t>的金额；对于同一省（自治区、直辖市、计划单列市）内跨地区经营汇总纳税企业，填报本期《中华人民共和国企业所得税月（季）度预缴纳税申报表（</w:t>
      </w:r>
      <w:r>
        <w:rPr>
          <w:rFonts w:ascii="宋体" w:hAnsi="宋体"/>
        </w:rPr>
        <w:t>A</w:t>
      </w:r>
      <w:r>
        <w:rPr>
          <w:rFonts w:hint="eastAsia" w:ascii="宋体" w:hAnsi="宋体"/>
        </w:rPr>
        <w:t>类）》（</w:t>
      </w:r>
      <w:r>
        <w:rPr>
          <w:rFonts w:ascii="宋体" w:hAnsi="宋体"/>
        </w:rPr>
        <w:t>A200000</w:t>
      </w:r>
      <w:r>
        <w:rPr>
          <w:rFonts w:hint="eastAsia" w:ascii="宋体" w:hAnsi="宋体"/>
        </w:rPr>
        <w:t>）第</w:t>
      </w:r>
      <w:r>
        <w:rPr>
          <w:rFonts w:ascii="宋体" w:hAnsi="宋体"/>
        </w:rPr>
        <w:t>15</w:t>
      </w:r>
      <w:r>
        <w:rPr>
          <w:rFonts w:hint="eastAsia" w:ascii="宋体" w:hAnsi="宋体"/>
        </w:rPr>
        <w:t>行</w:t>
      </w:r>
      <w:r>
        <w:rPr>
          <w:rFonts w:ascii="宋体" w:hAnsi="宋体"/>
        </w:rPr>
        <w:t>×</w:t>
      </w:r>
      <w:r>
        <w:rPr>
          <w:rFonts w:hint="eastAsia" w:ascii="宋体" w:hAnsi="宋体"/>
        </w:rPr>
        <w:t>各省（自治区、直辖市和计划单列市）确定的财政集中分配比例的金额。</w:t>
      </w:r>
    </w:p>
    <w:p>
      <w:pPr>
        <w:pStyle w:val="7"/>
        <w:rPr>
          <w:rFonts w:ascii="宋体" w:hAnsi="宋体"/>
        </w:rPr>
      </w:pPr>
      <w:r>
        <w:rPr>
          <w:rFonts w:ascii="宋体" w:hAnsi="宋体"/>
        </w:rPr>
        <w:t>7.“</w:t>
      </w:r>
      <w:r>
        <w:rPr>
          <w:rFonts w:hint="eastAsia" w:ascii="宋体" w:hAnsi="宋体"/>
        </w:rPr>
        <w:t>分支机构分摊所得税额</w:t>
      </w:r>
      <w:r>
        <w:rPr>
          <w:rFonts w:ascii="宋体" w:hAnsi="宋体"/>
        </w:rPr>
        <w:t>”</w:t>
      </w:r>
      <w:r>
        <w:rPr>
          <w:rFonts w:hint="eastAsia" w:ascii="宋体" w:hAnsi="宋体"/>
        </w:rPr>
        <w:t>：对于跨省（自治区、直辖市和计划单列市）经营汇总纳税企业，填报本期《中华人民共和国企业所得税月（季）度预缴纳税申报表（</w:t>
      </w:r>
      <w:r>
        <w:rPr>
          <w:rFonts w:ascii="宋体" w:hAnsi="宋体"/>
        </w:rPr>
        <w:t>A</w:t>
      </w:r>
      <w:r>
        <w:rPr>
          <w:rFonts w:hint="eastAsia" w:ascii="宋体" w:hAnsi="宋体"/>
        </w:rPr>
        <w:t>类）》（</w:t>
      </w:r>
      <w:r>
        <w:rPr>
          <w:rFonts w:ascii="宋体" w:hAnsi="宋体"/>
        </w:rPr>
        <w:t>A200000</w:t>
      </w:r>
      <w:r>
        <w:rPr>
          <w:rFonts w:hint="eastAsia" w:ascii="宋体" w:hAnsi="宋体"/>
        </w:rPr>
        <w:t>）第</w:t>
      </w:r>
      <w:r>
        <w:rPr>
          <w:rFonts w:ascii="宋体" w:hAnsi="宋体"/>
        </w:rPr>
        <w:t>15</w:t>
      </w:r>
      <w:r>
        <w:rPr>
          <w:rFonts w:hint="eastAsia" w:ascii="宋体" w:hAnsi="宋体"/>
        </w:rPr>
        <w:t>行</w:t>
      </w:r>
      <w:r>
        <w:rPr>
          <w:rFonts w:ascii="宋体" w:hAnsi="宋体"/>
        </w:rPr>
        <w:t>×50%</w:t>
      </w:r>
      <w:r>
        <w:rPr>
          <w:rFonts w:hint="eastAsia" w:ascii="宋体" w:hAnsi="宋体"/>
        </w:rPr>
        <w:t>的金额；对于同一省（自治区、直辖市、计划单列市）内跨地区经营汇总纳税企业，填报本期《中华人民共和国企业所得税月（季）度预缴纳税申报表（</w:t>
      </w:r>
      <w:r>
        <w:rPr>
          <w:rFonts w:ascii="宋体" w:hAnsi="宋体"/>
        </w:rPr>
        <w:t>A</w:t>
      </w:r>
      <w:r>
        <w:rPr>
          <w:rFonts w:hint="eastAsia" w:ascii="宋体" w:hAnsi="宋体"/>
        </w:rPr>
        <w:t>类）》（</w:t>
      </w:r>
      <w:r>
        <w:rPr>
          <w:rFonts w:ascii="宋体" w:hAnsi="宋体"/>
        </w:rPr>
        <w:t>A200000</w:t>
      </w:r>
      <w:r>
        <w:rPr>
          <w:rFonts w:hint="eastAsia" w:ascii="宋体" w:hAnsi="宋体"/>
        </w:rPr>
        <w:t>）第</w:t>
      </w:r>
      <w:r>
        <w:rPr>
          <w:rFonts w:ascii="宋体" w:hAnsi="宋体"/>
        </w:rPr>
        <w:t>15</w:t>
      </w:r>
      <w:r>
        <w:rPr>
          <w:rFonts w:hint="eastAsia" w:ascii="宋体" w:hAnsi="宋体"/>
        </w:rPr>
        <w:t>行</w:t>
      </w:r>
      <w:r>
        <w:rPr>
          <w:rFonts w:ascii="宋体" w:hAnsi="宋体"/>
        </w:rPr>
        <w:t>×</w:t>
      </w:r>
      <w:r>
        <w:rPr>
          <w:rFonts w:hint="eastAsia" w:ascii="宋体" w:hAnsi="宋体"/>
        </w:rPr>
        <w:t>各省（自治区、直辖市和计划单列市）确定的全部分支机构分摊比例的金额。</w:t>
      </w:r>
    </w:p>
    <w:p>
      <w:pPr>
        <w:pStyle w:val="7"/>
        <w:rPr>
          <w:rFonts w:ascii="宋体" w:hAnsi="宋体"/>
        </w:rPr>
      </w:pPr>
      <w:r>
        <w:rPr>
          <w:rFonts w:ascii="宋体" w:hAnsi="宋体"/>
        </w:rPr>
        <w:t>8.“</w:t>
      </w:r>
      <w:r>
        <w:rPr>
          <w:rFonts w:hint="eastAsia" w:ascii="宋体" w:hAnsi="宋体"/>
        </w:rPr>
        <w:t>营业收入</w:t>
      </w:r>
      <w:r>
        <w:rPr>
          <w:rFonts w:ascii="宋体" w:hAnsi="宋体"/>
        </w:rPr>
        <w:t>”</w:t>
      </w:r>
      <w:r>
        <w:rPr>
          <w:rFonts w:hint="eastAsia" w:ascii="宋体" w:hAnsi="宋体"/>
        </w:rPr>
        <w:t>：填报上一年度各分支机构销售商品、提供劳务、让渡资产使用权等日常经营活动实现的全部收入的合计额。</w:t>
      </w:r>
    </w:p>
    <w:p>
      <w:pPr>
        <w:pStyle w:val="7"/>
        <w:rPr>
          <w:rFonts w:ascii="宋体" w:hAnsi="宋体"/>
        </w:rPr>
      </w:pPr>
      <w:r>
        <w:rPr>
          <w:rFonts w:ascii="宋体" w:hAnsi="宋体"/>
        </w:rPr>
        <w:t>9.“</w:t>
      </w:r>
      <w:r>
        <w:rPr>
          <w:rFonts w:hint="eastAsia" w:ascii="宋体" w:hAnsi="宋体"/>
        </w:rPr>
        <w:t>职工薪酬</w:t>
      </w:r>
      <w:r>
        <w:rPr>
          <w:rFonts w:ascii="宋体" w:hAnsi="宋体"/>
        </w:rPr>
        <w:t>”</w:t>
      </w:r>
      <w:r>
        <w:rPr>
          <w:rFonts w:hint="eastAsia" w:ascii="宋体" w:hAnsi="宋体"/>
        </w:rPr>
        <w:t>：填报上一年度各分支机构为获得职工提供的服务而给予各种形式的报酬以及其他相关支出的合计额。</w:t>
      </w:r>
    </w:p>
    <w:p>
      <w:pPr>
        <w:pStyle w:val="7"/>
        <w:rPr>
          <w:rFonts w:ascii="宋体" w:hAnsi="宋体"/>
        </w:rPr>
      </w:pPr>
      <w:r>
        <w:rPr>
          <w:rFonts w:ascii="宋体" w:hAnsi="宋体"/>
        </w:rPr>
        <w:t>10.“</w:t>
      </w:r>
      <w:r>
        <w:rPr>
          <w:rFonts w:hint="eastAsia" w:ascii="宋体" w:hAnsi="宋体"/>
        </w:rPr>
        <w:t>资产总额</w:t>
      </w:r>
      <w:r>
        <w:rPr>
          <w:rFonts w:ascii="宋体" w:hAnsi="宋体"/>
        </w:rPr>
        <w:t>”</w:t>
      </w:r>
      <w:r>
        <w:rPr>
          <w:rFonts w:hint="eastAsia" w:ascii="宋体" w:hAnsi="宋体"/>
        </w:rPr>
        <w:t>：填报上一年度各分支机构在经营活动中实际使用的应归属于该分支机构的资产合计额。</w:t>
      </w:r>
    </w:p>
    <w:p>
      <w:pPr>
        <w:pStyle w:val="7"/>
        <w:rPr>
          <w:rFonts w:ascii="宋体" w:hAnsi="宋体"/>
        </w:rPr>
      </w:pPr>
      <w:r>
        <w:rPr>
          <w:rFonts w:ascii="宋体" w:hAnsi="宋体"/>
        </w:rPr>
        <w:t>11.“</w:t>
      </w:r>
      <w:r>
        <w:rPr>
          <w:rFonts w:hint="eastAsia" w:ascii="宋体" w:hAnsi="宋体"/>
        </w:rPr>
        <w:t>分配比例</w:t>
      </w:r>
      <w:r>
        <w:rPr>
          <w:rFonts w:ascii="宋体" w:hAnsi="宋体"/>
        </w:rPr>
        <w:t>”</w:t>
      </w:r>
      <w:r>
        <w:rPr>
          <w:rFonts w:hint="eastAsia" w:ascii="宋体" w:hAnsi="宋体"/>
        </w:rPr>
        <w:t>：填报经总机构所在地主管税务机关审核确认的各分支机构分配比例，分配比例应保留小数点后十位。</w:t>
      </w:r>
    </w:p>
    <w:p>
      <w:pPr>
        <w:pStyle w:val="7"/>
        <w:rPr>
          <w:rFonts w:ascii="宋体" w:hAnsi="宋体"/>
        </w:rPr>
      </w:pPr>
      <w:r>
        <w:rPr>
          <w:rFonts w:ascii="宋体" w:hAnsi="宋体"/>
        </w:rPr>
        <w:t>12.“</w:t>
      </w:r>
      <w:r>
        <w:rPr>
          <w:rFonts w:hint="eastAsia" w:ascii="宋体" w:hAnsi="宋体"/>
        </w:rPr>
        <w:t>分配所得税额</w:t>
      </w:r>
      <w:r>
        <w:rPr>
          <w:rFonts w:ascii="宋体" w:hAnsi="宋体"/>
        </w:rPr>
        <w:t>”</w:t>
      </w:r>
      <w:r>
        <w:rPr>
          <w:rFonts w:hint="eastAsia" w:ascii="宋体" w:hAnsi="宋体"/>
        </w:rPr>
        <w:t>：填报分支机构按照分支机构分摊所得税额乘以相应的分配比例的金额。</w:t>
      </w:r>
    </w:p>
    <w:p>
      <w:pPr>
        <w:pStyle w:val="7"/>
        <w:rPr>
          <w:rFonts w:ascii="宋体" w:hAnsi="宋体"/>
        </w:rPr>
      </w:pPr>
      <w:r>
        <w:rPr>
          <w:rFonts w:ascii="宋体" w:hAnsi="宋体"/>
        </w:rPr>
        <w:t>13.“</w:t>
      </w:r>
      <w:r>
        <w:rPr>
          <w:rFonts w:hint="eastAsia" w:ascii="宋体" w:hAnsi="宋体"/>
        </w:rPr>
        <w:t>合计</w:t>
      </w:r>
      <w:r>
        <w:rPr>
          <w:rFonts w:ascii="宋体" w:hAnsi="宋体"/>
        </w:rPr>
        <w:t>”</w:t>
      </w:r>
      <w:r>
        <w:rPr>
          <w:rFonts w:hint="eastAsia" w:ascii="宋体" w:hAnsi="宋体"/>
        </w:rPr>
        <w:t>：填报上一年度各分支机构的营业收入总额、职工薪酬总额和资产总额三项因素的合计金额及本年各分支机构分配比例和分配税额的合计金额。</w:t>
      </w:r>
    </w:p>
    <w:p>
      <w:pPr>
        <w:pStyle w:val="7"/>
        <w:rPr>
          <w:rFonts w:ascii="宋体" w:hAnsi="宋体"/>
        </w:rPr>
      </w:pPr>
      <w:r>
        <w:rPr>
          <w:rFonts w:hint="eastAsia" w:ascii="宋体" w:hAnsi="宋体"/>
        </w:rPr>
        <w:t>三、表间关系</w:t>
      </w:r>
    </w:p>
    <w:p>
      <w:pPr>
        <w:pStyle w:val="7"/>
        <w:rPr>
          <w:rFonts w:ascii="宋体" w:hAnsi="宋体"/>
        </w:rPr>
      </w:pPr>
      <w:r>
        <w:rPr>
          <w:rFonts w:ascii="宋体" w:hAnsi="宋体"/>
        </w:rPr>
        <w:t>1.“</w:t>
      </w:r>
      <w:r>
        <w:rPr>
          <w:rFonts w:hint="eastAsia" w:ascii="宋体" w:hAnsi="宋体"/>
        </w:rPr>
        <w:t>应纳所得税额</w:t>
      </w:r>
      <w:r>
        <w:rPr>
          <w:rFonts w:ascii="宋体" w:hAnsi="宋体"/>
        </w:rPr>
        <w:t>”</w:t>
      </w:r>
      <w:r>
        <w:rPr>
          <w:rFonts w:hint="eastAsia" w:ascii="宋体" w:hAnsi="宋体"/>
        </w:rPr>
        <w:t>栏次＝表</w:t>
      </w:r>
      <w:r>
        <w:rPr>
          <w:rFonts w:ascii="宋体" w:hAnsi="宋体"/>
        </w:rPr>
        <w:t>A200000</w:t>
      </w:r>
      <w:r>
        <w:rPr>
          <w:rFonts w:hint="eastAsia" w:ascii="宋体" w:hAnsi="宋体"/>
        </w:rPr>
        <w:t>第</w:t>
      </w:r>
      <w:r>
        <w:rPr>
          <w:rFonts w:ascii="宋体" w:hAnsi="宋体"/>
        </w:rPr>
        <w:t>15</w:t>
      </w:r>
      <w:r>
        <w:rPr>
          <w:rFonts w:hint="eastAsia" w:ascii="宋体" w:hAnsi="宋体"/>
        </w:rPr>
        <w:t>行。</w:t>
      </w:r>
    </w:p>
    <w:p>
      <w:pPr>
        <w:pStyle w:val="7"/>
        <w:rPr>
          <w:rFonts w:ascii="宋体" w:hAnsi="宋体"/>
        </w:rPr>
      </w:pPr>
      <w:r>
        <w:rPr>
          <w:rFonts w:ascii="宋体" w:hAnsi="宋体"/>
        </w:rPr>
        <w:t>2.“</w:t>
      </w:r>
      <w:r>
        <w:rPr>
          <w:rFonts w:hint="eastAsia" w:ascii="宋体" w:hAnsi="宋体"/>
        </w:rPr>
        <w:t>总机构分摊所得税额</w:t>
      </w:r>
      <w:r>
        <w:rPr>
          <w:rFonts w:ascii="宋体" w:hAnsi="宋体"/>
        </w:rPr>
        <w:t>”</w:t>
      </w:r>
      <w:r>
        <w:rPr>
          <w:rFonts w:hint="eastAsia" w:ascii="宋体" w:hAnsi="宋体"/>
        </w:rPr>
        <w:t>栏次＝表</w:t>
      </w:r>
      <w:r>
        <w:rPr>
          <w:rFonts w:ascii="宋体" w:hAnsi="宋体"/>
        </w:rPr>
        <w:t>A200000</w:t>
      </w:r>
      <w:r>
        <w:rPr>
          <w:rFonts w:hint="eastAsia" w:ascii="宋体" w:hAnsi="宋体"/>
        </w:rPr>
        <w:t>第</w:t>
      </w:r>
      <w:r>
        <w:rPr>
          <w:rFonts w:ascii="宋体" w:hAnsi="宋体"/>
        </w:rPr>
        <w:t>17</w:t>
      </w:r>
      <w:r>
        <w:rPr>
          <w:rFonts w:hint="eastAsia" w:ascii="宋体" w:hAnsi="宋体"/>
        </w:rPr>
        <w:t>行。</w:t>
      </w:r>
    </w:p>
    <w:p>
      <w:pPr>
        <w:pStyle w:val="7"/>
        <w:rPr>
          <w:rFonts w:ascii="宋体" w:hAnsi="宋体"/>
        </w:rPr>
      </w:pPr>
      <w:r>
        <w:rPr>
          <w:rFonts w:ascii="宋体" w:hAnsi="宋体"/>
        </w:rPr>
        <w:t>3.“</w:t>
      </w:r>
      <w:r>
        <w:rPr>
          <w:rFonts w:hint="eastAsia" w:ascii="宋体" w:hAnsi="宋体"/>
        </w:rPr>
        <w:t>总机构财政集中分配所得税额</w:t>
      </w:r>
      <w:r>
        <w:rPr>
          <w:rFonts w:ascii="宋体" w:hAnsi="宋体"/>
        </w:rPr>
        <w:t>”</w:t>
      </w:r>
      <w:r>
        <w:rPr>
          <w:rFonts w:hint="eastAsia" w:ascii="宋体" w:hAnsi="宋体"/>
        </w:rPr>
        <w:t>栏次＝表</w:t>
      </w:r>
      <w:r>
        <w:rPr>
          <w:rFonts w:ascii="宋体" w:hAnsi="宋体"/>
        </w:rPr>
        <w:t>A200000</w:t>
      </w:r>
      <w:r>
        <w:rPr>
          <w:rFonts w:hint="eastAsia" w:ascii="宋体" w:hAnsi="宋体"/>
        </w:rPr>
        <w:t>第</w:t>
      </w:r>
      <w:r>
        <w:rPr>
          <w:rFonts w:ascii="宋体" w:hAnsi="宋体"/>
        </w:rPr>
        <w:t>18</w:t>
      </w:r>
      <w:r>
        <w:rPr>
          <w:rFonts w:hint="eastAsia" w:ascii="宋体" w:hAnsi="宋体"/>
        </w:rPr>
        <w:t>行。</w:t>
      </w:r>
    </w:p>
    <w:p>
      <w:pPr>
        <w:pStyle w:val="7"/>
        <w:rPr>
          <w:rFonts w:ascii="宋体" w:hAnsi="宋体"/>
        </w:rPr>
        <w:sectPr>
          <w:type w:val="continuous"/>
          <w:pgSz w:w="16838" w:h="11906" w:orient="landscape"/>
          <w:pgMar w:top="1797" w:right="1440" w:bottom="1797" w:left="1440" w:header="851" w:footer="992" w:gutter="0"/>
          <w:cols w:space="720" w:num="1"/>
          <w:docGrid w:type="lines" w:linePitch="326" w:charSpace="0"/>
        </w:sectPr>
      </w:pPr>
      <w:r>
        <w:rPr>
          <w:rFonts w:ascii="宋体" w:hAnsi="宋体"/>
        </w:rPr>
        <w:t>4.</w:t>
      </w:r>
      <w:r>
        <w:rPr>
          <w:rFonts w:hint="eastAsia" w:ascii="宋体" w:hAnsi="宋体"/>
        </w:rPr>
        <w:t>“分支机构情况”中对应总机构独立生产经营部门行次的“分配所得税额”栏次＝表</w:t>
      </w:r>
      <w:r>
        <w:rPr>
          <w:rFonts w:ascii="宋体" w:hAnsi="宋体"/>
        </w:rPr>
        <w:t>A200000</w:t>
      </w:r>
      <w:r>
        <w:rPr>
          <w:rFonts w:hint="eastAsia" w:ascii="宋体" w:hAnsi="宋体"/>
        </w:rPr>
        <w:t>第</w:t>
      </w:r>
      <w:r>
        <w:rPr>
          <w:rFonts w:ascii="宋体" w:hAnsi="宋体"/>
        </w:rPr>
        <w:t>19</w:t>
      </w:r>
      <w:r>
        <w:rPr>
          <w:rFonts w:hint="eastAsia" w:ascii="宋体" w:hAnsi="宋体"/>
        </w:rPr>
        <w:t>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C3495"/>
    <w:rsid w:val="3A3C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SBBT1"/>
    <w:basedOn w:val="9"/>
    <w:qFormat/>
    <w:uiPriority w:val="0"/>
    <w:pPr>
      <w:tabs>
        <w:tab w:val="center" w:pos="4678"/>
      </w:tabs>
      <w:spacing w:line="360" w:lineRule="auto"/>
      <w:outlineLvl w:val="0"/>
    </w:pPr>
    <w:rPr>
      <w:rFonts w:ascii="宋体" w:hAnsi="宋体" w:cs="宋体"/>
      <w:b/>
      <w:bCs/>
      <w:sz w:val="28"/>
      <w:szCs w:val="28"/>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2019-10-31T02:30:00Z</dcterms:created>
  <dc:creator>陈莉佳</dc:creator>
  <cp:lastModifiedBy>陈莉佳</cp:lastModifiedBy>
  <dcterms:modified xsi:type="dcterms:W3CDTF">2019-10-31T02:30:29Z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