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eastAsia="宋体"/>
          <w:color w:val="000000"/>
        </w:rPr>
      </w:pPr>
      <w:r>
        <w:rPr>
          <w:rFonts w:eastAsia="宋体"/>
          <w:color w:val="000000"/>
        </w:rPr>
        <w:t>A06760</w:t>
      </w:r>
      <w:r>
        <w:rPr>
          <w:rFonts w:hint="eastAsia" w:eastAsia="宋体"/>
          <w:color w:val="000000"/>
        </w:rPr>
        <w:t>《资源税纳税申报表附表（二）》（精矿类税目适用）</w:t>
      </w:r>
    </w:p>
    <w:p>
      <w:pPr>
        <w:pStyle w:val="8"/>
        <w:jc w:val="center"/>
        <w:rPr>
          <w:b/>
          <w:sz w:val="32"/>
          <w:szCs w:val="32"/>
        </w:rPr>
      </w:pPr>
      <w:bookmarkStart w:id="0" w:name="_GoBack"/>
      <w:bookmarkEnd w:id="0"/>
      <w:r>
        <w:rPr>
          <w:rFonts w:hint="eastAsia"/>
          <w:b/>
          <w:sz w:val="32"/>
          <w:szCs w:val="32"/>
        </w:rPr>
        <w:t>资源税纳税申报表附表（二）</w:t>
      </w:r>
    </w:p>
    <w:p>
      <w:pPr>
        <w:pStyle w:val="8"/>
        <w:jc w:val="center"/>
        <w:rPr>
          <w:b/>
          <w:sz w:val="32"/>
          <w:szCs w:val="32"/>
        </w:rPr>
      </w:pPr>
      <w:r>
        <w:rPr>
          <w:rFonts w:hint="eastAsia"/>
          <w:b/>
          <w:sz w:val="32"/>
          <w:szCs w:val="32"/>
        </w:rPr>
        <w:t>（精矿类税目适用）</w:t>
      </w:r>
    </w:p>
    <w:p>
      <w:pPr>
        <w:pStyle w:val="8"/>
      </w:pPr>
    </w:p>
    <w:p>
      <w:pPr>
        <w:pStyle w:val="8"/>
      </w:pPr>
    </w:p>
    <w:tbl>
      <w:tblPr>
        <w:tblStyle w:val="2"/>
        <w:tblW w:w="6542" w:type="dxa"/>
        <w:tblInd w:w="0" w:type="dxa"/>
        <w:tblLayout w:type="fixed"/>
        <w:tblCellMar>
          <w:top w:w="0" w:type="dxa"/>
          <w:left w:w="108" w:type="dxa"/>
          <w:bottom w:w="0" w:type="dxa"/>
          <w:right w:w="108" w:type="dxa"/>
        </w:tblCellMar>
      </w:tblPr>
      <w:tblGrid>
        <w:gridCol w:w="1809"/>
        <w:gridCol w:w="236"/>
        <w:gridCol w:w="236"/>
        <w:gridCol w:w="236"/>
        <w:gridCol w:w="236"/>
        <w:gridCol w:w="236"/>
        <w:gridCol w:w="236"/>
        <w:gridCol w:w="236"/>
        <w:gridCol w:w="236"/>
        <w:gridCol w:w="236"/>
        <w:gridCol w:w="236"/>
        <w:gridCol w:w="236"/>
        <w:gridCol w:w="236"/>
        <w:gridCol w:w="236"/>
        <w:gridCol w:w="236"/>
        <w:gridCol w:w="236"/>
        <w:gridCol w:w="236"/>
        <w:gridCol w:w="236"/>
        <w:gridCol w:w="249"/>
        <w:gridCol w:w="236"/>
        <w:gridCol w:w="236"/>
      </w:tblGrid>
      <w:tr>
        <w:tblPrEx>
          <w:tblLayout w:type="fixed"/>
          <w:tblCellMar>
            <w:top w:w="0" w:type="dxa"/>
            <w:left w:w="108" w:type="dxa"/>
            <w:bottom w:w="0" w:type="dxa"/>
            <w:right w:w="108" w:type="dxa"/>
          </w:tblCellMar>
        </w:tblPrEx>
        <w:trPr>
          <w:trHeight w:val="282" w:hRule="atLeast"/>
        </w:trPr>
        <w:tc>
          <w:tcPr>
            <w:tcW w:w="1809" w:type="dxa"/>
            <w:tcBorders>
              <w:top w:val="nil"/>
              <w:left w:val="nil"/>
              <w:bottom w:val="nil"/>
              <w:right w:val="single" w:color="auto" w:sz="4" w:space="0"/>
            </w:tcBorders>
            <w:noWrap w:val="0"/>
            <w:vAlign w:val="top"/>
          </w:tcPr>
          <w:p>
            <w:pPr>
              <w:pStyle w:val="8"/>
            </w:pPr>
            <w:r>
              <w:rPr>
                <w:rFonts w:hint="eastAsia"/>
              </w:rPr>
              <w:t>纳税人识别号</w:t>
            </w: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49"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r>
    </w:tbl>
    <w:p>
      <w:pPr>
        <w:pStyle w:val="8"/>
      </w:pPr>
      <w:r>
        <w:rPr>
          <w:rFonts w:hint="eastAsia"/>
        </w:rPr>
        <w:t>纳税人名称：                    （公章）</w:t>
      </w:r>
    </w:p>
    <w:p>
      <w:pPr>
        <w:pStyle w:val="8"/>
      </w:pPr>
      <w:r>
        <w:rPr>
          <w:rFonts w:hint="eastAsia"/>
        </w:rPr>
        <w:t xml:space="preserve">税款所属时间：自       年    月    日至      年    月    日  </w:t>
      </w:r>
      <w:r>
        <w:t xml:space="preserve">                                         </w:t>
      </w:r>
      <w:r>
        <w:rPr>
          <w:rFonts w:hint="eastAsia"/>
        </w:rPr>
        <w:t xml:space="preserve">      </w:t>
      </w:r>
      <w:r>
        <w:t xml:space="preserve"> </w:t>
      </w:r>
      <w:r>
        <w:rPr>
          <w:rFonts w:hint="eastAsia"/>
        </w:rPr>
        <w:t xml:space="preserve">  金额单位：元至角分</w:t>
      </w:r>
    </w:p>
    <w:tbl>
      <w:tblPr>
        <w:tblStyle w:val="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762"/>
        <w:gridCol w:w="550"/>
        <w:gridCol w:w="941"/>
        <w:gridCol w:w="941"/>
        <w:gridCol w:w="587"/>
        <w:gridCol w:w="1145"/>
        <w:gridCol w:w="955"/>
        <w:gridCol w:w="1146"/>
        <w:gridCol w:w="1146"/>
        <w:gridCol w:w="763"/>
        <w:gridCol w:w="956"/>
        <w:gridCol w:w="956"/>
        <w:gridCol w:w="607"/>
        <w:gridCol w:w="1146"/>
        <w:gridCol w:w="1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427" w:type="dxa"/>
            <w:vMerge w:val="restart"/>
            <w:tcBorders>
              <w:top w:val="single" w:color="000000" w:sz="4" w:space="0"/>
              <w:left w:val="single" w:color="000000" w:sz="4" w:space="0"/>
              <w:right w:val="single" w:color="000000" w:sz="4" w:space="0"/>
            </w:tcBorders>
            <w:noWrap w:val="0"/>
            <w:vAlign w:val="center"/>
          </w:tcPr>
          <w:p>
            <w:pPr>
              <w:pStyle w:val="8"/>
              <w:rPr>
                <w:b/>
              </w:rPr>
            </w:pPr>
            <w:r>
              <w:rPr>
                <w:rFonts w:hint="eastAsia"/>
                <w:b/>
              </w:rPr>
              <w:t>序号</w:t>
            </w:r>
          </w:p>
        </w:tc>
        <w:tc>
          <w:tcPr>
            <w:tcW w:w="762" w:type="dxa"/>
            <w:tcBorders>
              <w:top w:val="single" w:color="000000" w:sz="4" w:space="0"/>
              <w:left w:val="single" w:color="000000" w:sz="4" w:space="0"/>
              <w:right w:val="single" w:color="000000" w:sz="4" w:space="0"/>
            </w:tcBorders>
            <w:noWrap w:val="0"/>
            <w:vAlign w:val="center"/>
          </w:tcPr>
          <w:p>
            <w:pPr>
              <w:pStyle w:val="8"/>
              <w:rPr>
                <w:b/>
              </w:rPr>
            </w:pPr>
            <w:r>
              <w:rPr>
                <w:rFonts w:hint="eastAsia"/>
                <w:b/>
              </w:rPr>
              <w:t>税目</w:t>
            </w:r>
          </w:p>
        </w:tc>
        <w:tc>
          <w:tcPr>
            <w:tcW w:w="550" w:type="dxa"/>
            <w:tcBorders>
              <w:top w:val="single" w:color="000000" w:sz="4" w:space="0"/>
              <w:left w:val="single" w:color="000000" w:sz="4" w:space="0"/>
              <w:right w:val="single" w:color="auto" w:sz="4" w:space="0"/>
            </w:tcBorders>
            <w:noWrap w:val="0"/>
            <w:vAlign w:val="center"/>
          </w:tcPr>
          <w:p>
            <w:pPr>
              <w:pStyle w:val="8"/>
              <w:rPr>
                <w:b/>
              </w:rPr>
            </w:pPr>
            <w:r>
              <w:rPr>
                <w:rFonts w:hint="eastAsia"/>
                <w:b/>
              </w:rPr>
              <w:t>子目</w:t>
            </w:r>
          </w:p>
        </w:tc>
        <w:tc>
          <w:tcPr>
            <w:tcW w:w="941" w:type="dxa"/>
            <w:tcBorders>
              <w:top w:val="single" w:color="000000" w:sz="4" w:space="0"/>
              <w:left w:val="single" w:color="auto" w:sz="4" w:space="0"/>
              <w:right w:val="single" w:color="auto" w:sz="4" w:space="0"/>
            </w:tcBorders>
            <w:noWrap w:val="0"/>
            <w:vAlign w:val="center"/>
          </w:tcPr>
          <w:p>
            <w:pPr>
              <w:pStyle w:val="8"/>
              <w:rPr>
                <w:b/>
              </w:rPr>
            </w:pPr>
            <w:r>
              <w:rPr>
                <w:rFonts w:hint="eastAsia"/>
                <w:b/>
              </w:rPr>
              <w:t>原  矿</w:t>
            </w:r>
          </w:p>
          <w:p>
            <w:pPr>
              <w:pStyle w:val="8"/>
              <w:rPr>
                <w:b/>
              </w:rPr>
            </w:pPr>
            <w:r>
              <w:rPr>
                <w:rFonts w:hint="eastAsia"/>
                <w:b/>
              </w:rPr>
              <w:t>销售额</w:t>
            </w:r>
          </w:p>
        </w:tc>
        <w:tc>
          <w:tcPr>
            <w:tcW w:w="941" w:type="dxa"/>
            <w:tcBorders>
              <w:top w:val="single" w:color="000000" w:sz="4" w:space="0"/>
              <w:left w:val="single" w:color="auto" w:sz="4" w:space="0"/>
              <w:right w:val="single" w:color="auto" w:sz="4" w:space="0"/>
            </w:tcBorders>
            <w:noWrap w:val="0"/>
            <w:vAlign w:val="center"/>
          </w:tcPr>
          <w:p>
            <w:pPr>
              <w:pStyle w:val="8"/>
              <w:rPr>
                <w:b/>
              </w:rPr>
            </w:pPr>
            <w:r>
              <w:rPr>
                <w:rFonts w:hint="eastAsia"/>
                <w:b/>
              </w:rPr>
              <w:t>精  矿</w:t>
            </w:r>
          </w:p>
          <w:p>
            <w:pPr>
              <w:pStyle w:val="8"/>
              <w:rPr>
                <w:b/>
              </w:rPr>
            </w:pPr>
            <w:r>
              <w:rPr>
                <w:rFonts w:hint="eastAsia"/>
                <w:b/>
              </w:rPr>
              <w:t>销售额</w:t>
            </w:r>
          </w:p>
        </w:tc>
        <w:tc>
          <w:tcPr>
            <w:tcW w:w="587" w:type="dxa"/>
            <w:tcBorders>
              <w:top w:val="single" w:color="000000" w:sz="4" w:space="0"/>
              <w:left w:val="single" w:color="auto" w:sz="4" w:space="0"/>
              <w:right w:val="single" w:color="auto" w:sz="4" w:space="0"/>
            </w:tcBorders>
            <w:noWrap w:val="0"/>
            <w:vAlign w:val="center"/>
          </w:tcPr>
          <w:p>
            <w:pPr>
              <w:pStyle w:val="8"/>
              <w:rPr>
                <w:b/>
              </w:rPr>
            </w:pPr>
            <w:r>
              <w:rPr>
                <w:rFonts w:hint="eastAsia"/>
                <w:b/>
              </w:rPr>
              <w:t>换算比</w:t>
            </w:r>
          </w:p>
        </w:tc>
        <w:tc>
          <w:tcPr>
            <w:tcW w:w="1145" w:type="dxa"/>
            <w:tcBorders>
              <w:top w:val="single" w:color="000000" w:sz="4" w:space="0"/>
              <w:left w:val="single" w:color="auto" w:sz="4" w:space="0"/>
              <w:right w:val="single" w:color="auto" w:sz="4" w:space="0"/>
            </w:tcBorders>
            <w:noWrap w:val="0"/>
            <w:vAlign w:val="center"/>
          </w:tcPr>
          <w:p>
            <w:pPr>
              <w:pStyle w:val="8"/>
              <w:rPr>
                <w:b/>
              </w:rPr>
            </w:pPr>
            <w:r>
              <w:rPr>
                <w:rFonts w:hint="eastAsia"/>
                <w:b/>
              </w:rPr>
              <w:t>原矿换算为精矿的销售额</w:t>
            </w:r>
          </w:p>
        </w:tc>
        <w:tc>
          <w:tcPr>
            <w:tcW w:w="955" w:type="dxa"/>
            <w:tcBorders>
              <w:top w:val="single" w:color="000000" w:sz="4" w:space="0"/>
              <w:left w:val="single" w:color="auto" w:sz="4" w:space="0"/>
              <w:right w:val="single" w:color="000000" w:sz="4" w:space="0"/>
            </w:tcBorders>
            <w:noWrap w:val="0"/>
            <w:vAlign w:val="center"/>
          </w:tcPr>
          <w:p>
            <w:pPr>
              <w:pStyle w:val="8"/>
              <w:rPr>
                <w:b/>
              </w:rPr>
            </w:pPr>
            <w:r>
              <w:rPr>
                <w:rFonts w:hint="eastAsia"/>
                <w:b/>
              </w:rPr>
              <w:t>允许</w:t>
            </w:r>
          </w:p>
          <w:p>
            <w:pPr>
              <w:pStyle w:val="8"/>
              <w:rPr>
                <w:b/>
              </w:rPr>
            </w:pPr>
            <w:r>
              <w:rPr>
                <w:rFonts w:hint="eastAsia"/>
                <w:b/>
              </w:rPr>
              <w:t>扣减的运杂费</w:t>
            </w:r>
          </w:p>
        </w:tc>
        <w:tc>
          <w:tcPr>
            <w:tcW w:w="1146" w:type="dxa"/>
            <w:tcBorders>
              <w:top w:val="single" w:color="000000" w:sz="4" w:space="0"/>
              <w:left w:val="single" w:color="000000" w:sz="4" w:space="0"/>
              <w:right w:val="single" w:color="000000" w:sz="4" w:space="0"/>
            </w:tcBorders>
            <w:noWrap w:val="0"/>
            <w:vAlign w:val="center"/>
          </w:tcPr>
          <w:p>
            <w:pPr>
              <w:pStyle w:val="8"/>
              <w:rPr>
                <w:b/>
              </w:rPr>
            </w:pPr>
            <w:r>
              <w:rPr>
                <w:rFonts w:hint="eastAsia"/>
                <w:b/>
              </w:rPr>
              <w:t>允许扣减的外购矿购进金额</w:t>
            </w:r>
          </w:p>
        </w:tc>
        <w:tc>
          <w:tcPr>
            <w:tcW w:w="1146" w:type="dxa"/>
            <w:tcBorders>
              <w:top w:val="single" w:color="000000" w:sz="4" w:space="0"/>
              <w:left w:val="single" w:color="000000" w:sz="4" w:space="0"/>
              <w:right w:val="single" w:color="auto" w:sz="4" w:space="0"/>
            </w:tcBorders>
            <w:noWrap w:val="0"/>
            <w:vAlign w:val="center"/>
          </w:tcPr>
          <w:p>
            <w:pPr>
              <w:pStyle w:val="8"/>
              <w:rPr>
                <w:b/>
              </w:rPr>
            </w:pPr>
            <w:r>
              <w:rPr>
                <w:rFonts w:hint="eastAsia"/>
                <w:b/>
              </w:rPr>
              <w:t>计  税</w:t>
            </w:r>
          </w:p>
          <w:p>
            <w:pPr>
              <w:pStyle w:val="8"/>
              <w:rPr>
                <w:b/>
              </w:rPr>
            </w:pPr>
            <w:r>
              <w:rPr>
                <w:rFonts w:hint="eastAsia"/>
                <w:b/>
              </w:rPr>
              <w:t>销售额</w:t>
            </w:r>
          </w:p>
        </w:tc>
        <w:tc>
          <w:tcPr>
            <w:tcW w:w="763" w:type="dxa"/>
            <w:tcBorders>
              <w:top w:val="single" w:color="000000" w:sz="4" w:space="0"/>
              <w:left w:val="single" w:color="000000" w:sz="4" w:space="0"/>
              <w:right w:val="single" w:color="auto" w:sz="4" w:space="0"/>
            </w:tcBorders>
            <w:noWrap w:val="0"/>
            <w:vAlign w:val="center"/>
          </w:tcPr>
          <w:p>
            <w:pPr>
              <w:pStyle w:val="8"/>
              <w:rPr>
                <w:b/>
              </w:rPr>
            </w:pPr>
            <w:r>
              <w:rPr>
                <w:rFonts w:hint="eastAsia"/>
                <w:b/>
              </w:rPr>
              <w:t>计量单位</w:t>
            </w:r>
          </w:p>
        </w:tc>
        <w:tc>
          <w:tcPr>
            <w:tcW w:w="956" w:type="dxa"/>
            <w:tcBorders>
              <w:top w:val="single" w:color="000000" w:sz="4" w:space="0"/>
              <w:left w:val="single" w:color="000000" w:sz="4" w:space="0"/>
              <w:right w:val="single" w:color="auto" w:sz="4" w:space="0"/>
            </w:tcBorders>
            <w:noWrap w:val="0"/>
            <w:vAlign w:val="center"/>
          </w:tcPr>
          <w:p>
            <w:pPr>
              <w:pStyle w:val="8"/>
              <w:rPr>
                <w:b/>
              </w:rPr>
            </w:pPr>
            <w:r>
              <w:rPr>
                <w:rFonts w:hint="eastAsia"/>
                <w:b/>
              </w:rPr>
              <w:t>原  矿</w:t>
            </w:r>
          </w:p>
          <w:p>
            <w:pPr>
              <w:pStyle w:val="8"/>
              <w:rPr>
                <w:b/>
              </w:rPr>
            </w:pPr>
            <w:r>
              <w:rPr>
                <w:rFonts w:hint="eastAsia"/>
                <w:b/>
              </w:rPr>
              <w:t>销售量</w:t>
            </w:r>
          </w:p>
        </w:tc>
        <w:tc>
          <w:tcPr>
            <w:tcW w:w="956" w:type="dxa"/>
            <w:tcBorders>
              <w:top w:val="single" w:color="000000" w:sz="4" w:space="0"/>
              <w:left w:val="single" w:color="000000" w:sz="4" w:space="0"/>
              <w:right w:val="single" w:color="auto" w:sz="4" w:space="0"/>
            </w:tcBorders>
            <w:noWrap w:val="0"/>
            <w:vAlign w:val="center"/>
          </w:tcPr>
          <w:p>
            <w:pPr>
              <w:pStyle w:val="8"/>
              <w:rPr>
                <w:b/>
              </w:rPr>
            </w:pPr>
            <w:r>
              <w:rPr>
                <w:rFonts w:hint="eastAsia"/>
                <w:b/>
              </w:rPr>
              <w:t>精  矿</w:t>
            </w:r>
          </w:p>
          <w:p>
            <w:pPr>
              <w:pStyle w:val="8"/>
              <w:rPr>
                <w:b/>
              </w:rPr>
            </w:pPr>
            <w:r>
              <w:rPr>
                <w:rFonts w:hint="eastAsia"/>
                <w:b/>
              </w:rPr>
              <w:t>销售量</w:t>
            </w:r>
          </w:p>
        </w:tc>
        <w:tc>
          <w:tcPr>
            <w:tcW w:w="607" w:type="dxa"/>
            <w:tcBorders>
              <w:top w:val="single" w:color="000000" w:sz="4" w:space="0"/>
              <w:left w:val="single" w:color="000000" w:sz="4" w:space="0"/>
              <w:right w:val="single" w:color="auto" w:sz="4" w:space="0"/>
            </w:tcBorders>
            <w:noWrap w:val="0"/>
            <w:vAlign w:val="center"/>
          </w:tcPr>
          <w:p>
            <w:pPr>
              <w:pStyle w:val="8"/>
              <w:rPr>
                <w:b/>
              </w:rPr>
            </w:pPr>
            <w:r>
              <w:rPr>
                <w:rFonts w:hint="eastAsia"/>
                <w:b/>
              </w:rPr>
              <w:t>平均选矿比</w:t>
            </w:r>
          </w:p>
        </w:tc>
        <w:tc>
          <w:tcPr>
            <w:tcW w:w="1146" w:type="dxa"/>
            <w:tcBorders>
              <w:top w:val="single" w:color="000000" w:sz="4" w:space="0"/>
              <w:left w:val="single" w:color="000000" w:sz="4" w:space="0"/>
              <w:right w:val="single" w:color="auto" w:sz="4" w:space="0"/>
            </w:tcBorders>
            <w:noWrap w:val="0"/>
            <w:vAlign w:val="center"/>
          </w:tcPr>
          <w:p>
            <w:pPr>
              <w:pStyle w:val="8"/>
              <w:rPr>
                <w:b/>
              </w:rPr>
            </w:pPr>
            <w:r>
              <w:rPr>
                <w:rFonts w:hint="eastAsia"/>
                <w:b/>
              </w:rPr>
              <w:t>原矿换算为精矿的销售量</w:t>
            </w:r>
          </w:p>
        </w:tc>
        <w:tc>
          <w:tcPr>
            <w:tcW w:w="1146" w:type="dxa"/>
            <w:tcBorders>
              <w:top w:val="single" w:color="000000" w:sz="4" w:space="0"/>
              <w:left w:val="single" w:color="000000" w:sz="4" w:space="0"/>
              <w:right w:val="single" w:color="auto" w:sz="4" w:space="0"/>
            </w:tcBorders>
            <w:noWrap w:val="0"/>
            <w:vAlign w:val="center"/>
          </w:tcPr>
          <w:p>
            <w:pPr>
              <w:pStyle w:val="8"/>
              <w:rPr>
                <w:b/>
              </w:rPr>
            </w:pPr>
            <w:r>
              <w:rPr>
                <w:rFonts w:hint="eastAsia"/>
                <w:b/>
              </w:rPr>
              <w:t>计  税</w:t>
            </w:r>
          </w:p>
          <w:p>
            <w:pPr>
              <w:pStyle w:val="8"/>
              <w:rPr>
                <w:b/>
              </w:rPr>
            </w:pPr>
            <w:r>
              <w:rPr>
                <w:rFonts w:hint="eastAsia"/>
                <w:b/>
              </w:rPr>
              <w:t>销售量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427" w:type="dxa"/>
            <w:vMerge w:val="continue"/>
            <w:tcBorders>
              <w:left w:val="single" w:color="000000" w:sz="4" w:space="0"/>
              <w:bottom w:val="single" w:color="000000" w:sz="4" w:space="0"/>
              <w:right w:val="single" w:color="000000" w:sz="4" w:space="0"/>
            </w:tcBorders>
            <w:noWrap w:val="0"/>
            <w:vAlign w:val="center"/>
          </w:tcPr>
          <w:p>
            <w:pPr>
              <w:pStyle w:val="8"/>
            </w:pPr>
          </w:p>
        </w:tc>
        <w:tc>
          <w:tcPr>
            <w:tcW w:w="762" w:type="dxa"/>
            <w:tcBorders>
              <w:left w:val="single" w:color="000000" w:sz="4" w:space="0"/>
              <w:bottom w:val="single" w:color="000000" w:sz="4" w:space="0"/>
              <w:right w:val="single" w:color="000000" w:sz="4" w:space="0"/>
            </w:tcBorders>
            <w:noWrap w:val="0"/>
            <w:vAlign w:val="center"/>
          </w:tcPr>
          <w:p>
            <w:pPr>
              <w:pStyle w:val="8"/>
            </w:pPr>
            <w:r>
              <w:t>1</w:t>
            </w:r>
          </w:p>
        </w:tc>
        <w:tc>
          <w:tcPr>
            <w:tcW w:w="550" w:type="dxa"/>
            <w:tcBorders>
              <w:top w:val="single" w:color="000000" w:sz="4" w:space="0"/>
              <w:left w:val="single" w:color="000000" w:sz="4" w:space="0"/>
              <w:bottom w:val="single" w:color="000000" w:sz="4" w:space="0"/>
              <w:right w:val="single" w:color="auto" w:sz="4" w:space="0"/>
            </w:tcBorders>
            <w:noWrap w:val="0"/>
            <w:vAlign w:val="center"/>
          </w:tcPr>
          <w:p>
            <w:pPr>
              <w:pStyle w:val="8"/>
            </w:pPr>
            <w:r>
              <w:t>2</w:t>
            </w:r>
          </w:p>
        </w:tc>
        <w:tc>
          <w:tcPr>
            <w:tcW w:w="941" w:type="dxa"/>
            <w:tcBorders>
              <w:top w:val="single" w:color="000000" w:sz="4" w:space="0"/>
              <w:left w:val="single" w:color="auto" w:sz="4" w:space="0"/>
              <w:bottom w:val="single" w:color="000000" w:sz="4" w:space="0"/>
              <w:right w:val="single" w:color="000000" w:sz="4" w:space="0"/>
            </w:tcBorders>
            <w:noWrap w:val="0"/>
            <w:vAlign w:val="center"/>
          </w:tcPr>
          <w:p>
            <w:pPr>
              <w:pStyle w:val="8"/>
            </w:pPr>
            <w:r>
              <w:t>3</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pPr>
              <w:pStyle w:val="8"/>
            </w:pPr>
            <w:r>
              <w:t>4</w:t>
            </w:r>
          </w:p>
        </w:tc>
        <w:tc>
          <w:tcPr>
            <w:tcW w:w="587" w:type="dxa"/>
            <w:tcBorders>
              <w:top w:val="single" w:color="000000" w:sz="4" w:space="0"/>
              <w:left w:val="single" w:color="auto" w:sz="4" w:space="0"/>
              <w:bottom w:val="single" w:color="000000" w:sz="4" w:space="0"/>
              <w:right w:val="single" w:color="auto" w:sz="4" w:space="0"/>
            </w:tcBorders>
            <w:noWrap w:val="0"/>
            <w:vAlign w:val="center"/>
          </w:tcPr>
          <w:p>
            <w:pPr>
              <w:pStyle w:val="8"/>
            </w:pPr>
            <w:r>
              <w:t>5</w:t>
            </w:r>
          </w:p>
        </w:tc>
        <w:tc>
          <w:tcPr>
            <w:tcW w:w="1145" w:type="dxa"/>
            <w:tcBorders>
              <w:top w:val="single" w:color="000000" w:sz="4" w:space="0"/>
              <w:left w:val="single" w:color="auto" w:sz="4" w:space="0"/>
              <w:bottom w:val="single" w:color="000000" w:sz="4" w:space="0"/>
              <w:right w:val="single" w:color="auto" w:sz="4" w:space="0"/>
            </w:tcBorders>
            <w:noWrap w:val="0"/>
            <w:vAlign w:val="center"/>
          </w:tcPr>
          <w:p>
            <w:pPr>
              <w:pStyle w:val="8"/>
            </w:pPr>
            <w:r>
              <w:t>6=</w:t>
            </w:r>
            <w:r>
              <w:rPr>
                <w:rFonts w:hint="eastAsia"/>
              </w:rPr>
              <w:t>3</w:t>
            </w:r>
            <w:r>
              <w:t>×5</w:t>
            </w:r>
          </w:p>
        </w:tc>
        <w:tc>
          <w:tcPr>
            <w:tcW w:w="955" w:type="dxa"/>
            <w:tcBorders>
              <w:top w:val="single" w:color="000000" w:sz="4" w:space="0"/>
              <w:left w:val="single" w:color="auto" w:sz="4" w:space="0"/>
              <w:bottom w:val="single" w:color="000000" w:sz="4" w:space="0"/>
              <w:right w:val="single" w:color="000000" w:sz="4" w:space="0"/>
            </w:tcBorders>
            <w:noWrap w:val="0"/>
            <w:vAlign w:val="center"/>
          </w:tcPr>
          <w:p>
            <w:pPr>
              <w:pStyle w:val="8"/>
            </w:pPr>
            <w:r>
              <w:t>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pStyle w:val="8"/>
            </w:pPr>
            <w:r>
              <w:t>8</w:t>
            </w: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r>
              <w:t>9=</w:t>
            </w:r>
            <w:r>
              <w:rPr>
                <w:rFonts w:hint="eastAsia"/>
              </w:rPr>
              <w:t>4</w:t>
            </w:r>
            <w:r>
              <w:t>+6-7-8</w:t>
            </w:r>
          </w:p>
        </w:tc>
        <w:tc>
          <w:tcPr>
            <w:tcW w:w="763"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1</w:t>
            </w:r>
            <w:r>
              <w:t>0</w:t>
            </w: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1</w:t>
            </w:r>
            <w:r>
              <w:t>1</w:t>
            </w: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1</w:t>
            </w:r>
            <w:r>
              <w:t>2</w:t>
            </w:r>
          </w:p>
        </w:tc>
        <w:tc>
          <w:tcPr>
            <w:tcW w:w="607"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1</w:t>
            </w:r>
            <w:r>
              <w:t>3</w:t>
            </w: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r>
              <w:t>14=1</w:t>
            </w:r>
            <w:r>
              <w:rPr>
                <w:rFonts w:hint="eastAsia"/>
              </w:rPr>
              <w:t>1</w:t>
            </w:r>
            <w:r>
              <w:t>÷13</w:t>
            </w: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r>
              <w:t>15=1</w:t>
            </w:r>
            <w:r>
              <w:rPr>
                <w:rFonts w:hint="eastAsia"/>
              </w:rPr>
              <w:t>2</w:t>
            </w:r>
            <w: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pStyle w:val="8"/>
            </w:pPr>
            <w:r>
              <w:rPr>
                <w:rFonts w:hint="eastAsia"/>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550"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4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4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87"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5"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5"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63"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607"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pStyle w:val="8"/>
            </w:pPr>
            <w:r>
              <w:rPr>
                <w:rFonts w:hint="eastAsia"/>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550"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4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4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87"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5"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5"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63"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607"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pStyle w:val="8"/>
            </w:pPr>
            <w:r>
              <w:rPr>
                <w:rFonts w:hint="eastAsia"/>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550"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4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4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87"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5"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5"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63"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607"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pStyle w:val="8"/>
            </w:pPr>
            <w:r>
              <w:rPr>
                <w:rFonts w:hint="eastAsia"/>
              </w:rPr>
              <w:t>4</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550"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4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4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87"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5"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5"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63"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607"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pStyle w:val="8"/>
            </w:pPr>
            <w:r>
              <w:rPr>
                <w:rFonts w:hint="eastAsia"/>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550"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4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4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87"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5"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5"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63"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607"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pStyle w:val="8"/>
            </w:pPr>
            <w:r>
              <w:rPr>
                <w:rFonts w:hint="eastAsia"/>
              </w:rPr>
              <w:t>6</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550"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4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4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87"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5"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5"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63"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607"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pStyle w:val="8"/>
            </w:pPr>
            <w:r>
              <w:rPr>
                <w:rFonts w:hint="eastAsia"/>
              </w:rPr>
              <w:t>7</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550"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4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4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87"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5"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5"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63"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607"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pStyle w:val="8"/>
            </w:pPr>
            <w:r>
              <w:rPr>
                <w:rFonts w:hint="eastAsia"/>
              </w:rPr>
              <w:t>8</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550"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4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4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87"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5"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5"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63"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607"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739" w:type="dxa"/>
            <w:gridSpan w:val="3"/>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合计</w:t>
            </w:r>
          </w:p>
        </w:tc>
        <w:tc>
          <w:tcPr>
            <w:tcW w:w="94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4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87"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5"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5"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63"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607"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6"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bl>
    <w:p>
      <w:pPr>
        <w:pStyle w:val="8"/>
      </w:pPr>
    </w:p>
    <w:p>
      <w:pPr>
        <w:pStyle w:val="8"/>
      </w:pPr>
    </w:p>
    <w:p>
      <w:pPr>
        <w:pStyle w:val="8"/>
      </w:pPr>
    </w:p>
    <w:p>
      <w:pPr>
        <w:pStyle w:val="5"/>
        <w:ind w:firstLine="422"/>
        <w:rPr>
          <w:rFonts w:hint="eastAsia" w:ascii="宋体" w:hAnsi="宋体" w:eastAsia="宋体" w:cs="宋体"/>
          <w:color w:val="000000"/>
        </w:rPr>
      </w:pPr>
      <w:r>
        <w:rPr>
          <w:rFonts w:hint="eastAsia" w:ascii="宋体" w:hAnsi="宋体" w:eastAsia="宋体" w:cs="宋体"/>
          <w:color w:val="000000"/>
        </w:rPr>
        <w:t>【表单说明】</w:t>
      </w:r>
    </w:p>
    <w:p>
      <w:pPr>
        <w:pStyle w:val="7"/>
        <w:rPr>
          <w:rFonts w:hint="eastAsia" w:ascii="宋体" w:hAnsi="宋体" w:cs="宋体"/>
          <w:color w:val="000000"/>
          <w:szCs w:val="22"/>
        </w:rPr>
      </w:pPr>
      <w:r>
        <w:rPr>
          <w:rFonts w:hint="eastAsia" w:ascii="宋体" w:hAnsi="宋体" w:cs="宋体"/>
          <w:color w:val="000000"/>
          <w:szCs w:val="22"/>
        </w:rPr>
        <w:t>1．凡开采以精矿为征税对象的应税产品的纳税人需填写此表。精矿类税目是指以精矿为征税对象的各种应税产品品目。此表反映计税销售额、计税销售量的计算过程，并自动导入主表。表中各栏如有发生数额，从价计征资源税纳税人均应如实填写；无发生数额的，应填写0。如不涉及换算，从价计征资源税纳税人应将其换算比和平均选矿比填写1；不涉及运杂费、外购矿购进金额扣减的，第7、8栏填写0。从量计征资源税纳税人只需填写原矿销售量、精矿销售量和计量单位、平均选矿比（不需要换算的，其选矿比应填写1），系统将自动计算出计税销售量，本表第3到第9栏不需要填写。</w:t>
      </w:r>
    </w:p>
    <w:p>
      <w:pPr>
        <w:pStyle w:val="7"/>
        <w:rPr>
          <w:rFonts w:hint="eastAsia" w:ascii="宋体" w:hAnsi="宋体" w:cs="宋体"/>
          <w:color w:val="000000"/>
          <w:szCs w:val="22"/>
        </w:rPr>
      </w:pPr>
      <w:r>
        <w:rPr>
          <w:rFonts w:hint="eastAsia" w:ascii="宋体" w:hAnsi="宋体" w:cs="宋体"/>
          <w:color w:val="000000"/>
          <w:szCs w:val="22"/>
        </w:rPr>
        <w:t>2．“税目”：填写规定的应税产品名称。多个税目的，可增加行次。</w:t>
      </w:r>
    </w:p>
    <w:p>
      <w:pPr>
        <w:pStyle w:val="7"/>
        <w:rPr>
          <w:rFonts w:hint="eastAsia" w:ascii="宋体" w:hAnsi="宋体" w:cs="宋体"/>
          <w:color w:val="000000"/>
          <w:szCs w:val="22"/>
        </w:rPr>
      </w:pPr>
      <w:r>
        <w:rPr>
          <w:rFonts w:hint="eastAsia" w:ascii="宋体" w:hAnsi="宋体" w:cs="宋体"/>
          <w:color w:val="000000"/>
          <w:szCs w:val="22"/>
        </w:rPr>
        <w:t>“子目”：同一税目适用税率、换算比不同的，作为不同的子目分行填写。子目名称由各省、自治区、直辖市、计划单列市税务机关根据本地区实际情况确定。以金锭、原矿加工品等为征税对象的税目视同精矿类税目填写本表。金锭销售在栏次4、12填写，金原矿或金精矿销售均在栏次3、11填写（纳税人既销售自采金原矿，又销售自采原矿加工的金精矿或粗金，应当分为两个子目填写）。单位金锭需要耗用的金精矿或金原矿数量在栏次13填写。</w:t>
      </w:r>
    </w:p>
    <w:p>
      <w:pPr>
        <w:pStyle w:val="7"/>
        <w:rPr>
          <w:rFonts w:hint="eastAsia" w:ascii="宋体" w:hAnsi="宋体" w:cs="宋体"/>
          <w:color w:val="000000"/>
          <w:szCs w:val="22"/>
        </w:rPr>
      </w:pPr>
      <w:r>
        <w:rPr>
          <w:rFonts w:hint="eastAsia" w:ascii="宋体" w:hAnsi="宋体" w:cs="宋体"/>
          <w:color w:val="000000"/>
          <w:szCs w:val="22"/>
        </w:rPr>
        <w:t>3．第3栏“原矿销售额”：填写纳税人当期应税原矿产品的销售额，包括实际销售和视同销售两部分。</w:t>
      </w:r>
    </w:p>
    <w:p>
      <w:pPr>
        <w:pStyle w:val="7"/>
        <w:rPr>
          <w:rFonts w:hint="eastAsia" w:ascii="宋体" w:hAnsi="宋体" w:cs="宋体"/>
          <w:color w:val="000000"/>
          <w:szCs w:val="22"/>
        </w:rPr>
      </w:pPr>
      <w:r>
        <w:rPr>
          <w:rFonts w:hint="eastAsia" w:ascii="宋体" w:hAnsi="宋体" w:cs="宋体"/>
          <w:color w:val="000000"/>
          <w:szCs w:val="22"/>
        </w:rPr>
        <w:t>4．第4栏“精矿销售额”：填写纳税人当期应税精矿产品的销售额，包括实际销售和视同销售两部分。</w:t>
      </w:r>
    </w:p>
    <w:p>
      <w:pPr>
        <w:pStyle w:val="7"/>
        <w:rPr>
          <w:rFonts w:hint="eastAsia" w:ascii="宋体" w:hAnsi="宋体" w:cs="宋体"/>
          <w:color w:val="000000"/>
          <w:szCs w:val="22"/>
        </w:rPr>
      </w:pPr>
      <w:r>
        <w:rPr>
          <w:rFonts w:hint="eastAsia" w:ascii="宋体" w:hAnsi="宋体" w:cs="宋体"/>
          <w:color w:val="000000"/>
          <w:szCs w:val="22"/>
        </w:rPr>
        <w:t>5．第7栏“允许扣减的运杂费”、第8栏“允许扣减的外购矿购进金额”：填写根据资源税现行规定准予扣减的运杂费用、外购矿（即外购已税产品）购进金额。允许扣减的运杂费和允许扣减的外购矿购进金额，可按当期发生额根据有关规定扣减。当期不足扣减或未扣减的，可结转下期扣减。</w:t>
      </w:r>
    </w:p>
    <w:p>
      <w:pPr>
        <w:pStyle w:val="7"/>
        <w:rPr>
          <w:rFonts w:hint="eastAsia" w:ascii="宋体" w:hAnsi="宋体" w:cs="宋体"/>
          <w:color w:val="000000"/>
          <w:szCs w:val="22"/>
        </w:rPr>
      </w:pPr>
      <w:r>
        <w:rPr>
          <w:rFonts w:hint="eastAsia" w:ascii="宋体" w:hAnsi="宋体" w:cs="宋体"/>
          <w:color w:val="000000"/>
          <w:szCs w:val="22"/>
        </w:rPr>
        <w:t>运杂费和外购矿购进金额需要进行换算的，应按规定换算后作为允许扣减的运杂费和允许扣减的外购矿购进金额。</w:t>
      </w:r>
    </w:p>
    <w:p>
      <w:pPr>
        <w:pStyle w:val="7"/>
        <w:rPr>
          <w:rFonts w:hint="eastAsia" w:ascii="宋体" w:hAnsi="宋体" w:cs="宋体"/>
          <w:color w:val="000000"/>
          <w:szCs w:val="22"/>
        </w:rPr>
      </w:pPr>
      <w:r>
        <w:rPr>
          <w:rFonts w:hint="eastAsia" w:ascii="宋体" w:hAnsi="宋体" w:cs="宋体"/>
          <w:color w:val="000000"/>
          <w:szCs w:val="22"/>
        </w:rPr>
        <w:t>6．第10栏“计量单位”：填写计税销售量的计量单位，如吨、立方米、千克等。</w:t>
      </w:r>
    </w:p>
    <w:p>
      <w:pPr>
        <w:pStyle w:val="7"/>
        <w:rPr>
          <w:rFonts w:hint="eastAsia" w:ascii="宋体" w:hAnsi="宋体" w:cs="宋体"/>
          <w:color w:val="000000"/>
          <w:szCs w:val="22"/>
        </w:rPr>
      </w:pPr>
      <w:r>
        <w:rPr>
          <w:rFonts w:hint="eastAsia" w:ascii="宋体" w:hAnsi="宋体" w:cs="宋体"/>
          <w:color w:val="000000"/>
          <w:szCs w:val="22"/>
        </w:rPr>
        <w:t>7．本表各应税产品的销售量均包括视同销售数量，但不含外购矿的购进量。应税产品的销售量按其增值税发票等票据注明的数量填写或计算填写；发票上未注明数量的，填写与应税产品销售额相应的销售量。</w:t>
      </w:r>
    </w:p>
    <w:p>
      <w:pPr>
        <w:pStyle w:val="7"/>
        <w:rPr>
          <w:rFonts w:hint="eastAsia" w:ascii="宋体" w:hAnsi="宋体" w:cs="宋体"/>
          <w:color w:val="000000"/>
          <w:szCs w:val="22"/>
        </w:rPr>
      </w:pPr>
      <w:r>
        <w:rPr>
          <w:rFonts w:hint="eastAsia" w:ascii="宋体" w:hAnsi="宋体" w:cs="宋体"/>
          <w:color w:val="000000"/>
          <w:szCs w:val="22"/>
        </w:rPr>
        <w:t>8．本表中的换算比、平均选矿比按当地省级财税部门确定的数值填写。在用市场法计算换算比时需用到平均选矿比。选矿比=加工精矿耗用的原矿数量÷精矿数量。</w:t>
      </w:r>
    </w:p>
    <w:p>
      <w:pPr>
        <w:pStyle w:val="7"/>
        <w:rPr>
          <w:rFonts w:ascii="宋体" w:hAnsi="宋体" w:cs="宋体"/>
          <w:color w:val="000000"/>
          <w:szCs w:val="22"/>
        </w:rPr>
        <w:sectPr>
          <w:pgSz w:w="16838" w:h="11906" w:orient="landscape"/>
          <w:pgMar w:top="1474" w:right="1440" w:bottom="1474" w:left="1440" w:header="851" w:footer="992" w:gutter="0"/>
          <w:cols w:space="720" w:num="1"/>
          <w:docGrid w:type="lines" w:linePitch="312" w:charSpace="0"/>
        </w:sectPr>
      </w:pPr>
      <w:r>
        <w:rPr>
          <w:rFonts w:hint="eastAsia" w:ascii="宋体" w:hAnsi="宋体" w:cs="宋体"/>
          <w:color w:val="000000"/>
          <w:szCs w:val="22"/>
        </w:rPr>
        <w:t>9．通过本表计算的计税销售额、计税销售量，即为主表相应栏次的计税销售额、计税销售量。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31DD3"/>
    <w:rsid w:val="5933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2019-10-31T03:12:00Z</dcterms:created>
  <dc:creator>陈莉佳</dc:creator>
  <cp:lastModifiedBy>陈莉佳</cp:lastModifiedBy>
  <dcterms:modified xsi:type="dcterms:W3CDTF">2019-10-31T03:13:52Z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