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rPr>
          <w:rFonts w:ascii="宋体" w:hAnsi="宋体" w:eastAsia="宋体"/>
          <w:color w:val="000000"/>
        </w:rPr>
      </w:pPr>
      <w:r>
        <w:rPr>
          <w:rFonts w:ascii="宋体" w:hAnsi="宋体" w:eastAsia="宋体"/>
          <w:color w:val="000000"/>
        </w:rPr>
        <w:t>A06860</w:t>
      </w:r>
      <w:r>
        <w:rPr>
          <w:rFonts w:hint="eastAsia" w:ascii="宋体" w:hAnsi="宋体" w:eastAsia="宋体"/>
          <w:color w:val="000000"/>
        </w:rPr>
        <w:t>《纳税调整项目明细表（F210）》</w:t>
      </w:r>
    </w:p>
    <w:p>
      <w:pPr>
        <w:widowControl/>
        <w:spacing w:line="240" w:lineRule="atLeast"/>
        <w:jc w:val="left"/>
        <w:rPr>
          <w:rFonts w:ascii="宋体" w:hAnsi="宋体"/>
          <w:b/>
          <w:sz w:val="28"/>
          <w:szCs w:val="28"/>
        </w:rPr>
      </w:pPr>
      <w:bookmarkStart w:id="0" w:name="_GoBack"/>
      <w:bookmarkEnd w:id="0"/>
      <w:r>
        <w:rPr>
          <w:rFonts w:ascii="宋体" w:hAnsi="宋体"/>
          <w:b/>
          <w:sz w:val="28"/>
          <w:szCs w:val="28"/>
        </w:rPr>
        <w:t>F210                    纳税调整项目明细表</w:t>
      </w:r>
    </w:p>
    <w:tbl>
      <w:tblPr>
        <w:tblStyle w:val="4"/>
        <w:tblW w:w="10378"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0"/>
        <w:gridCol w:w="5582"/>
        <w:gridCol w:w="1061"/>
        <w:gridCol w:w="1026"/>
        <w:gridCol w:w="1053"/>
        <w:gridCol w:w="101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61" w:hRule="exact"/>
          <w:jc w:val="center"/>
        </w:trPr>
        <w:tc>
          <w:tcPr>
            <w:tcW w:w="640" w:type="dxa"/>
            <w:vMerge w:val="restart"/>
            <w:tcBorders>
              <w:top w:val="single" w:color="auto" w:sz="12" w:space="0"/>
            </w:tcBorders>
            <w:noWrap w:val="0"/>
            <w:vAlign w:val="center"/>
          </w:tcPr>
          <w:p>
            <w:pPr>
              <w:widowControl/>
              <w:jc w:val="center"/>
              <w:rPr>
                <w:rFonts w:ascii="宋体"/>
                <w:kern w:val="0"/>
                <w:sz w:val="20"/>
                <w:szCs w:val="20"/>
              </w:rPr>
            </w:pPr>
            <w:r>
              <w:rPr>
                <w:rFonts w:hint="eastAsia" w:ascii="宋体" w:hAnsi="宋体" w:cs="宋体"/>
                <w:kern w:val="0"/>
                <w:sz w:val="20"/>
                <w:szCs w:val="20"/>
              </w:rPr>
              <w:t>行次</w:t>
            </w:r>
          </w:p>
        </w:tc>
        <w:tc>
          <w:tcPr>
            <w:tcW w:w="5582" w:type="dxa"/>
            <w:vMerge w:val="restart"/>
            <w:tcBorders>
              <w:top w:val="single" w:color="auto" w:sz="12" w:space="0"/>
            </w:tcBorders>
            <w:noWrap w:val="0"/>
            <w:vAlign w:val="center"/>
          </w:tcPr>
          <w:p>
            <w:pPr>
              <w:widowControl/>
              <w:jc w:val="center"/>
              <w:rPr>
                <w:rFonts w:ascii="宋体"/>
                <w:kern w:val="0"/>
                <w:sz w:val="20"/>
                <w:szCs w:val="20"/>
              </w:rPr>
            </w:pPr>
            <w:r>
              <w:rPr>
                <w:rFonts w:hint="eastAsia" w:ascii="宋体" w:hAnsi="宋体" w:cs="宋体"/>
                <w:kern w:val="0"/>
                <w:sz w:val="20"/>
                <w:szCs w:val="20"/>
              </w:rPr>
              <w:t>项</w:t>
            </w:r>
            <w:r>
              <w:rPr>
                <w:rFonts w:ascii="宋体" w:hAnsi="宋体" w:cs="宋体"/>
                <w:kern w:val="0"/>
                <w:sz w:val="20"/>
                <w:szCs w:val="20"/>
              </w:rPr>
              <w:t xml:space="preserve">        </w:t>
            </w:r>
            <w:r>
              <w:rPr>
                <w:rFonts w:hint="eastAsia" w:ascii="宋体" w:hAnsi="宋体" w:cs="宋体"/>
                <w:kern w:val="0"/>
                <w:sz w:val="20"/>
                <w:szCs w:val="20"/>
              </w:rPr>
              <w:t>目</w:t>
            </w:r>
          </w:p>
        </w:tc>
        <w:tc>
          <w:tcPr>
            <w:tcW w:w="1061" w:type="dxa"/>
            <w:tcBorders>
              <w:top w:val="single" w:color="auto" w:sz="12" w:space="0"/>
            </w:tcBorders>
            <w:noWrap w:val="0"/>
            <w:vAlign w:val="center"/>
          </w:tcPr>
          <w:p>
            <w:pPr>
              <w:widowControl/>
              <w:jc w:val="center"/>
              <w:rPr>
                <w:rFonts w:ascii="宋体"/>
                <w:kern w:val="0"/>
                <w:sz w:val="20"/>
                <w:szCs w:val="20"/>
              </w:rPr>
            </w:pPr>
            <w:r>
              <w:rPr>
                <w:rFonts w:hint="eastAsia" w:ascii="宋体" w:hAnsi="宋体" w:cs="宋体"/>
                <w:kern w:val="0"/>
                <w:sz w:val="20"/>
                <w:szCs w:val="20"/>
              </w:rPr>
              <w:t>账载数额</w:t>
            </w:r>
          </w:p>
        </w:tc>
        <w:tc>
          <w:tcPr>
            <w:tcW w:w="1026" w:type="dxa"/>
            <w:tcBorders>
              <w:top w:val="single" w:color="auto" w:sz="12" w:space="0"/>
            </w:tcBorders>
            <w:noWrap w:val="0"/>
            <w:vAlign w:val="center"/>
          </w:tcPr>
          <w:p>
            <w:pPr>
              <w:widowControl/>
              <w:jc w:val="center"/>
              <w:rPr>
                <w:rFonts w:ascii="宋体"/>
                <w:kern w:val="0"/>
                <w:sz w:val="20"/>
                <w:szCs w:val="20"/>
              </w:rPr>
            </w:pPr>
            <w:r>
              <w:rPr>
                <w:rFonts w:hint="eastAsia" w:ascii="宋体" w:hAnsi="宋体" w:cs="宋体"/>
                <w:kern w:val="0"/>
                <w:sz w:val="20"/>
                <w:szCs w:val="20"/>
              </w:rPr>
              <w:t>税收数额</w:t>
            </w:r>
          </w:p>
        </w:tc>
        <w:tc>
          <w:tcPr>
            <w:tcW w:w="1053" w:type="dxa"/>
            <w:tcBorders>
              <w:top w:val="single" w:color="auto" w:sz="12" w:space="0"/>
            </w:tcBorders>
            <w:noWrap w:val="0"/>
            <w:vAlign w:val="center"/>
          </w:tcPr>
          <w:p>
            <w:pPr>
              <w:widowControl/>
              <w:jc w:val="center"/>
              <w:rPr>
                <w:rFonts w:ascii="宋体"/>
                <w:kern w:val="0"/>
                <w:sz w:val="20"/>
                <w:szCs w:val="20"/>
              </w:rPr>
            </w:pPr>
            <w:r>
              <w:rPr>
                <w:rFonts w:hint="eastAsia" w:ascii="宋体" w:hAnsi="宋体" w:cs="宋体"/>
                <w:kern w:val="0"/>
                <w:sz w:val="20"/>
                <w:szCs w:val="20"/>
              </w:rPr>
              <w:t>调增数额</w:t>
            </w:r>
          </w:p>
        </w:tc>
        <w:tc>
          <w:tcPr>
            <w:tcW w:w="1016" w:type="dxa"/>
            <w:tcBorders>
              <w:top w:val="single" w:color="auto" w:sz="12" w:space="0"/>
            </w:tcBorders>
            <w:noWrap w:val="0"/>
            <w:vAlign w:val="center"/>
          </w:tcPr>
          <w:p>
            <w:pPr>
              <w:widowControl/>
              <w:jc w:val="center"/>
              <w:rPr>
                <w:rFonts w:ascii="宋体"/>
                <w:kern w:val="0"/>
                <w:sz w:val="20"/>
                <w:szCs w:val="20"/>
              </w:rPr>
            </w:pPr>
            <w:r>
              <w:rPr>
                <w:rFonts w:hint="eastAsia" w:ascii="宋体" w:hAnsi="宋体" w:cs="宋体"/>
                <w:kern w:val="0"/>
                <w:sz w:val="20"/>
                <w:szCs w:val="20"/>
              </w:rPr>
              <w:t>调减数额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61" w:hRule="exact"/>
          <w:jc w:val="center"/>
        </w:trPr>
        <w:tc>
          <w:tcPr>
            <w:tcW w:w="640" w:type="dxa"/>
            <w:vMerge w:val="continue"/>
            <w:noWrap w:val="0"/>
            <w:vAlign w:val="center"/>
          </w:tcPr>
          <w:p>
            <w:pPr>
              <w:widowControl/>
              <w:jc w:val="left"/>
              <w:rPr>
                <w:rFonts w:ascii="宋体"/>
                <w:kern w:val="0"/>
                <w:sz w:val="20"/>
                <w:szCs w:val="20"/>
              </w:rPr>
            </w:pPr>
          </w:p>
        </w:tc>
        <w:tc>
          <w:tcPr>
            <w:tcW w:w="5582" w:type="dxa"/>
            <w:vMerge w:val="continue"/>
            <w:noWrap w:val="0"/>
            <w:vAlign w:val="center"/>
          </w:tcPr>
          <w:p>
            <w:pPr>
              <w:widowControl/>
              <w:jc w:val="left"/>
              <w:rPr>
                <w:rFonts w:ascii="宋体"/>
                <w:kern w:val="0"/>
                <w:sz w:val="20"/>
                <w:szCs w:val="20"/>
              </w:rPr>
            </w:pPr>
          </w:p>
        </w:tc>
        <w:tc>
          <w:tcPr>
            <w:tcW w:w="1061" w:type="dxa"/>
            <w:noWrap w:val="0"/>
            <w:vAlign w:val="center"/>
          </w:tcPr>
          <w:p>
            <w:pPr>
              <w:widowControl/>
              <w:jc w:val="center"/>
              <w:rPr>
                <w:rFonts w:ascii="宋体"/>
                <w:kern w:val="0"/>
                <w:sz w:val="20"/>
                <w:szCs w:val="20"/>
              </w:rPr>
            </w:pPr>
            <w:r>
              <w:rPr>
                <w:rFonts w:ascii="宋体" w:hAnsi="宋体" w:cs="宋体"/>
                <w:kern w:val="0"/>
                <w:sz w:val="20"/>
                <w:szCs w:val="20"/>
              </w:rPr>
              <w:t>1</w:t>
            </w:r>
          </w:p>
        </w:tc>
        <w:tc>
          <w:tcPr>
            <w:tcW w:w="1026" w:type="dxa"/>
            <w:noWrap w:val="0"/>
            <w:vAlign w:val="center"/>
          </w:tcPr>
          <w:p>
            <w:pPr>
              <w:widowControl/>
              <w:jc w:val="center"/>
              <w:rPr>
                <w:rFonts w:ascii="宋体"/>
                <w:kern w:val="0"/>
                <w:sz w:val="20"/>
                <w:szCs w:val="20"/>
              </w:rPr>
            </w:pPr>
            <w:r>
              <w:rPr>
                <w:rFonts w:ascii="宋体" w:hAnsi="宋体" w:cs="宋体"/>
                <w:kern w:val="0"/>
                <w:sz w:val="20"/>
                <w:szCs w:val="20"/>
              </w:rPr>
              <w:t>2</w:t>
            </w:r>
          </w:p>
        </w:tc>
        <w:tc>
          <w:tcPr>
            <w:tcW w:w="1053" w:type="dxa"/>
            <w:noWrap w:val="0"/>
            <w:vAlign w:val="center"/>
          </w:tcPr>
          <w:p>
            <w:pPr>
              <w:widowControl/>
              <w:jc w:val="center"/>
              <w:rPr>
                <w:rFonts w:ascii="宋体"/>
                <w:kern w:val="0"/>
                <w:sz w:val="20"/>
                <w:szCs w:val="20"/>
              </w:rPr>
            </w:pPr>
            <w:r>
              <w:rPr>
                <w:rFonts w:ascii="宋体" w:hAnsi="宋体" w:cs="宋体"/>
                <w:kern w:val="0"/>
                <w:sz w:val="20"/>
                <w:szCs w:val="20"/>
              </w:rPr>
              <w:t>3</w:t>
            </w:r>
          </w:p>
        </w:tc>
        <w:tc>
          <w:tcPr>
            <w:tcW w:w="1016" w:type="dxa"/>
            <w:noWrap w:val="0"/>
            <w:vAlign w:val="center"/>
          </w:tcPr>
          <w:p>
            <w:pPr>
              <w:widowControl/>
              <w:jc w:val="center"/>
              <w:rPr>
                <w:rFonts w:ascii="宋体"/>
                <w:kern w:val="0"/>
                <w:sz w:val="20"/>
                <w:szCs w:val="20"/>
              </w:rPr>
            </w:pPr>
            <w:r>
              <w:rPr>
                <w:rFonts w:ascii="宋体" w:hAnsi="宋体" w:cs="宋体"/>
                <w:kern w:val="0"/>
                <w:sz w:val="20"/>
                <w:szCs w:val="20"/>
              </w:rPr>
              <w:t>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61" w:hRule="exact"/>
          <w:jc w:val="center"/>
        </w:trPr>
        <w:tc>
          <w:tcPr>
            <w:tcW w:w="640" w:type="dxa"/>
            <w:noWrap w:val="0"/>
            <w:vAlign w:val="center"/>
          </w:tcPr>
          <w:p>
            <w:pPr>
              <w:widowControl/>
              <w:jc w:val="center"/>
              <w:rPr>
                <w:rFonts w:ascii="宋体"/>
                <w:kern w:val="0"/>
                <w:sz w:val="20"/>
                <w:szCs w:val="20"/>
              </w:rPr>
            </w:pPr>
            <w:r>
              <w:rPr>
                <w:rFonts w:ascii="宋体" w:hAnsi="宋体" w:cs="宋体"/>
                <w:kern w:val="0"/>
                <w:sz w:val="20"/>
                <w:szCs w:val="20"/>
              </w:rPr>
              <w:t>1</w:t>
            </w:r>
          </w:p>
        </w:tc>
        <w:tc>
          <w:tcPr>
            <w:tcW w:w="5582" w:type="dxa"/>
            <w:noWrap w:val="0"/>
            <w:vAlign w:val="center"/>
          </w:tcPr>
          <w:p>
            <w:pPr>
              <w:widowControl/>
              <w:jc w:val="left"/>
              <w:rPr>
                <w:rFonts w:ascii="宋体"/>
                <w:kern w:val="0"/>
                <w:sz w:val="20"/>
                <w:szCs w:val="20"/>
              </w:rPr>
            </w:pPr>
            <w:r>
              <w:rPr>
                <w:rFonts w:hint="eastAsia" w:ascii="宋体" w:hAnsi="宋体" w:cs="宋体"/>
                <w:kern w:val="0"/>
                <w:sz w:val="20"/>
                <w:szCs w:val="20"/>
              </w:rPr>
              <w:t>一、收入类调整项目（</w:t>
            </w:r>
            <w:r>
              <w:rPr>
                <w:rFonts w:ascii="宋体" w:hAnsi="宋体" w:cs="宋体"/>
                <w:kern w:val="0"/>
                <w:sz w:val="20"/>
                <w:szCs w:val="20"/>
              </w:rPr>
              <w:t>2+</w:t>
            </w:r>
            <w:r>
              <w:rPr>
                <w:rFonts w:hint="eastAsia" w:ascii="宋体" w:hAnsi="宋体" w:cs="宋体"/>
                <w:kern w:val="0"/>
                <w:sz w:val="20"/>
                <w:szCs w:val="20"/>
              </w:rPr>
              <w:t>…</w:t>
            </w:r>
            <w:r>
              <w:rPr>
                <w:rFonts w:ascii="宋体" w:hAnsi="宋体" w:cs="宋体"/>
                <w:kern w:val="0"/>
                <w:sz w:val="20"/>
                <w:szCs w:val="20"/>
              </w:rPr>
              <w:t>+10</w:t>
            </w:r>
            <w:r>
              <w:rPr>
                <w:rFonts w:hint="eastAsia" w:ascii="宋体" w:hAnsi="宋体" w:cs="宋体"/>
                <w:kern w:val="0"/>
                <w:sz w:val="20"/>
                <w:szCs w:val="20"/>
              </w:rPr>
              <w:t>）</w:t>
            </w:r>
          </w:p>
        </w:tc>
        <w:tc>
          <w:tcPr>
            <w:tcW w:w="1061" w:type="dxa"/>
            <w:noWrap w:val="0"/>
            <w:vAlign w:val="center"/>
          </w:tcPr>
          <w:p>
            <w:pPr>
              <w:widowControl/>
              <w:jc w:val="center"/>
              <w:rPr>
                <w:rFonts w:ascii="宋体"/>
                <w:kern w:val="0"/>
                <w:sz w:val="20"/>
                <w:szCs w:val="20"/>
              </w:rPr>
            </w:pPr>
            <w:r>
              <w:rPr>
                <w:rFonts w:ascii="宋体" w:hAnsi="宋体" w:cs="宋体"/>
                <w:kern w:val="0"/>
                <w:sz w:val="20"/>
                <w:szCs w:val="20"/>
              </w:rPr>
              <w:t>*</w:t>
            </w:r>
          </w:p>
        </w:tc>
        <w:tc>
          <w:tcPr>
            <w:tcW w:w="1026" w:type="dxa"/>
            <w:noWrap w:val="0"/>
            <w:vAlign w:val="center"/>
          </w:tcPr>
          <w:p>
            <w:pPr>
              <w:widowControl/>
              <w:jc w:val="center"/>
              <w:rPr>
                <w:rFonts w:ascii="宋体"/>
                <w:kern w:val="0"/>
                <w:sz w:val="20"/>
                <w:szCs w:val="20"/>
              </w:rPr>
            </w:pPr>
            <w:r>
              <w:rPr>
                <w:rFonts w:ascii="宋体" w:hAnsi="宋体" w:cs="宋体"/>
                <w:kern w:val="0"/>
                <w:sz w:val="20"/>
                <w:szCs w:val="20"/>
              </w:rPr>
              <w:t>*</w:t>
            </w:r>
          </w:p>
        </w:tc>
        <w:tc>
          <w:tcPr>
            <w:tcW w:w="1053" w:type="dxa"/>
            <w:noWrap w:val="0"/>
            <w:vAlign w:val="center"/>
          </w:tcPr>
          <w:p>
            <w:pPr>
              <w:widowControl/>
              <w:jc w:val="center"/>
              <w:rPr>
                <w:rFonts w:ascii="宋体"/>
                <w:kern w:val="0"/>
                <w:sz w:val="20"/>
                <w:szCs w:val="20"/>
              </w:rPr>
            </w:pPr>
          </w:p>
        </w:tc>
        <w:tc>
          <w:tcPr>
            <w:tcW w:w="1016" w:type="dxa"/>
            <w:noWrap w:val="0"/>
            <w:vAlign w:val="center"/>
          </w:tcPr>
          <w:p>
            <w:pPr>
              <w:widowControl/>
              <w:jc w:val="center"/>
              <w:rPr>
                <w:rFonts w:ascii="宋体"/>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61" w:hRule="exact"/>
          <w:jc w:val="center"/>
        </w:trPr>
        <w:tc>
          <w:tcPr>
            <w:tcW w:w="640" w:type="dxa"/>
            <w:noWrap w:val="0"/>
            <w:vAlign w:val="center"/>
          </w:tcPr>
          <w:p>
            <w:pPr>
              <w:widowControl/>
              <w:jc w:val="center"/>
              <w:rPr>
                <w:rFonts w:ascii="宋体"/>
                <w:kern w:val="0"/>
                <w:sz w:val="20"/>
                <w:szCs w:val="20"/>
              </w:rPr>
            </w:pPr>
            <w:r>
              <w:rPr>
                <w:rFonts w:ascii="宋体" w:hAnsi="宋体" w:cs="宋体"/>
                <w:kern w:val="0"/>
                <w:sz w:val="20"/>
                <w:szCs w:val="20"/>
              </w:rPr>
              <w:t>2</w:t>
            </w:r>
          </w:p>
        </w:tc>
        <w:tc>
          <w:tcPr>
            <w:tcW w:w="5582" w:type="dxa"/>
            <w:noWrap w:val="0"/>
            <w:vAlign w:val="center"/>
          </w:tcPr>
          <w:p>
            <w:pPr>
              <w:widowControl/>
              <w:ind w:firstLine="400" w:firstLineChars="200"/>
              <w:jc w:val="left"/>
              <w:rPr>
                <w:rFonts w:ascii="宋体"/>
                <w:kern w:val="0"/>
                <w:sz w:val="20"/>
                <w:szCs w:val="20"/>
              </w:rPr>
            </w:pPr>
            <w:r>
              <w:rPr>
                <w:rFonts w:hint="eastAsia" w:ascii="宋体" w:hAnsi="宋体" w:cs="宋体"/>
                <w:kern w:val="0"/>
                <w:sz w:val="20"/>
                <w:szCs w:val="20"/>
              </w:rPr>
              <w:t>（一）视同销售收入</w:t>
            </w:r>
          </w:p>
        </w:tc>
        <w:tc>
          <w:tcPr>
            <w:tcW w:w="1061" w:type="dxa"/>
            <w:noWrap w:val="0"/>
            <w:vAlign w:val="center"/>
          </w:tcPr>
          <w:p>
            <w:pPr>
              <w:widowControl/>
              <w:jc w:val="center"/>
              <w:rPr>
                <w:rFonts w:ascii="宋体"/>
                <w:kern w:val="0"/>
                <w:sz w:val="20"/>
                <w:szCs w:val="20"/>
              </w:rPr>
            </w:pPr>
            <w:r>
              <w:rPr>
                <w:rFonts w:ascii="宋体" w:hAnsi="宋体" w:cs="宋体"/>
                <w:kern w:val="0"/>
                <w:sz w:val="20"/>
                <w:szCs w:val="20"/>
              </w:rPr>
              <w:t>*</w:t>
            </w:r>
          </w:p>
        </w:tc>
        <w:tc>
          <w:tcPr>
            <w:tcW w:w="1026" w:type="dxa"/>
            <w:noWrap w:val="0"/>
            <w:vAlign w:val="center"/>
          </w:tcPr>
          <w:p>
            <w:pPr>
              <w:widowControl/>
              <w:jc w:val="center"/>
              <w:rPr>
                <w:rFonts w:ascii="宋体"/>
                <w:kern w:val="0"/>
                <w:sz w:val="20"/>
                <w:szCs w:val="20"/>
              </w:rPr>
            </w:pPr>
          </w:p>
        </w:tc>
        <w:tc>
          <w:tcPr>
            <w:tcW w:w="1053" w:type="dxa"/>
            <w:noWrap w:val="0"/>
            <w:vAlign w:val="center"/>
          </w:tcPr>
          <w:p>
            <w:pPr>
              <w:widowControl/>
              <w:jc w:val="center"/>
              <w:rPr>
                <w:rFonts w:ascii="宋体"/>
                <w:kern w:val="0"/>
                <w:sz w:val="20"/>
                <w:szCs w:val="20"/>
              </w:rPr>
            </w:pPr>
          </w:p>
        </w:tc>
        <w:tc>
          <w:tcPr>
            <w:tcW w:w="1016" w:type="dxa"/>
            <w:noWrap w:val="0"/>
            <w:vAlign w:val="center"/>
          </w:tcPr>
          <w:p>
            <w:pPr>
              <w:widowControl/>
              <w:jc w:val="center"/>
              <w:rPr>
                <w:rFonts w:ascii="宋体"/>
                <w:kern w:val="0"/>
                <w:sz w:val="20"/>
                <w:szCs w:val="20"/>
              </w:rPr>
            </w:pPr>
            <w:r>
              <w:rPr>
                <w:rFonts w:ascii="宋体" w:hAnsi="宋体" w:cs="宋体"/>
                <w:kern w:val="0"/>
                <w:sz w:val="20"/>
                <w:szCs w:val="20"/>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61" w:hRule="exact"/>
          <w:jc w:val="center"/>
        </w:trPr>
        <w:tc>
          <w:tcPr>
            <w:tcW w:w="640" w:type="dxa"/>
            <w:noWrap w:val="0"/>
            <w:vAlign w:val="center"/>
          </w:tcPr>
          <w:p>
            <w:pPr>
              <w:widowControl/>
              <w:jc w:val="center"/>
              <w:rPr>
                <w:rFonts w:ascii="宋体"/>
                <w:kern w:val="0"/>
                <w:sz w:val="20"/>
                <w:szCs w:val="20"/>
              </w:rPr>
            </w:pPr>
            <w:r>
              <w:rPr>
                <w:rFonts w:ascii="宋体" w:hAnsi="宋体" w:cs="宋体"/>
                <w:kern w:val="0"/>
                <w:sz w:val="20"/>
                <w:szCs w:val="20"/>
              </w:rPr>
              <w:t>3</w:t>
            </w:r>
          </w:p>
        </w:tc>
        <w:tc>
          <w:tcPr>
            <w:tcW w:w="5582" w:type="dxa"/>
            <w:noWrap w:val="0"/>
            <w:vAlign w:val="center"/>
          </w:tcPr>
          <w:p>
            <w:pPr>
              <w:widowControl/>
              <w:ind w:firstLine="400" w:firstLineChars="200"/>
              <w:jc w:val="left"/>
              <w:rPr>
                <w:rFonts w:ascii="宋体"/>
                <w:kern w:val="0"/>
                <w:sz w:val="20"/>
                <w:szCs w:val="20"/>
              </w:rPr>
            </w:pPr>
            <w:r>
              <w:rPr>
                <w:rFonts w:hint="eastAsia" w:ascii="宋体" w:hAnsi="宋体" w:cs="宋体"/>
                <w:kern w:val="0"/>
                <w:sz w:val="20"/>
                <w:szCs w:val="20"/>
              </w:rPr>
              <w:t>（二）未按权责发生制原则确认的收入</w:t>
            </w:r>
          </w:p>
        </w:tc>
        <w:tc>
          <w:tcPr>
            <w:tcW w:w="1061" w:type="dxa"/>
            <w:noWrap w:val="0"/>
            <w:vAlign w:val="center"/>
          </w:tcPr>
          <w:p>
            <w:pPr>
              <w:widowControl/>
              <w:jc w:val="center"/>
              <w:rPr>
                <w:rFonts w:ascii="宋体"/>
                <w:kern w:val="0"/>
                <w:sz w:val="20"/>
                <w:szCs w:val="20"/>
              </w:rPr>
            </w:pPr>
          </w:p>
        </w:tc>
        <w:tc>
          <w:tcPr>
            <w:tcW w:w="1026" w:type="dxa"/>
            <w:noWrap w:val="0"/>
            <w:vAlign w:val="center"/>
          </w:tcPr>
          <w:p>
            <w:pPr>
              <w:widowControl/>
              <w:jc w:val="center"/>
              <w:rPr>
                <w:rFonts w:ascii="宋体"/>
                <w:kern w:val="0"/>
                <w:sz w:val="20"/>
                <w:szCs w:val="20"/>
              </w:rPr>
            </w:pPr>
          </w:p>
        </w:tc>
        <w:tc>
          <w:tcPr>
            <w:tcW w:w="1053" w:type="dxa"/>
            <w:noWrap w:val="0"/>
            <w:vAlign w:val="center"/>
          </w:tcPr>
          <w:p>
            <w:pPr>
              <w:widowControl/>
              <w:jc w:val="center"/>
              <w:rPr>
                <w:rFonts w:ascii="宋体"/>
                <w:kern w:val="0"/>
                <w:sz w:val="20"/>
                <w:szCs w:val="20"/>
              </w:rPr>
            </w:pPr>
          </w:p>
        </w:tc>
        <w:tc>
          <w:tcPr>
            <w:tcW w:w="1016" w:type="dxa"/>
            <w:noWrap w:val="0"/>
            <w:vAlign w:val="center"/>
          </w:tcPr>
          <w:p>
            <w:pPr>
              <w:widowControl/>
              <w:jc w:val="center"/>
              <w:rPr>
                <w:rFonts w:ascii="宋体"/>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61" w:hRule="exact"/>
          <w:jc w:val="center"/>
        </w:trPr>
        <w:tc>
          <w:tcPr>
            <w:tcW w:w="640" w:type="dxa"/>
            <w:noWrap w:val="0"/>
            <w:vAlign w:val="center"/>
          </w:tcPr>
          <w:p>
            <w:pPr>
              <w:widowControl/>
              <w:jc w:val="center"/>
              <w:rPr>
                <w:rFonts w:ascii="宋体"/>
                <w:kern w:val="0"/>
                <w:sz w:val="20"/>
                <w:szCs w:val="20"/>
              </w:rPr>
            </w:pPr>
            <w:r>
              <w:rPr>
                <w:rFonts w:ascii="宋体" w:hAnsi="宋体" w:cs="宋体"/>
                <w:kern w:val="0"/>
                <w:sz w:val="20"/>
                <w:szCs w:val="20"/>
              </w:rPr>
              <w:t>4</w:t>
            </w:r>
          </w:p>
        </w:tc>
        <w:tc>
          <w:tcPr>
            <w:tcW w:w="5582" w:type="dxa"/>
            <w:noWrap w:val="0"/>
            <w:vAlign w:val="center"/>
          </w:tcPr>
          <w:p>
            <w:pPr>
              <w:widowControl/>
              <w:ind w:firstLine="400" w:firstLineChars="200"/>
              <w:jc w:val="left"/>
              <w:rPr>
                <w:rFonts w:ascii="宋体"/>
                <w:kern w:val="0"/>
                <w:sz w:val="20"/>
                <w:szCs w:val="20"/>
              </w:rPr>
            </w:pPr>
            <w:r>
              <w:rPr>
                <w:rFonts w:hint="eastAsia" w:ascii="宋体" w:hAnsi="宋体" w:cs="宋体"/>
                <w:kern w:val="0"/>
                <w:sz w:val="20"/>
                <w:szCs w:val="20"/>
              </w:rPr>
              <w:t>（三）投资收益</w:t>
            </w:r>
          </w:p>
        </w:tc>
        <w:tc>
          <w:tcPr>
            <w:tcW w:w="1061" w:type="dxa"/>
            <w:noWrap w:val="0"/>
            <w:vAlign w:val="center"/>
          </w:tcPr>
          <w:p>
            <w:pPr>
              <w:widowControl/>
              <w:jc w:val="center"/>
              <w:rPr>
                <w:rFonts w:ascii="宋体"/>
                <w:kern w:val="0"/>
                <w:sz w:val="20"/>
                <w:szCs w:val="20"/>
              </w:rPr>
            </w:pPr>
          </w:p>
        </w:tc>
        <w:tc>
          <w:tcPr>
            <w:tcW w:w="1026" w:type="dxa"/>
            <w:noWrap w:val="0"/>
            <w:vAlign w:val="center"/>
          </w:tcPr>
          <w:p>
            <w:pPr>
              <w:widowControl/>
              <w:jc w:val="center"/>
              <w:rPr>
                <w:rFonts w:ascii="宋体"/>
                <w:kern w:val="0"/>
                <w:sz w:val="20"/>
                <w:szCs w:val="20"/>
              </w:rPr>
            </w:pPr>
          </w:p>
        </w:tc>
        <w:tc>
          <w:tcPr>
            <w:tcW w:w="1053" w:type="dxa"/>
            <w:noWrap w:val="0"/>
            <w:vAlign w:val="center"/>
          </w:tcPr>
          <w:p>
            <w:pPr>
              <w:widowControl/>
              <w:jc w:val="center"/>
              <w:rPr>
                <w:rFonts w:ascii="宋体"/>
                <w:kern w:val="0"/>
                <w:sz w:val="20"/>
                <w:szCs w:val="20"/>
              </w:rPr>
            </w:pPr>
          </w:p>
        </w:tc>
        <w:tc>
          <w:tcPr>
            <w:tcW w:w="1016" w:type="dxa"/>
            <w:noWrap w:val="0"/>
            <w:vAlign w:val="center"/>
          </w:tcPr>
          <w:p>
            <w:pPr>
              <w:widowControl/>
              <w:jc w:val="center"/>
              <w:rPr>
                <w:rFonts w:ascii="宋体"/>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3" w:hRule="exact"/>
          <w:jc w:val="center"/>
        </w:trPr>
        <w:tc>
          <w:tcPr>
            <w:tcW w:w="640" w:type="dxa"/>
            <w:noWrap w:val="0"/>
            <w:vAlign w:val="center"/>
          </w:tcPr>
          <w:p>
            <w:pPr>
              <w:widowControl/>
              <w:jc w:val="center"/>
              <w:rPr>
                <w:rFonts w:ascii="宋体"/>
                <w:kern w:val="0"/>
                <w:sz w:val="20"/>
                <w:szCs w:val="20"/>
              </w:rPr>
            </w:pPr>
            <w:r>
              <w:rPr>
                <w:rFonts w:ascii="宋体" w:hAnsi="宋体" w:cs="宋体"/>
                <w:kern w:val="0"/>
                <w:sz w:val="20"/>
                <w:szCs w:val="20"/>
              </w:rPr>
              <w:t>5</w:t>
            </w:r>
          </w:p>
        </w:tc>
        <w:tc>
          <w:tcPr>
            <w:tcW w:w="5582" w:type="dxa"/>
            <w:noWrap w:val="0"/>
            <w:vAlign w:val="center"/>
          </w:tcPr>
          <w:p>
            <w:pPr>
              <w:widowControl/>
              <w:ind w:firstLine="400" w:firstLineChars="200"/>
              <w:jc w:val="left"/>
              <w:rPr>
                <w:rFonts w:ascii="宋体"/>
                <w:kern w:val="0"/>
                <w:sz w:val="20"/>
                <w:szCs w:val="20"/>
              </w:rPr>
            </w:pPr>
            <w:r>
              <w:rPr>
                <w:rFonts w:hint="eastAsia" w:ascii="宋体" w:hAnsi="宋体" w:cs="宋体"/>
                <w:kern w:val="0"/>
                <w:sz w:val="20"/>
                <w:szCs w:val="20"/>
              </w:rPr>
              <w:t>（四）按权益法核算长期股权投资对初始投资成本调整确认收益</w:t>
            </w:r>
          </w:p>
        </w:tc>
        <w:tc>
          <w:tcPr>
            <w:tcW w:w="1061" w:type="dxa"/>
            <w:noWrap w:val="0"/>
            <w:vAlign w:val="center"/>
          </w:tcPr>
          <w:p>
            <w:pPr>
              <w:widowControl/>
              <w:jc w:val="center"/>
              <w:rPr>
                <w:rFonts w:ascii="宋体"/>
                <w:kern w:val="0"/>
                <w:sz w:val="20"/>
                <w:szCs w:val="20"/>
              </w:rPr>
            </w:pPr>
            <w:r>
              <w:rPr>
                <w:rFonts w:ascii="宋体" w:hAnsi="宋体" w:cs="宋体"/>
                <w:kern w:val="0"/>
                <w:sz w:val="20"/>
                <w:szCs w:val="20"/>
              </w:rPr>
              <w:t>*</w:t>
            </w:r>
          </w:p>
        </w:tc>
        <w:tc>
          <w:tcPr>
            <w:tcW w:w="1026" w:type="dxa"/>
            <w:noWrap w:val="0"/>
            <w:vAlign w:val="center"/>
          </w:tcPr>
          <w:p>
            <w:pPr>
              <w:widowControl/>
              <w:jc w:val="center"/>
              <w:rPr>
                <w:rFonts w:ascii="宋体"/>
                <w:kern w:val="0"/>
                <w:sz w:val="20"/>
                <w:szCs w:val="20"/>
              </w:rPr>
            </w:pPr>
            <w:r>
              <w:rPr>
                <w:rFonts w:ascii="宋体" w:hAnsi="宋体" w:cs="宋体"/>
                <w:kern w:val="0"/>
                <w:sz w:val="20"/>
                <w:szCs w:val="20"/>
              </w:rPr>
              <w:t>*</w:t>
            </w:r>
          </w:p>
        </w:tc>
        <w:tc>
          <w:tcPr>
            <w:tcW w:w="1053" w:type="dxa"/>
            <w:noWrap w:val="0"/>
            <w:vAlign w:val="center"/>
          </w:tcPr>
          <w:p>
            <w:pPr>
              <w:widowControl/>
              <w:jc w:val="center"/>
              <w:rPr>
                <w:rFonts w:ascii="宋体"/>
                <w:kern w:val="0"/>
                <w:sz w:val="20"/>
                <w:szCs w:val="20"/>
              </w:rPr>
            </w:pPr>
            <w:r>
              <w:rPr>
                <w:rFonts w:ascii="宋体" w:hAnsi="宋体" w:cs="宋体"/>
                <w:kern w:val="0"/>
                <w:sz w:val="20"/>
                <w:szCs w:val="20"/>
              </w:rPr>
              <w:t>*</w:t>
            </w:r>
          </w:p>
        </w:tc>
        <w:tc>
          <w:tcPr>
            <w:tcW w:w="1016" w:type="dxa"/>
            <w:noWrap w:val="0"/>
            <w:vAlign w:val="center"/>
          </w:tcPr>
          <w:p>
            <w:pPr>
              <w:widowControl/>
              <w:jc w:val="center"/>
              <w:rPr>
                <w:rFonts w:ascii="宋体"/>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61" w:hRule="exact"/>
          <w:jc w:val="center"/>
        </w:trPr>
        <w:tc>
          <w:tcPr>
            <w:tcW w:w="640" w:type="dxa"/>
            <w:noWrap w:val="0"/>
            <w:vAlign w:val="center"/>
          </w:tcPr>
          <w:p>
            <w:pPr>
              <w:widowControl/>
              <w:jc w:val="center"/>
              <w:rPr>
                <w:rFonts w:ascii="宋体"/>
                <w:kern w:val="0"/>
                <w:sz w:val="20"/>
                <w:szCs w:val="20"/>
              </w:rPr>
            </w:pPr>
            <w:r>
              <w:rPr>
                <w:rFonts w:ascii="宋体" w:hAnsi="宋体" w:cs="宋体"/>
                <w:kern w:val="0"/>
                <w:sz w:val="20"/>
                <w:szCs w:val="20"/>
              </w:rPr>
              <w:t>6</w:t>
            </w:r>
          </w:p>
        </w:tc>
        <w:tc>
          <w:tcPr>
            <w:tcW w:w="5582" w:type="dxa"/>
            <w:noWrap w:val="0"/>
            <w:vAlign w:val="center"/>
          </w:tcPr>
          <w:p>
            <w:pPr>
              <w:widowControl/>
              <w:ind w:firstLine="400" w:firstLineChars="200"/>
              <w:jc w:val="left"/>
              <w:rPr>
                <w:rFonts w:ascii="宋体"/>
                <w:kern w:val="0"/>
                <w:sz w:val="20"/>
                <w:szCs w:val="20"/>
              </w:rPr>
            </w:pPr>
            <w:r>
              <w:rPr>
                <w:rFonts w:hint="eastAsia" w:ascii="宋体" w:hAnsi="宋体" w:cs="宋体"/>
                <w:kern w:val="0"/>
                <w:sz w:val="20"/>
                <w:szCs w:val="20"/>
              </w:rPr>
              <w:t>（五）交易性金融资产初始投资调整</w:t>
            </w:r>
          </w:p>
        </w:tc>
        <w:tc>
          <w:tcPr>
            <w:tcW w:w="1061" w:type="dxa"/>
            <w:noWrap w:val="0"/>
            <w:vAlign w:val="center"/>
          </w:tcPr>
          <w:p>
            <w:pPr>
              <w:widowControl/>
              <w:jc w:val="center"/>
              <w:rPr>
                <w:rFonts w:ascii="宋体"/>
                <w:kern w:val="0"/>
                <w:sz w:val="20"/>
                <w:szCs w:val="20"/>
              </w:rPr>
            </w:pPr>
            <w:r>
              <w:rPr>
                <w:rFonts w:ascii="宋体" w:hAnsi="宋体" w:cs="宋体"/>
                <w:kern w:val="0"/>
                <w:sz w:val="20"/>
                <w:szCs w:val="20"/>
              </w:rPr>
              <w:t>*</w:t>
            </w:r>
          </w:p>
        </w:tc>
        <w:tc>
          <w:tcPr>
            <w:tcW w:w="1026" w:type="dxa"/>
            <w:noWrap w:val="0"/>
            <w:vAlign w:val="center"/>
          </w:tcPr>
          <w:p>
            <w:pPr>
              <w:widowControl/>
              <w:jc w:val="center"/>
              <w:rPr>
                <w:rFonts w:ascii="宋体"/>
                <w:kern w:val="0"/>
                <w:sz w:val="20"/>
                <w:szCs w:val="20"/>
              </w:rPr>
            </w:pPr>
            <w:r>
              <w:rPr>
                <w:rFonts w:ascii="宋体" w:hAnsi="宋体" w:cs="宋体"/>
                <w:kern w:val="0"/>
                <w:sz w:val="20"/>
                <w:szCs w:val="20"/>
              </w:rPr>
              <w:t>*</w:t>
            </w:r>
          </w:p>
        </w:tc>
        <w:tc>
          <w:tcPr>
            <w:tcW w:w="1053" w:type="dxa"/>
            <w:noWrap w:val="0"/>
            <w:vAlign w:val="center"/>
          </w:tcPr>
          <w:p>
            <w:pPr>
              <w:widowControl/>
              <w:jc w:val="center"/>
              <w:rPr>
                <w:rFonts w:ascii="宋体"/>
                <w:kern w:val="0"/>
                <w:sz w:val="20"/>
                <w:szCs w:val="20"/>
              </w:rPr>
            </w:pPr>
          </w:p>
        </w:tc>
        <w:tc>
          <w:tcPr>
            <w:tcW w:w="1016" w:type="dxa"/>
            <w:noWrap w:val="0"/>
            <w:vAlign w:val="center"/>
          </w:tcPr>
          <w:p>
            <w:pPr>
              <w:widowControl/>
              <w:jc w:val="center"/>
              <w:rPr>
                <w:rFonts w:ascii="宋体"/>
                <w:kern w:val="0"/>
                <w:sz w:val="20"/>
                <w:szCs w:val="20"/>
              </w:rPr>
            </w:pPr>
            <w:r>
              <w:rPr>
                <w:rFonts w:ascii="宋体" w:hAnsi="宋体" w:cs="宋体"/>
                <w:kern w:val="0"/>
                <w:sz w:val="20"/>
                <w:szCs w:val="20"/>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61" w:hRule="exact"/>
          <w:jc w:val="center"/>
        </w:trPr>
        <w:tc>
          <w:tcPr>
            <w:tcW w:w="640" w:type="dxa"/>
            <w:noWrap w:val="0"/>
            <w:vAlign w:val="center"/>
          </w:tcPr>
          <w:p>
            <w:pPr>
              <w:widowControl/>
              <w:jc w:val="center"/>
              <w:rPr>
                <w:rFonts w:ascii="宋体"/>
                <w:kern w:val="0"/>
                <w:sz w:val="20"/>
                <w:szCs w:val="20"/>
              </w:rPr>
            </w:pPr>
            <w:r>
              <w:rPr>
                <w:rFonts w:ascii="宋体" w:hAnsi="宋体" w:cs="宋体"/>
                <w:kern w:val="0"/>
                <w:sz w:val="20"/>
                <w:szCs w:val="20"/>
              </w:rPr>
              <w:t>7</w:t>
            </w:r>
          </w:p>
        </w:tc>
        <w:tc>
          <w:tcPr>
            <w:tcW w:w="5582" w:type="dxa"/>
            <w:noWrap w:val="0"/>
            <w:vAlign w:val="center"/>
          </w:tcPr>
          <w:p>
            <w:pPr>
              <w:widowControl/>
              <w:ind w:firstLine="400" w:firstLineChars="200"/>
              <w:jc w:val="left"/>
              <w:rPr>
                <w:rFonts w:ascii="宋体"/>
                <w:kern w:val="0"/>
                <w:sz w:val="20"/>
                <w:szCs w:val="20"/>
              </w:rPr>
            </w:pPr>
            <w:r>
              <w:rPr>
                <w:rFonts w:hint="eastAsia" w:ascii="宋体" w:hAnsi="宋体" w:cs="宋体"/>
                <w:kern w:val="0"/>
                <w:sz w:val="20"/>
                <w:szCs w:val="20"/>
              </w:rPr>
              <w:t>（六）公允价值变动净损益</w:t>
            </w:r>
          </w:p>
        </w:tc>
        <w:tc>
          <w:tcPr>
            <w:tcW w:w="1061" w:type="dxa"/>
            <w:noWrap w:val="0"/>
            <w:vAlign w:val="center"/>
          </w:tcPr>
          <w:p>
            <w:pPr>
              <w:widowControl/>
              <w:jc w:val="center"/>
              <w:rPr>
                <w:rFonts w:ascii="宋体"/>
                <w:kern w:val="0"/>
                <w:sz w:val="20"/>
                <w:szCs w:val="20"/>
              </w:rPr>
            </w:pPr>
          </w:p>
        </w:tc>
        <w:tc>
          <w:tcPr>
            <w:tcW w:w="1026" w:type="dxa"/>
            <w:noWrap w:val="0"/>
            <w:vAlign w:val="center"/>
          </w:tcPr>
          <w:p>
            <w:pPr>
              <w:widowControl/>
              <w:jc w:val="center"/>
              <w:rPr>
                <w:rFonts w:ascii="宋体"/>
                <w:kern w:val="0"/>
                <w:sz w:val="20"/>
                <w:szCs w:val="20"/>
              </w:rPr>
            </w:pPr>
            <w:r>
              <w:rPr>
                <w:rFonts w:ascii="宋体" w:hAnsi="宋体" w:cs="宋体"/>
                <w:kern w:val="0"/>
                <w:sz w:val="20"/>
                <w:szCs w:val="20"/>
              </w:rPr>
              <w:t>*</w:t>
            </w:r>
          </w:p>
        </w:tc>
        <w:tc>
          <w:tcPr>
            <w:tcW w:w="1053" w:type="dxa"/>
            <w:noWrap w:val="0"/>
            <w:vAlign w:val="center"/>
          </w:tcPr>
          <w:p>
            <w:pPr>
              <w:widowControl/>
              <w:jc w:val="center"/>
              <w:rPr>
                <w:rFonts w:ascii="宋体"/>
                <w:kern w:val="0"/>
                <w:sz w:val="20"/>
                <w:szCs w:val="20"/>
              </w:rPr>
            </w:pPr>
          </w:p>
        </w:tc>
        <w:tc>
          <w:tcPr>
            <w:tcW w:w="1016" w:type="dxa"/>
            <w:noWrap w:val="0"/>
            <w:vAlign w:val="center"/>
          </w:tcPr>
          <w:p>
            <w:pPr>
              <w:widowControl/>
              <w:jc w:val="center"/>
              <w:rPr>
                <w:rFonts w:ascii="宋体"/>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61" w:hRule="exact"/>
          <w:jc w:val="center"/>
        </w:trPr>
        <w:tc>
          <w:tcPr>
            <w:tcW w:w="640" w:type="dxa"/>
            <w:noWrap w:val="0"/>
            <w:vAlign w:val="center"/>
          </w:tcPr>
          <w:p>
            <w:pPr>
              <w:widowControl/>
              <w:jc w:val="center"/>
              <w:rPr>
                <w:rFonts w:ascii="宋体"/>
                <w:kern w:val="0"/>
                <w:sz w:val="20"/>
                <w:szCs w:val="20"/>
              </w:rPr>
            </w:pPr>
            <w:r>
              <w:rPr>
                <w:rFonts w:ascii="宋体" w:hAnsi="宋体" w:cs="宋体"/>
                <w:kern w:val="0"/>
                <w:sz w:val="20"/>
                <w:szCs w:val="20"/>
              </w:rPr>
              <w:t>8</w:t>
            </w:r>
          </w:p>
        </w:tc>
        <w:tc>
          <w:tcPr>
            <w:tcW w:w="5582" w:type="dxa"/>
            <w:noWrap w:val="0"/>
            <w:vAlign w:val="center"/>
          </w:tcPr>
          <w:p>
            <w:pPr>
              <w:widowControl/>
              <w:ind w:firstLine="400" w:firstLineChars="200"/>
              <w:jc w:val="left"/>
              <w:rPr>
                <w:rFonts w:ascii="宋体"/>
                <w:kern w:val="0"/>
                <w:sz w:val="20"/>
                <w:szCs w:val="20"/>
              </w:rPr>
            </w:pPr>
            <w:r>
              <w:rPr>
                <w:rFonts w:hint="eastAsia" w:ascii="宋体" w:hAnsi="宋体" w:cs="宋体"/>
                <w:kern w:val="0"/>
                <w:sz w:val="20"/>
                <w:szCs w:val="20"/>
              </w:rPr>
              <w:t>（七）不征税收入</w:t>
            </w:r>
          </w:p>
        </w:tc>
        <w:tc>
          <w:tcPr>
            <w:tcW w:w="1061" w:type="dxa"/>
            <w:noWrap w:val="0"/>
            <w:vAlign w:val="center"/>
          </w:tcPr>
          <w:p>
            <w:pPr>
              <w:widowControl/>
              <w:jc w:val="center"/>
              <w:rPr>
                <w:rFonts w:ascii="宋体"/>
                <w:kern w:val="0"/>
                <w:sz w:val="20"/>
                <w:szCs w:val="20"/>
              </w:rPr>
            </w:pPr>
            <w:r>
              <w:rPr>
                <w:rFonts w:ascii="宋体" w:hAnsi="宋体" w:cs="宋体"/>
                <w:kern w:val="0"/>
                <w:sz w:val="20"/>
                <w:szCs w:val="20"/>
              </w:rPr>
              <w:t>*</w:t>
            </w:r>
          </w:p>
        </w:tc>
        <w:tc>
          <w:tcPr>
            <w:tcW w:w="1026" w:type="dxa"/>
            <w:noWrap w:val="0"/>
            <w:vAlign w:val="center"/>
          </w:tcPr>
          <w:p>
            <w:pPr>
              <w:widowControl/>
              <w:jc w:val="center"/>
              <w:rPr>
                <w:rFonts w:ascii="宋体"/>
                <w:kern w:val="0"/>
                <w:sz w:val="20"/>
                <w:szCs w:val="20"/>
              </w:rPr>
            </w:pPr>
            <w:r>
              <w:rPr>
                <w:rFonts w:ascii="宋体" w:hAnsi="宋体" w:cs="宋体"/>
                <w:kern w:val="0"/>
                <w:sz w:val="20"/>
                <w:szCs w:val="20"/>
              </w:rPr>
              <w:t>*</w:t>
            </w:r>
          </w:p>
        </w:tc>
        <w:tc>
          <w:tcPr>
            <w:tcW w:w="1053" w:type="dxa"/>
            <w:noWrap w:val="0"/>
            <w:vAlign w:val="center"/>
          </w:tcPr>
          <w:p>
            <w:pPr>
              <w:widowControl/>
              <w:jc w:val="center"/>
              <w:rPr>
                <w:rFonts w:ascii="宋体"/>
                <w:kern w:val="0"/>
                <w:sz w:val="20"/>
                <w:szCs w:val="20"/>
              </w:rPr>
            </w:pPr>
          </w:p>
        </w:tc>
        <w:tc>
          <w:tcPr>
            <w:tcW w:w="1016" w:type="dxa"/>
            <w:noWrap w:val="0"/>
            <w:vAlign w:val="center"/>
          </w:tcPr>
          <w:p>
            <w:pPr>
              <w:widowControl/>
              <w:jc w:val="center"/>
              <w:rPr>
                <w:rFonts w:ascii="宋体"/>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61" w:hRule="exact"/>
          <w:jc w:val="center"/>
        </w:trPr>
        <w:tc>
          <w:tcPr>
            <w:tcW w:w="640" w:type="dxa"/>
            <w:noWrap w:val="0"/>
            <w:vAlign w:val="center"/>
          </w:tcPr>
          <w:p>
            <w:pPr>
              <w:widowControl/>
              <w:jc w:val="center"/>
              <w:rPr>
                <w:rFonts w:ascii="宋体"/>
                <w:kern w:val="0"/>
                <w:sz w:val="20"/>
                <w:szCs w:val="20"/>
              </w:rPr>
            </w:pPr>
            <w:r>
              <w:rPr>
                <w:rFonts w:ascii="宋体" w:hAnsi="宋体" w:cs="宋体"/>
                <w:kern w:val="0"/>
                <w:sz w:val="20"/>
                <w:szCs w:val="20"/>
              </w:rPr>
              <w:t>9</w:t>
            </w:r>
          </w:p>
        </w:tc>
        <w:tc>
          <w:tcPr>
            <w:tcW w:w="5582" w:type="dxa"/>
            <w:noWrap w:val="0"/>
            <w:vAlign w:val="center"/>
          </w:tcPr>
          <w:p>
            <w:pPr>
              <w:widowControl/>
              <w:ind w:firstLine="400" w:firstLineChars="200"/>
              <w:jc w:val="left"/>
              <w:rPr>
                <w:rFonts w:ascii="宋体"/>
                <w:kern w:val="0"/>
                <w:sz w:val="20"/>
                <w:szCs w:val="20"/>
              </w:rPr>
            </w:pPr>
            <w:r>
              <w:rPr>
                <w:rFonts w:hint="eastAsia" w:ascii="宋体" w:hAnsi="宋体" w:cs="宋体"/>
                <w:kern w:val="0"/>
                <w:sz w:val="20"/>
                <w:szCs w:val="20"/>
              </w:rPr>
              <w:t>（八）销售折扣、折让和退回</w:t>
            </w:r>
          </w:p>
        </w:tc>
        <w:tc>
          <w:tcPr>
            <w:tcW w:w="1061" w:type="dxa"/>
            <w:noWrap w:val="0"/>
            <w:vAlign w:val="center"/>
          </w:tcPr>
          <w:p>
            <w:pPr>
              <w:widowControl/>
              <w:jc w:val="center"/>
              <w:rPr>
                <w:rFonts w:ascii="宋体"/>
                <w:kern w:val="0"/>
                <w:sz w:val="20"/>
                <w:szCs w:val="20"/>
              </w:rPr>
            </w:pPr>
          </w:p>
        </w:tc>
        <w:tc>
          <w:tcPr>
            <w:tcW w:w="1026" w:type="dxa"/>
            <w:noWrap w:val="0"/>
            <w:vAlign w:val="center"/>
          </w:tcPr>
          <w:p>
            <w:pPr>
              <w:widowControl/>
              <w:jc w:val="center"/>
              <w:rPr>
                <w:rFonts w:ascii="宋体"/>
                <w:kern w:val="0"/>
                <w:sz w:val="20"/>
                <w:szCs w:val="20"/>
              </w:rPr>
            </w:pPr>
          </w:p>
        </w:tc>
        <w:tc>
          <w:tcPr>
            <w:tcW w:w="1053" w:type="dxa"/>
            <w:noWrap w:val="0"/>
            <w:vAlign w:val="center"/>
          </w:tcPr>
          <w:p>
            <w:pPr>
              <w:widowControl/>
              <w:jc w:val="center"/>
              <w:rPr>
                <w:rFonts w:ascii="宋体"/>
                <w:kern w:val="0"/>
                <w:sz w:val="20"/>
                <w:szCs w:val="20"/>
              </w:rPr>
            </w:pPr>
          </w:p>
        </w:tc>
        <w:tc>
          <w:tcPr>
            <w:tcW w:w="1016" w:type="dxa"/>
            <w:noWrap w:val="0"/>
            <w:vAlign w:val="center"/>
          </w:tcPr>
          <w:p>
            <w:pPr>
              <w:widowControl/>
              <w:jc w:val="center"/>
              <w:rPr>
                <w:rFonts w:ascii="宋体"/>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61" w:hRule="exact"/>
          <w:jc w:val="center"/>
        </w:trPr>
        <w:tc>
          <w:tcPr>
            <w:tcW w:w="640" w:type="dxa"/>
            <w:noWrap w:val="0"/>
            <w:vAlign w:val="center"/>
          </w:tcPr>
          <w:p>
            <w:pPr>
              <w:widowControl/>
              <w:jc w:val="center"/>
              <w:rPr>
                <w:rFonts w:ascii="宋体"/>
                <w:kern w:val="0"/>
                <w:sz w:val="20"/>
                <w:szCs w:val="20"/>
              </w:rPr>
            </w:pPr>
            <w:r>
              <w:rPr>
                <w:rFonts w:ascii="宋体" w:hAnsi="宋体" w:cs="宋体"/>
                <w:kern w:val="0"/>
                <w:sz w:val="20"/>
                <w:szCs w:val="20"/>
              </w:rPr>
              <w:t>10</w:t>
            </w:r>
          </w:p>
        </w:tc>
        <w:tc>
          <w:tcPr>
            <w:tcW w:w="5582" w:type="dxa"/>
            <w:noWrap w:val="0"/>
            <w:vAlign w:val="center"/>
          </w:tcPr>
          <w:p>
            <w:pPr>
              <w:widowControl/>
              <w:ind w:firstLine="400" w:firstLineChars="200"/>
              <w:jc w:val="left"/>
              <w:rPr>
                <w:rFonts w:ascii="宋体"/>
                <w:kern w:val="0"/>
                <w:sz w:val="20"/>
                <w:szCs w:val="20"/>
              </w:rPr>
            </w:pPr>
            <w:r>
              <w:rPr>
                <w:rFonts w:hint="eastAsia" w:ascii="宋体" w:hAnsi="宋体" w:cs="宋体"/>
                <w:kern w:val="0"/>
                <w:sz w:val="20"/>
                <w:szCs w:val="20"/>
              </w:rPr>
              <w:t>（九）其他</w:t>
            </w:r>
          </w:p>
        </w:tc>
        <w:tc>
          <w:tcPr>
            <w:tcW w:w="1061" w:type="dxa"/>
            <w:noWrap w:val="0"/>
            <w:vAlign w:val="center"/>
          </w:tcPr>
          <w:p>
            <w:pPr>
              <w:widowControl/>
              <w:jc w:val="center"/>
              <w:rPr>
                <w:rFonts w:ascii="宋体"/>
                <w:kern w:val="0"/>
                <w:sz w:val="20"/>
                <w:szCs w:val="20"/>
              </w:rPr>
            </w:pPr>
          </w:p>
        </w:tc>
        <w:tc>
          <w:tcPr>
            <w:tcW w:w="1026" w:type="dxa"/>
            <w:noWrap w:val="0"/>
            <w:vAlign w:val="center"/>
          </w:tcPr>
          <w:p>
            <w:pPr>
              <w:widowControl/>
              <w:jc w:val="center"/>
              <w:rPr>
                <w:rFonts w:ascii="宋体"/>
                <w:kern w:val="0"/>
                <w:sz w:val="20"/>
                <w:szCs w:val="20"/>
              </w:rPr>
            </w:pPr>
          </w:p>
        </w:tc>
        <w:tc>
          <w:tcPr>
            <w:tcW w:w="1053" w:type="dxa"/>
            <w:noWrap w:val="0"/>
            <w:vAlign w:val="center"/>
          </w:tcPr>
          <w:p>
            <w:pPr>
              <w:widowControl/>
              <w:jc w:val="center"/>
              <w:rPr>
                <w:rFonts w:ascii="宋体"/>
                <w:kern w:val="0"/>
                <w:sz w:val="20"/>
                <w:szCs w:val="20"/>
              </w:rPr>
            </w:pPr>
          </w:p>
        </w:tc>
        <w:tc>
          <w:tcPr>
            <w:tcW w:w="1016" w:type="dxa"/>
            <w:noWrap w:val="0"/>
            <w:vAlign w:val="center"/>
          </w:tcPr>
          <w:p>
            <w:pPr>
              <w:widowControl/>
              <w:jc w:val="center"/>
              <w:rPr>
                <w:rFonts w:ascii="宋体"/>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61" w:hRule="exact"/>
          <w:jc w:val="center"/>
        </w:trPr>
        <w:tc>
          <w:tcPr>
            <w:tcW w:w="640" w:type="dxa"/>
            <w:noWrap w:val="0"/>
            <w:vAlign w:val="center"/>
          </w:tcPr>
          <w:p>
            <w:pPr>
              <w:widowControl/>
              <w:jc w:val="center"/>
              <w:rPr>
                <w:rFonts w:ascii="宋体"/>
                <w:kern w:val="0"/>
                <w:sz w:val="20"/>
                <w:szCs w:val="20"/>
              </w:rPr>
            </w:pPr>
            <w:r>
              <w:rPr>
                <w:rFonts w:ascii="宋体" w:hAnsi="宋体" w:cs="宋体"/>
                <w:kern w:val="0"/>
                <w:sz w:val="20"/>
                <w:szCs w:val="20"/>
              </w:rPr>
              <w:t>11</w:t>
            </w:r>
          </w:p>
        </w:tc>
        <w:tc>
          <w:tcPr>
            <w:tcW w:w="5582" w:type="dxa"/>
            <w:noWrap w:val="0"/>
            <w:vAlign w:val="center"/>
          </w:tcPr>
          <w:p>
            <w:pPr>
              <w:widowControl/>
              <w:jc w:val="left"/>
              <w:rPr>
                <w:rFonts w:ascii="宋体"/>
                <w:kern w:val="0"/>
                <w:sz w:val="20"/>
                <w:szCs w:val="20"/>
              </w:rPr>
            </w:pPr>
            <w:r>
              <w:rPr>
                <w:rFonts w:hint="eastAsia" w:ascii="宋体" w:hAnsi="宋体" w:cs="宋体"/>
                <w:kern w:val="0"/>
                <w:sz w:val="20"/>
                <w:szCs w:val="20"/>
              </w:rPr>
              <w:t>二、扣除类调整项目（</w:t>
            </w:r>
            <w:r>
              <w:rPr>
                <w:rFonts w:ascii="宋体" w:hAnsi="宋体" w:cs="宋体"/>
                <w:kern w:val="0"/>
                <w:sz w:val="20"/>
                <w:szCs w:val="20"/>
              </w:rPr>
              <w:t>12+</w:t>
            </w:r>
            <w:r>
              <w:rPr>
                <w:rFonts w:hint="eastAsia" w:ascii="宋体" w:hAnsi="宋体" w:cs="宋体"/>
                <w:kern w:val="0"/>
                <w:sz w:val="20"/>
                <w:szCs w:val="20"/>
              </w:rPr>
              <w:t>…</w:t>
            </w:r>
            <w:r>
              <w:rPr>
                <w:rFonts w:ascii="宋体" w:hAnsi="宋体" w:cs="宋体"/>
                <w:kern w:val="0"/>
                <w:sz w:val="20"/>
                <w:szCs w:val="20"/>
              </w:rPr>
              <w:t>+3</w:t>
            </w:r>
            <w:r>
              <w:rPr>
                <w:rFonts w:hint="eastAsia" w:ascii="宋体" w:hAnsi="宋体" w:cs="宋体"/>
                <w:kern w:val="0"/>
                <w:sz w:val="20"/>
                <w:szCs w:val="20"/>
              </w:rPr>
              <w:t>0</w:t>
            </w:r>
            <w:r>
              <w:rPr>
                <w:rFonts w:ascii="宋体" w:hAnsi="宋体" w:cs="宋体"/>
                <w:kern w:val="0"/>
                <w:sz w:val="20"/>
                <w:szCs w:val="20"/>
              </w:rPr>
              <w:t>）</w:t>
            </w:r>
          </w:p>
        </w:tc>
        <w:tc>
          <w:tcPr>
            <w:tcW w:w="1061" w:type="dxa"/>
            <w:noWrap w:val="0"/>
            <w:vAlign w:val="center"/>
          </w:tcPr>
          <w:p>
            <w:pPr>
              <w:widowControl/>
              <w:jc w:val="center"/>
              <w:rPr>
                <w:rFonts w:ascii="宋体"/>
                <w:kern w:val="0"/>
                <w:sz w:val="20"/>
                <w:szCs w:val="20"/>
              </w:rPr>
            </w:pPr>
            <w:r>
              <w:rPr>
                <w:rFonts w:ascii="宋体" w:hAnsi="宋体" w:cs="宋体"/>
                <w:kern w:val="0"/>
                <w:sz w:val="20"/>
                <w:szCs w:val="20"/>
              </w:rPr>
              <w:t>*</w:t>
            </w:r>
          </w:p>
        </w:tc>
        <w:tc>
          <w:tcPr>
            <w:tcW w:w="1026" w:type="dxa"/>
            <w:noWrap w:val="0"/>
            <w:vAlign w:val="center"/>
          </w:tcPr>
          <w:p>
            <w:pPr>
              <w:widowControl/>
              <w:jc w:val="center"/>
              <w:rPr>
                <w:rFonts w:ascii="宋体"/>
                <w:kern w:val="0"/>
                <w:sz w:val="20"/>
                <w:szCs w:val="20"/>
              </w:rPr>
            </w:pPr>
            <w:r>
              <w:rPr>
                <w:rFonts w:ascii="宋体" w:hAnsi="宋体" w:cs="宋体"/>
                <w:kern w:val="0"/>
                <w:sz w:val="20"/>
                <w:szCs w:val="20"/>
              </w:rPr>
              <w:t>*</w:t>
            </w:r>
          </w:p>
        </w:tc>
        <w:tc>
          <w:tcPr>
            <w:tcW w:w="1053" w:type="dxa"/>
            <w:noWrap w:val="0"/>
            <w:vAlign w:val="center"/>
          </w:tcPr>
          <w:p>
            <w:pPr>
              <w:widowControl/>
              <w:jc w:val="center"/>
              <w:rPr>
                <w:rFonts w:ascii="宋体"/>
                <w:kern w:val="0"/>
                <w:sz w:val="20"/>
                <w:szCs w:val="20"/>
              </w:rPr>
            </w:pPr>
          </w:p>
        </w:tc>
        <w:tc>
          <w:tcPr>
            <w:tcW w:w="1016" w:type="dxa"/>
            <w:noWrap w:val="0"/>
            <w:vAlign w:val="center"/>
          </w:tcPr>
          <w:p>
            <w:pPr>
              <w:widowControl/>
              <w:jc w:val="center"/>
              <w:rPr>
                <w:rFonts w:ascii="宋体"/>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61" w:hRule="exact"/>
          <w:jc w:val="center"/>
        </w:trPr>
        <w:tc>
          <w:tcPr>
            <w:tcW w:w="640" w:type="dxa"/>
            <w:noWrap w:val="0"/>
            <w:vAlign w:val="center"/>
          </w:tcPr>
          <w:p>
            <w:pPr>
              <w:widowControl/>
              <w:jc w:val="center"/>
              <w:rPr>
                <w:rFonts w:ascii="宋体"/>
                <w:kern w:val="0"/>
                <w:sz w:val="20"/>
                <w:szCs w:val="20"/>
              </w:rPr>
            </w:pPr>
            <w:r>
              <w:rPr>
                <w:rFonts w:ascii="宋体" w:hAnsi="宋体" w:cs="宋体"/>
                <w:kern w:val="0"/>
                <w:sz w:val="20"/>
                <w:szCs w:val="20"/>
              </w:rPr>
              <w:t>12</w:t>
            </w:r>
          </w:p>
        </w:tc>
        <w:tc>
          <w:tcPr>
            <w:tcW w:w="5582" w:type="dxa"/>
            <w:noWrap w:val="0"/>
            <w:vAlign w:val="center"/>
          </w:tcPr>
          <w:p>
            <w:pPr>
              <w:widowControl/>
              <w:ind w:firstLine="400" w:firstLineChars="200"/>
              <w:jc w:val="left"/>
              <w:rPr>
                <w:rFonts w:ascii="宋体"/>
                <w:kern w:val="0"/>
                <w:sz w:val="20"/>
                <w:szCs w:val="20"/>
              </w:rPr>
            </w:pPr>
            <w:r>
              <w:rPr>
                <w:rFonts w:hint="eastAsia" w:ascii="宋体" w:hAnsi="宋体" w:cs="宋体"/>
                <w:kern w:val="0"/>
                <w:sz w:val="20"/>
                <w:szCs w:val="20"/>
              </w:rPr>
              <w:t>（一）视同销售成本</w:t>
            </w:r>
          </w:p>
        </w:tc>
        <w:tc>
          <w:tcPr>
            <w:tcW w:w="1061" w:type="dxa"/>
            <w:noWrap w:val="0"/>
            <w:vAlign w:val="center"/>
          </w:tcPr>
          <w:p>
            <w:pPr>
              <w:widowControl/>
              <w:jc w:val="center"/>
              <w:rPr>
                <w:rFonts w:ascii="宋体"/>
                <w:kern w:val="0"/>
                <w:sz w:val="20"/>
                <w:szCs w:val="20"/>
              </w:rPr>
            </w:pPr>
            <w:r>
              <w:rPr>
                <w:rFonts w:ascii="宋体" w:hAnsi="宋体" w:cs="宋体"/>
                <w:kern w:val="0"/>
                <w:sz w:val="20"/>
                <w:szCs w:val="20"/>
              </w:rPr>
              <w:t>*</w:t>
            </w:r>
          </w:p>
        </w:tc>
        <w:tc>
          <w:tcPr>
            <w:tcW w:w="1026" w:type="dxa"/>
            <w:noWrap w:val="0"/>
            <w:vAlign w:val="center"/>
          </w:tcPr>
          <w:p>
            <w:pPr>
              <w:widowControl/>
              <w:jc w:val="center"/>
              <w:rPr>
                <w:rFonts w:ascii="宋体"/>
                <w:kern w:val="0"/>
                <w:sz w:val="20"/>
                <w:szCs w:val="20"/>
              </w:rPr>
            </w:pPr>
          </w:p>
        </w:tc>
        <w:tc>
          <w:tcPr>
            <w:tcW w:w="1053" w:type="dxa"/>
            <w:noWrap w:val="0"/>
            <w:vAlign w:val="center"/>
          </w:tcPr>
          <w:p>
            <w:pPr>
              <w:widowControl/>
              <w:jc w:val="center"/>
              <w:rPr>
                <w:rFonts w:ascii="宋体"/>
                <w:kern w:val="0"/>
                <w:sz w:val="20"/>
                <w:szCs w:val="20"/>
              </w:rPr>
            </w:pPr>
            <w:r>
              <w:rPr>
                <w:rFonts w:ascii="宋体" w:hAnsi="宋体" w:cs="宋体"/>
                <w:kern w:val="0"/>
                <w:sz w:val="20"/>
                <w:szCs w:val="20"/>
              </w:rPr>
              <w:t>*</w:t>
            </w:r>
          </w:p>
        </w:tc>
        <w:tc>
          <w:tcPr>
            <w:tcW w:w="1016" w:type="dxa"/>
            <w:noWrap w:val="0"/>
            <w:vAlign w:val="center"/>
          </w:tcPr>
          <w:p>
            <w:pPr>
              <w:widowControl/>
              <w:jc w:val="center"/>
              <w:rPr>
                <w:rFonts w:ascii="宋体"/>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61" w:hRule="exact"/>
          <w:jc w:val="center"/>
        </w:trPr>
        <w:tc>
          <w:tcPr>
            <w:tcW w:w="640" w:type="dxa"/>
            <w:noWrap w:val="0"/>
            <w:vAlign w:val="center"/>
          </w:tcPr>
          <w:p>
            <w:pPr>
              <w:widowControl/>
              <w:jc w:val="center"/>
              <w:rPr>
                <w:rFonts w:ascii="宋体"/>
                <w:kern w:val="0"/>
                <w:sz w:val="20"/>
                <w:szCs w:val="20"/>
              </w:rPr>
            </w:pPr>
            <w:r>
              <w:rPr>
                <w:rFonts w:ascii="宋体" w:hAnsi="宋体" w:cs="宋体"/>
                <w:kern w:val="0"/>
                <w:sz w:val="20"/>
                <w:szCs w:val="20"/>
              </w:rPr>
              <w:t>13</w:t>
            </w:r>
          </w:p>
        </w:tc>
        <w:tc>
          <w:tcPr>
            <w:tcW w:w="5582" w:type="dxa"/>
            <w:noWrap w:val="0"/>
            <w:vAlign w:val="center"/>
          </w:tcPr>
          <w:p>
            <w:pPr>
              <w:widowControl/>
              <w:ind w:firstLine="400" w:firstLineChars="200"/>
              <w:jc w:val="left"/>
              <w:rPr>
                <w:rFonts w:ascii="宋体"/>
                <w:kern w:val="0"/>
                <w:sz w:val="20"/>
                <w:szCs w:val="20"/>
              </w:rPr>
            </w:pPr>
            <w:r>
              <w:rPr>
                <w:rFonts w:hint="eastAsia" w:ascii="宋体" w:hAnsi="宋体" w:cs="宋体"/>
                <w:kern w:val="0"/>
                <w:sz w:val="20"/>
                <w:szCs w:val="20"/>
              </w:rPr>
              <w:t>（二）职工薪酬</w:t>
            </w:r>
          </w:p>
        </w:tc>
        <w:tc>
          <w:tcPr>
            <w:tcW w:w="1061" w:type="dxa"/>
            <w:noWrap w:val="0"/>
            <w:vAlign w:val="center"/>
          </w:tcPr>
          <w:p>
            <w:pPr>
              <w:widowControl/>
              <w:jc w:val="center"/>
              <w:rPr>
                <w:rFonts w:ascii="宋体"/>
                <w:kern w:val="0"/>
                <w:sz w:val="20"/>
                <w:szCs w:val="20"/>
              </w:rPr>
            </w:pPr>
          </w:p>
        </w:tc>
        <w:tc>
          <w:tcPr>
            <w:tcW w:w="1026" w:type="dxa"/>
            <w:noWrap w:val="0"/>
            <w:vAlign w:val="center"/>
          </w:tcPr>
          <w:p>
            <w:pPr>
              <w:widowControl/>
              <w:jc w:val="center"/>
              <w:rPr>
                <w:rFonts w:ascii="宋体"/>
                <w:kern w:val="0"/>
                <w:sz w:val="20"/>
                <w:szCs w:val="20"/>
              </w:rPr>
            </w:pPr>
          </w:p>
        </w:tc>
        <w:tc>
          <w:tcPr>
            <w:tcW w:w="1053" w:type="dxa"/>
            <w:noWrap w:val="0"/>
            <w:vAlign w:val="center"/>
          </w:tcPr>
          <w:p>
            <w:pPr>
              <w:widowControl/>
              <w:jc w:val="center"/>
              <w:rPr>
                <w:rFonts w:ascii="宋体"/>
                <w:kern w:val="0"/>
                <w:sz w:val="20"/>
                <w:szCs w:val="20"/>
              </w:rPr>
            </w:pPr>
          </w:p>
        </w:tc>
        <w:tc>
          <w:tcPr>
            <w:tcW w:w="1016" w:type="dxa"/>
            <w:noWrap w:val="0"/>
            <w:vAlign w:val="center"/>
          </w:tcPr>
          <w:p>
            <w:pPr>
              <w:widowControl/>
              <w:jc w:val="center"/>
              <w:rPr>
                <w:rFonts w:ascii="宋体"/>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61" w:hRule="exact"/>
          <w:jc w:val="center"/>
        </w:trPr>
        <w:tc>
          <w:tcPr>
            <w:tcW w:w="640" w:type="dxa"/>
            <w:noWrap w:val="0"/>
            <w:vAlign w:val="center"/>
          </w:tcPr>
          <w:p>
            <w:pPr>
              <w:widowControl/>
              <w:jc w:val="center"/>
              <w:rPr>
                <w:rFonts w:ascii="宋体"/>
                <w:kern w:val="0"/>
                <w:sz w:val="20"/>
                <w:szCs w:val="20"/>
              </w:rPr>
            </w:pPr>
            <w:r>
              <w:rPr>
                <w:rFonts w:ascii="宋体" w:hAnsi="宋体" w:cs="宋体"/>
                <w:kern w:val="0"/>
                <w:sz w:val="20"/>
                <w:szCs w:val="20"/>
              </w:rPr>
              <w:t>14</w:t>
            </w:r>
          </w:p>
        </w:tc>
        <w:tc>
          <w:tcPr>
            <w:tcW w:w="5582" w:type="dxa"/>
            <w:noWrap w:val="0"/>
            <w:vAlign w:val="center"/>
          </w:tcPr>
          <w:p>
            <w:pPr>
              <w:widowControl/>
              <w:ind w:firstLine="400" w:firstLineChars="200"/>
              <w:jc w:val="left"/>
              <w:rPr>
                <w:rFonts w:ascii="宋体"/>
                <w:kern w:val="0"/>
                <w:sz w:val="20"/>
                <w:szCs w:val="20"/>
              </w:rPr>
            </w:pPr>
            <w:r>
              <w:rPr>
                <w:rFonts w:hint="eastAsia" w:ascii="宋体" w:hAnsi="宋体" w:cs="宋体"/>
                <w:kern w:val="0"/>
                <w:sz w:val="20"/>
                <w:szCs w:val="20"/>
              </w:rPr>
              <w:t>（三）业务招待费支出</w:t>
            </w:r>
          </w:p>
        </w:tc>
        <w:tc>
          <w:tcPr>
            <w:tcW w:w="1061" w:type="dxa"/>
            <w:noWrap w:val="0"/>
            <w:vAlign w:val="center"/>
          </w:tcPr>
          <w:p>
            <w:pPr>
              <w:widowControl/>
              <w:jc w:val="center"/>
              <w:rPr>
                <w:rFonts w:ascii="宋体"/>
                <w:kern w:val="0"/>
                <w:sz w:val="20"/>
                <w:szCs w:val="20"/>
              </w:rPr>
            </w:pPr>
          </w:p>
        </w:tc>
        <w:tc>
          <w:tcPr>
            <w:tcW w:w="1026" w:type="dxa"/>
            <w:noWrap w:val="0"/>
            <w:vAlign w:val="center"/>
          </w:tcPr>
          <w:p>
            <w:pPr>
              <w:widowControl/>
              <w:jc w:val="center"/>
              <w:rPr>
                <w:rFonts w:ascii="宋体"/>
                <w:kern w:val="0"/>
                <w:sz w:val="20"/>
                <w:szCs w:val="20"/>
              </w:rPr>
            </w:pPr>
          </w:p>
        </w:tc>
        <w:tc>
          <w:tcPr>
            <w:tcW w:w="1053" w:type="dxa"/>
            <w:noWrap w:val="0"/>
            <w:vAlign w:val="center"/>
          </w:tcPr>
          <w:p>
            <w:pPr>
              <w:widowControl/>
              <w:jc w:val="center"/>
              <w:rPr>
                <w:rFonts w:ascii="宋体"/>
                <w:kern w:val="0"/>
                <w:sz w:val="20"/>
                <w:szCs w:val="20"/>
              </w:rPr>
            </w:pPr>
          </w:p>
        </w:tc>
        <w:tc>
          <w:tcPr>
            <w:tcW w:w="1016" w:type="dxa"/>
            <w:noWrap w:val="0"/>
            <w:vAlign w:val="center"/>
          </w:tcPr>
          <w:p>
            <w:pPr>
              <w:widowControl/>
              <w:jc w:val="center"/>
              <w:rPr>
                <w:rFonts w:ascii="宋体"/>
                <w:kern w:val="0"/>
                <w:sz w:val="20"/>
                <w:szCs w:val="20"/>
              </w:rPr>
            </w:pPr>
            <w:r>
              <w:rPr>
                <w:rFonts w:ascii="宋体" w:hAnsi="宋体" w:cs="宋体"/>
                <w:kern w:val="0"/>
                <w:sz w:val="20"/>
                <w:szCs w:val="20"/>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61" w:hRule="exact"/>
          <w:jc w:val="center"/>
        </w:trPr>
        <w:tc>
          <w:tcPr>
            <w:tcW w:w="640" w:type="dxa"/>
            <w:noWrap w:val="0"/>
            <w:vAlign w:val="center"/>
          </w:tcPr>
          <w:p>
            <w:pPr>
              <w:widowControl/>
              <w:jc w:val="center"/>
              <w:rPr>
                <w:rFonts w:ascii="宋体"/>
                <w:kern w:val="0"/>
                <w:sz w:val="20"/>
                <w:szCs w:val="20"/>
              </w:rPr>
            </w:pPr>
            <w:r>
              <w:rPr>
                <w:rFonts w:ascii="宋体" w:hAnsi="宋体" w:cs="宋体"/>
                <w:kern w:val="0"/>
                <w:sz w:val="20"/>
                <w:szCs w:val="20"/>
              </w:rPr>
              <w:t>15</w:t>
            </w:r>
          </w:p>
        </w:tc>
        <w:tc>
          <w:tcPr>
            <w:tcW w:w="5582" w:type="dxa"/>
            <w:noWrap w:val="0"/>
            <w:vAlign w:val="center"/>
          </w:tcPr>
          <w:p>
            <w:pPr>
              <w:widowControl/>
              <w:ind w:firstLine="400" w:firstLineChars="200"/>
              <w:jc w:val="left"/>
              <w:rPr>
                <w:rFonts w:ascii="宋体"/>
                <w:kern w:val="0"/>
                <w:sz w:val="20"/>
                <w:szCs w:val="20"/>
              </w:rPr>
            </w:pPr>
            <w:r>
              <w:rPr>
                <w:rFonts w:hint="eastAsia" w:ascii="宋体" w:hAnsi="宋体" w:cs="宋体"/>
                <w:kern w:val="0"/>
                <w:sz w:val="20"/>
                <w:szCs w:val="20"/>
              </w:rPr>
              <w:t>（四）广告费和业务宣传费支出</w:t>
            </w:r>
          </w:p>
        </w:tc>
        <w:tc>
          <w:tcPr>
            <w:tcW w:w="1061" w:type="dxa"/>
            <w:noWrap w:val="0"/>
            <w:vAlign w:val="center"/>
          </w:tcPr>
          <w:p>
            <w:pPr>
              <w:widowControl/>
              <w:jc w:val="center"/>
              <w:rPr>
                <w:rFonts w:ascii="宋体"/>
                <w:kern w:val="0"/>
                <w:sz w:val="20"/>
                <w:szCs w:val="20"/>
              </w:rPr>
            </w:pPr>
          </w:p>
        </w:tc>
        <w:tc>
          <w:tcPr>
            <w:tcW w:w="1026" w:type="dxa"/>
            <w:noWrap w:val="0"/>
            <w:vAlign w:val="center"/>
          </w:tcPr>
          <w:p>
            <w:pPr>
              <w:widowControl/>
              <w:jc w:val="center"/>
              <w:rPr>
                <w:rFonts w:ascii="宋体"/>
                <w:kern w:val="0"/>
                <w:sz w:val="20"/>
                <w:szCs w:val="20"/>
              </w:rPr>
            </w:pPr>
          </w:p>
        </w:tc>
        <w:tc>
          <w:tcPr>
            <w:tcW w:w="1053" w:type="dxa"/>
            <w:noWrap w:val="0"/>
            <w:vAlign w:val="center"/>
          </w:tcPr>
          <w:p>
            <w:pPr>
              <w:widowControl/>
              <w:jc w:val="center"/>
              <w:rPr>
                <w:rFonts w:ascii="宋体"/>
                <w:kern w:val="0"/>
                <w:sz w:val="20"/>
                <w:szCs w:val="20"/>
              </w:rPr>
            </w:pPr>
          </w:p>
        </w:tc>
        <w:tc>
          <w:tcPr>
            <w:tcW w:w="1016" w:type="dxa"/>
            <w:noWrap w:val="0"/>
            <w:vAlign w:val="center"/>
          </w:tcPr>
          <w:p>
            <w:pPr>
              <w:widowControl/>
              <w:jc w:val="center"/>
              <w:rPr>
                <w:rFonts w:ascii="宋体"/>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61" w:hRule="exact"/>
          <w:jc w:val="center"/>
        </w:trPr>
        <w:tc>
          <w:tcPr>
            <w:tcW w:w="640" w:type="dxa"/>
            <w:noWrap w:val="0"/>
            <w:vAlign w:val="center"/>
          </w:tcPr>
          <w:p>
            <w:pPr>
              <w:widowControl/>
              <w:jc w:val="center"/>
              <w:rPr>
                <w:rFonts w:ascii="宋体"/>
                <w:kern w:val="0"/>
                <w:sz w:val="20"/>
                <w:szCs w:val="20"/>
              </w:rPr>
            </w:pPr>
            <w:r>
              <w:rPr>
                <w:rFonts w:ascii="宋体" w:hAnsi="宋体" w:cs="宋体"/>
                <w:kern w:val="0"/>
                <w:sz w:val="20"/>
                <w:szCs w:val="20"/>
              </w:rPr>
              <w:t>16</w:t>
            </w:r>
          </w:p>
        </w:tc>
        <w:tc>
          <w:tcPr>
            <w:tcW w:w="5582" w:type="dxa"/>
            <w:noWrap w:val="0"/>
            <w:vAlign w:val="center"/>
          </w:tcPr>
          <w:p>
            <w:pPr>
              <w:widowControl/>
              <w:ind w:firstLine="400" w:firstLineChars="200"/>
              <w:jc w:val="left"/>
              <w:rPr>
                <w:rFonts w:ascii="宋体"/>
                <w:kern w:val="0"/>
                <w:sz w:val="20"/>
                <w:szCs w:val="20"/>
              </w:rPr>
            </w:pPr>
            <w:r>
              <w:rPr>
                <w:rFonts w:hint="eastAsia" w:ascii="宋体" w:hAnsi="宋体" w:cs="宋体"/>
                <w:kern w:val="0"/>
                <w:sz w:val="20"/>
                <w:szCs w:val="20"/>
              </w:rPr>
              <w:t>（五）捐赠支出</w:t>
            </w:r>
          </w:p>
        </w:tc>
        <w:tc>
          <w:tcPr>
            <w:tcW w:w="1061" w:type="dxa"/>
            <w:noWrap w:val="0"/>
            <w:vAlign w:val="center"/>
          </w:tcPr>
          <w:p>
            <w:pPr>
              <w:widowControl/>
              <w:jc w:val="center"/>
              <w:rPr>
                <w:rFonts w:ascii="宋体"/>
                <w:kern w:val="0"/>
                <w:sz w:val="20"/>
                <w:szCs w:val="20"/>
              </w:rPr>
            </w:pPr>
          </w:p>
        </w:tc>
        <w:tc>
          <w:tcPr>
            <w:tcW w:w="1026" w:type="dxa"/>
            <w:noWrap w:val="0"/>
            <w:vAlign w:val="center"/>
          </w:tcPr>
          <w:p>
            <w:pPr>
              <w:widowControl/>
              <w:jc w:val="center"/>
              <w:rPr>
                <w:rFonts w:ascii="宋体"/>
                <w:kern w:val="0"/>
                <w:sz w:val="20"/>
                <w:szCs w:val="20"/>
              </w:rPr>
            </w:pPr>
          </w:p>
        </w:tc>
        <w:tc>
          <w:tcPr>
            <w:tcW w:w="1053" w:type="dxa"/>
            <w:noWrap w:val="0"/>
            <w:vAlign w:val="center"/>
          </w:tcPr>
          <w:p>
            <w:pPr>
              <w:widowControl/>
              <w:jc w:val="center"/>
              <w:rPr>
                <w:rFonts w:ascii="宋体"/>
                <w:kern w:val="0"/>
                <w:sz w:val="20"/>
                <w:szCs w:val="20"/>
              </w:rPr>
            </w:pPr>
          </w:p>
        </w:tc>
        <w:tc>
          <w:tcPr>
            <w:tcW w:w="1016" w:type="dxa"/>
            <w:noWrap w:val="0"/>
            <w:vAlign w:val="center"/>
          </w:tcPr>
          <w:p>
            <w:pPr>
              <w:widowControl/>
              <w:jc w:val="center"/>
              <w:rPr>
                <w:rFonts w:ascii="宋体"/>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61" w:hRule="exact"/>
          <w:jc w:val="center"/>
        </w:trPr>
        <w:tc>
          <w:tcPr>
            <w:tcW w:w="640" w:type="dxa"/>
            <w:noWrap w:val="0"/>
            <w:vAlign w:val="center"/>
          </w:tcPr>
          <w:p>
            <w:pPr>
              <w:widowControl/>
              <w:jc w:val="center"/>
              <w:rPr>
                <w:rFonts w:ascii="宋体"/>
                <w:kern w:val="0"/>
                <w:sz w:val="20"/>
                <w:szCs w:val="20"/>
              </w:rPr>
            </w:pPr>
            <w:r>
              <w:rPr>
                <w:rFonts w:ascii="宋体" w:hAnsi="宋体" w:cs="宋体"/>
                <w:kern w:val="0"/>
                <w:sz w:val="20"/>
                <w:szCs w:val="20"/>
              </w:rPr>
              <w:t>17</w:t>
            </w:r>
          </w:p>
        </w:tc>
        <w:tc>
          <w:tcPr>
            <w:tcW w:w="5582" w:type="dxa"/>
            <w:noWrap w:val="0"/>
            <w:vAlign w:val="center"/>
          </w:tcPr>
          <w:p>
            <w:pPr>
              <w:widowControl/>
              <w:ind w:firstLine="400" w:firstLineChars="200"/>
              <w:jc w:val="left"/>
              <w:rPr>
                <w:rFonts w:ascii="宋体"/>
                <w:kern w:val="0"/>
                <w:sz w:val="20"/>
                <w:szCs w:val="20"/>
              </w:rPr>
            </w:pPr>
            <w:r>
              <w:rPr>
                <w:rFonts w:hint="eastAsia" w:ascii="宋体" w:hAnsi="宋体" w:cs="宋体"/>
                <w:kern w:val="0"/>
                <w:sz w:val="20"/>
                <w:szCs w:val="20"/>
              </w:rPr>
              <w:t>（六）利息支出</w:t>
            </w:r>
          </w:p>
        </w:tc>
        <w:tc>
          <w:tcPr>
            <w:tcW w:w="1061" w:type="dxa"/>
            <w:noWrap w:val="0"/>
            <w:vAlign w:val="center"/>
          </w:tcPr>
          <w:p>
            <w:pPr>
              <w:widowControl/>
              <w:jc w:val="center"/>
              <w:rPr>
                <w:rFonts w:ascii="宋体"/>
                <w:kern w:val="0"/>
                <w:sz w:val="20"/>
                <w:szCs w:val="20"/>
              </w:rPr>
            </w:pPr>
          </w:p>
        </w:tc>
        <w:tc>
          <w:tcPr>
            <w:tcW w:w="1026" w:type="dxa"/>
            <w:noWrap w:val="0"/>
            <w:vAlign w:val="center"/>
          </w:tcPr>
          <w:p>
            <w:pPr>
              <w:widowControl/>
              <w:jc w:val="center"/>
              <w:rPr>
                <w:rFonts w:ascii="宋体"/>
                <w:kern w:val="0"/>
                <w:sz w:val="20"/>
                <w:szCs w:val="20"/>
              </w:rPr>
            </w:pPr>
          </w:p>
        </w:tc>
        <w:tc>
          <w:tcPr>
            <w:tcW w:w="1053" w:type="dxa"/>
            <w:noWrap w:val="0"/>
            <w:vAlign w:val="center"/>
          </w:tcPr>
          <w:p>
            <w:pPr>
              <w:widowControl/>
              <w:jc w:val="center"/>
              <w:rPr>
                <w:rFonts w:ascii="宋体"/>
                <w:kern w:val="0"/>
                <w:sz w:val="20"/>
                <w:szCs w:val="20"/>
              </w:rPr>
            </w:pPr>
          </w:p>
        </w:tc>
        <w:tc>
          <w:tcPr>
            <w:tcW w:w="1016" w:type="dxa"/>
            <w:noWrap w:val="0"/>
            <w:vAlign w:val="center"/>
          </w:tcPr>
          <w:p>
            <w:pPr>
              <w:widowControl/>
              <w:jc w:val="center"/>
              <w:rPr>
                <w:rFonts w:ascii="宋体"/>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61" w:hRule="exact"/>
          <w:jc w:val="center"/>
        </w:trPr>
        <w:tc>
          <w:tcPr>
            <w:tcW w:w="640" w:type="dxa"/>
            <w:noWrap w:val="0"/>
            <w:vAlign w:val="center"/>
          </w:tcPr>
          <w:p>
            <w:pPr>
              <w:widowControl/>
              <w:jc w:val="center"/>
              <w:rPr>
                <w:rFonts w:ascii="宋体"/>
                <w:kern w:val="0"/>
                <w:sz w:val="20"/>
                <w:szCs w:val="20"/>
              </w:rPr>
            </w:pPr>
            <w:r>
              <w:rPr>
                <w:rFonts w:ascii="宋体" w:hAnsi="宋体" w:cs="宋体"/>
                <w:kern w:val="0"/>
                <w:sz w:val="20"/>
                <w:szCs w:val="20"/>
              </w:rPr>
              <w:t>18</w:t>
            </w:r>
          </w:p>
        </w:tc>
        <w:tc>
          <w:tcPr>
            <w:tcW w:w="5582" w:type="dxa"/>
            <w:noWrap w:val="0"/>
            <w:vAlign w:val="center"/>
          </w:tcPr>
          <w:p>
            <w:pPr>
              <w:widowControl/>
              <w:ind w:firstLine="400" w:firstLineChars="200"/>
              <w:jc w:val="left"/>
              <w:rPr>
                <w:rFonts w:ascii="宋体"/>
                <w:kern w:val="0"/>
                <w:sz w:val="20"/>
                <w:szCs w:val="20"/>
              </w:rPr>
            </w:pPr>
            <w:r>
              <w:rPr>
                <w:rFonts w:hint="eastAsia" w:ascii="宋体" w:hAnsi="宋体" w:cs="宋体"/>
                <w:kern w:val="0"/>
                <w:sz w:val="20"/>
                <w:szCs w:val="20"/>
              </w:rPr>
              <w:t>（七）罚金、罚款和被没收财物的损失</w:t>
            </w:r>
          </w:p>
        </w:tc>
        <w:tc>
          <w:tcPr>
            <w:tcW w:w="1061" w:type="dxa"/>
            <w:noWrap w:val="0"/>
            <w:vAlign w:val="center"/>
          </w:tcPr>
          <w:p>
            <w:pPr>
              <w:widowControl/>
              <w:jc w:val="center"/>
              <w:rPr>
                <w:rFonts w:ascii="宋体"/>
                <w:kern w:val="0"/>
                <w:sz w:val="20"/>
                <w:szCs w:val="20"/>
              </w:rPr>
            </w:pPr>
          </w:p>
        </w:tc>
        <w:tc>
          <w:tcPr>
            <w:tcW w:w="1026" w:type="dxa"/>
            <w:noWrap w:val="0"/>
            <w:vAlign w:val="center"/>
          </w:tcPr>
          <w:p>
            <w:pPr>
              <w:widowControl/>
              <w:jc w:val="center"/>
              <w:rPr>
                <w:rFonts w:ascii="宋体"/>
                <w:kern w:val="0"/>
                <w:sz w:val="20"/>
                <w:szCs w:val="20"/>
              </w:rPr>
            </w:pPr>
            <w:r>
              <w:rPr>
                <w:rFonts w:ascii="宋体" w:hAnsi="宋体" w:cs="宋体"/>
                <w:kern w:val="0"/>
                <w:sz w:val="20"/>
                <w:szCs w:val="20"/>
              </w:rPr>
              <w:t>*</w:t>
            </w:r>
          </w:p>
        </w:tc>
        <w:tc>
          <w:tcPr>
            <w:tcW w:w="1053" w:type="dxa"/>
            <w:noWrap w:val="0"/>
            <w:vAlign w:val="center"/>
          </w:tcPr>
          <w:p>
            <w:pPr>
              <w:widowControl/>
              <w:jc w:val="center"/>
              <w:rPr>
                <w:rFonts w:ascii="宋体"/>
                <w:kern w:val="0"/>
                <w:sz w:val="20"/>
                <w:szCs w:val="20"/>
              </w:rPr>
            </w:pPr>
          </w:p>
        </w:tc>
        <w:tc>
          <w:tcPr>
            <w:tcW w:w="1016" w:type="dxa"/>
            <w:noWrap w:val="0"/>
            <w:vAlign w:val="center"/>
          </w:tcPr>
          <w:p>
            <w:pPr>
              <w:widowControl/>
              <w:jc w:val="center"/>
              <w:rPr>
                <w:rFonts w:ascii="宋体"/>
                <w:kern w:val="0"/>
                <w:sz w:val="20"/>
                <w:szCs w:val="20"/>
              </w:rPr>
            </w:pPr>
            <w:r>
              <w:rPr>
                <w:rFonts w:ascii="宋体" w:hAnsi="宋体" w:cs="宋体"/>
                <w:kern w:val="0"/>
                <w:sz w:val="20"/>
                <w:szCs w:val="20"/>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61" w:hRule="exact"/>
          <w:jc w:val="center"/>
        </w:trPr>
        <w:tc>
          <w:tcPr>
            <w:tcW w:w="640" w:type="dxa"/>
            <w:noWrap w:val="0"/>
            <w:vAlign w:val="center"/>
          </w:tcPr>
          <w:p>
            <w:pPr>
              <w:widowControl/>
              <w:jc w:val="center"/>
              <w:rPr>
                <w:rFonts w:ascii="宋体"/>
                <w:kern w:val="0"/>
                <w:sz w:val="20"/>
                <w:szCs w:val="20"/>
              </w:rPr>
            </w:pPr>
            <w:r>
              <w:rPr>
                <w:rFonts w:ascii="宋体" w:hAnsi="宋体" w:cs="宋体"/>
                <w:kern w:val="0"/>
                <w:sz w:val="20"/>
                <w:szCs w:val="20"/>
              </w:rPr>
              <w:t>19</w:t>
            </w:r>
          </w:p>
        </w:tc>
        <w:tc>
          <w:tcPr>
            <w:tcW w:w="5582" w:type="dxa"/>
            <w:noWrap w:val="0"/>
            <w:vAlign w:val="center"/>
          </w:tcPr>
          <w:p>
            <w:pPr>
              <w:widowControl/>
              <w:ind w:firstLine="400" w:firstLineChars="200"/>
              <w:jc w:val="left"/>
              <w:rPr>
                <w:rFonts w:ascii="宋体"/>
                <w:kern w:val="0"/>
                <w:sz w:val="20"/>
                <w:szCs w:val="20"/>
              </w:rPr>
            </w:pPr>
            <w:r>
              <w:rPr>
                <w:rFonts w:hint="eastAsia" w:ascii="宋体" w:hAnsi="宋体" w:cs="宋体"/>
                <w:kern w:val="0"/>
                <w:sz w:val="20"/>
                <w:szCs w:val="20"/>
              </w:rPr>
              <w:t>（八）税收滞纳金、加收利息</w:t>
            </w:r>
          </w:p>
        </w:tc>
        <w:tc>
          <w:tcPr>
            <w:tcW w:w="1061" w:type="dxa"/>
            <w:noWrap w:val="0"/>
            <w:vAlign w:val="center"/>
          </w:tcPr>
          <w:p>
            <w:pPr>
              <w:widowControl/>
              <w:jc w:val="center"/>
              <w:rPr>
                <w:rFonts w:ascii="宋体"/>
                <w:kern w:val="0"/>
                <w:sz w:val="20"/>
                <w:szCs w:val="20"/>
              </w:rPr>
            </w:pPr>
          </w:p>
        </w:tc>
        <w:tc>
          <w:tcPr>
            <w:tcW w:w="1026" w:type="dxa"/>
            <w:noWrap w:val="0"/>
            <w:vAlign w:val="center"/>
          </w:tcPr>
          <w:p>
            <w:pPr>
              <w:widowControl/>
              <w:jc w:val="center"/>
              <w:rPr>
                <w:rFonts w:ascii="宋体"/>
                <w:kern w:val="0"/>
                <w:sz w:val="20"/>
                <w:szCs w:val="20"/>
              </w:rPr>
            </w:pPr>
            <w:r>
              <w:rPr>
                <w:rFonts w:ascii="宋体" w:hAnsi="宋体" w:cs="宋体"/>
                <w:kern w:val="0"/>
                <w:sz w:val="20"/>
                <w:szCs w:val="20"/>
              </w:rPr>
              <w:t>*</w:t>
            </w:r>
          </w:p>
        </w:tc>
        <w:tc>
          <w:tcPr>
            <w:tcW w:w="1053" w:type="dxa"/>
            <w:noWrap w:val="0"/>
            <w:vAlign w:val="center"/>
          </w:tcPr>
          <w:p>
            <w:pPr>
              <w:widowControl/>
              <w:jc w:val="center"/>
              <w:rPr>
                <w:rFonts w:ascii="宋体"/>
                <w:kern w:val="0"/>
                <w:sz w:val="20"/>
                <w:szCs w:val="20"/>
              </w:rPr>
            </w:pPr>
          </w:p>
        </w:tc>
        <w:tc>
          <w:tcPr>
            <w:tcW w:w="1016" w:type="dxa"/>
            <w:noWrap w:val="0"/>
            <w:vAlign w:val="center"/>
          </w:tcPr>
          <w:p>
            <w:pPr>
              <w:widowControl/>
              <w:jc w:val="center"/>
              <w:rPr>
                <w:rFonts w:ascii="宋体"/>
                <w:kern w:val="0"/>
                <w:sz w:val="20"/>
                <w:szCs w:val="20"/>
              </w:rPr>
            </w:pPr>
            <w:r>
              <w:rPr>
                <w:rFonts w:ascii="宋体" w:hAnsi="宋体" w:cs="宋体"/>
                <w:kern w:val="0"/>
                <w:sz w:val="20"/>
                <w:szCs w:val="20"/>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61" w:hRule="exact"/>
          <w:jc w:val="center"/>
        </w:trPr>
        <w:tc>
          <w:tcPr>
            <w:tcW w:w="640" w:type="dxa"/>
            <w:noWrap w:val="0"/>
            <w:vAlign w:val="center"/>
          </w:tcPr>
          <w:p>
            <w:pPr>
              <w:widowControl/>
              <w:jc w:val="center"/>
              <w:rPr>
                <w:rFonts w:ascii="宋体"/>
                <w:kern w:val="0"/>
                <w:sz w:val="20"/>
                <w:szCs w:val="20"/>
              </w:rPr>
            </w:pPr>
            <w:r>
              <w:rPr>
                <w:rFonts w:ascii="宋体" w:hAnsi="宋体" w:cs="宋体"/>
                <w:kern w:val="0"/>
                <w:sz w:val="20"/>
                <w:szCs w:val="20"/>
              </w:rPr>
              <w:t>20</w:t>
            </w:r>
          </w:p>
        </w:tc>
        <w:tc>
          <w:tcPr>
            <w:tcW w:w="5582" w:type="dxa"/>
            <w:noWrap w:val="0"/>
            <w:vAlign w:val="center"/>
          </w:tcPr>
          <w:p>
            <w:pPr>
              <w:widowControl/>
              <w:ind w:firstLine="400" w:firstLineChars="200"/>
              <w:jc w:val="left"/>
              <w:rPr>
                <w:rFonts w:ascii="宋体"/>
                <w:kern w:val="0"/>
                <w:sz w:val="20"/>
                <w:szCs w:val="20"/>
              </w:rPr>
            </w:pPr>
            <w:r>
              <w:rPr>
                <w:rFonts w:hint="eastAsia" w:ascii="宋体" w:hAnsi="宋体" w:cs="宋体"/>
                <w:kern w:val="0"/>
                <w:sz w:val="20"/>
                <w:szCs w:val="20"/>
              </w:rPr>
              <w:t>（九）赞助支出</w:t>
            </w:r>
          </w:p>
        </w:tc>
        <w:tc>
          <w:tcPr>
            <w:tcW w:w="1061" w:type="dxa"/>
            <w:noWrap w:val="0"/>
            <w:vAlign w:val="center"/>
          </w:tcPr>
          <w:p>
            <w:pPr>
              <w:widowControl/>
              <w:jc w:val="center"/>
              <w:rPr>
                <w:rFonts w:ascii="宋体"/>
                <w:kern w:val="0"/>
                <w:sz w:val="20"/>
                <w:szCs w:val="20"/>
              </w:rPr>
            </w:pPr>
          </w:p>
        </w:tc>
        <w:tc>
          <w:tcPr>
            <w:tcW w:w="1026" w:type="dxa"/>
            <w:noWrap w:val="0"/>
            <w:vAlign w:val="center"/>
          </w:tcPr>
          <w:p>
            <w:pPr>
              <w:widowControl/>
              <w:jc w:val="center"/>
              <w:rPr>
                <w:rFonts w:ascii="宋体"/>
                <w:kern w:val="0"/>
                <w:sz w:val="20"/>
                <w:szCs w:val="20"/>
              </w:rPr>
            </w:pPr>
            <w:r>
              <w:rPr>
                <w:rFonts w:ascii="宋体" w:hAnsi="宋体" w:cs="宋体"/>
                <w:kern w:val="0"/>
                <w:sz w:val="20"/>
                <w:szCs w:val="20"/>
              </w:rPr>
              <w:t>*</w:t>
            </w:r>
          </w:p>
        </w:tc>
        <w:tc>
          <w:tcPr>
            <w:tcW w:w="1053" w:type="dxa"/>
            <w:noWrap w:val="0"/>
            <w:vAlign w:val="center"/>
          </w:tcPr>
          <w:p>
            <w:pPr>
              <w:widowControl/>
              <w:jc w:val="center"/>
              <w:rPr>
                <w:rFonts w:ascii="宋体"/>
                <w:kern w:val="0"/>
                <w:sz w:val="20"/>
                <w:szCs w:val="20"/>
              </w:rPr>
            </w:pPr>
          </w:p>
        </w:tc>
        <w:tc>
          <w:tcPr>
            <w:tcW w:w="1016" w:type="dxa"/>
            <w:noWrap w:val="0"/>
            <w:vAlign w:val="center"/>
          </w:tcPr>
          <w:p>
            <w:pPr>
              <w:widowControl/>
              <w:jc w:val="center"/>
              <w:rPr>
                <w:rFonts w:ascii="宋体"/>
                <w:kern w:val="0"/>
                <w:sz w:val="20"/>
                <w:szCs w:val="20"/>
              </w:rPr>
            </w:pPr>
            <w:r>
              <w:rPr>
                <w:rFonts w:ascii="宋体" w:hAnsi="宋体" w:cs="宋体"/>
                <w:kern w:val="0"/>
                <w:sz w:val="20"/>
                <w:szCs w:val="20"/>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61" w:hRule="exact"/>
          <w:jc w:val="center"/>
        </w:trPr>
        <w:tc>
          <w:tcPr>
            <w:tcW w:w="640" w:type="dxa"/>
            <w:noWrap w:val="0"/>
            <w:vAlign w:val="center"/>
          </w:tcPr>
          <w:p>
            <w:pPr>
              <w:widowControl/>
              <w:jc w:val="center"/>
              <w:rPr>
                <w:rFonts w:ascii="宋体"/>
                <w:kern w:val="0"/>
                <w:sz w:val="20"/>
                <w:szCs w:val="20"/>
              </w:rPr>
            </w:pPr>
            <w:r>
              <w:rPr>
                <w:rFonts w:ascii="宋体" w:hAnsi="宋体" w:cs="宋体"/>
                <w:kern w:val="0"/>
                <w:sz w:val="20"/>
                <w:szCs w:val="20"/>
              </w:rPr>
              <w:t>21</w:t>
            </w:r>
          </w:p>
        </w:tc>
        <w:tc>
          <w:tcPr>
            <w:tcW w:w="5582" w:type="dxa"/>
            <w:noWrap w:val="0"/>
            <w:vAlign w:val="center"/>
          </w:tcPr>
          <w:p>
            <w:pPr>
              <w:widowControl/>
              <w:ind w:firstLine="400" w:firstLineChars="200"/>
              <w:jc w:val="left"/>
              <w:rPr>
                <w:rFonts w:ascii="宋体"/>
                <w:kern w:val="0"/>
                <w:sz w:val="20"/>
                <w:szCs w:val="20"/>
              </w:rPr>
            </w:pPr>
            <w:r>
              <w:rPr>
                <w:rFonts w:hint="eastAsia" w:ascii="宋体" w:hAnsi="宋体" w:cs="宋体"/>
                <w:kern w:val="0"/>
                <w:sz w:val="20"/>
                <w:szCs w:val="20"/>
              </w:rPr>
              <w:t>（十）与未实现融资收益相关在当期确认的财务费用</w:t>
            </w:r>
          </w:p>
        </w:tc>
        <w:tc>
          <w:tcPr>
            <w:tcW w:w="1061" w:type="dxa"/>
            <w:noWrap w:val="0"/>
            <w:vAlign w:val="center"/>
          </w:tcPr>
          <w:p>
            <w:pPr>
              <w:widowControl/>
              <w:jc w:val="center"/>
              <w:rPr>
                <w:rFonts w:ascii="宋体"/>
                <w:kern w:val="0"/>
                <w:sz w:val="20"/>
                <w:szCs w:val="20"/>
              </w:rPr>
            </w:pPr>
          </w:p>
        </w:tc>
        <w:tc>
          <w:tcPr>
            <w:tcW w:w="1026" w:type="dxa"/>
            <w:noWrap w:val="0"/>
            <w:vAlign w:val="center"/>
          </w:tcPr>
          <w:p>
            <w:pPr>
              <w:widowControl/>
              <w:jc w:val="center"/>
              <w:rPr>
                <w:rFonts w:ascii="宋体"/>
                <w:kern w:val="0"/>
                <w:sz w:val="20"/>
                <w:szCs w:val="20"/>
              </w:rPr>
            </w:pPr>
          </w:p>
        </w:tc>
        <w:tc>
          <w:tcPr>
            <w:tcW w:w="1053" w:type="dxa"/>
            <w:noWrap w:val="0"/>
            <w:vAlign w:val="center"/>
          </w:tcPr>
          <w:p>
            <w:pPr>
              <w:widowControl/>
              <w:jc w:val="center"/>
              <w:rPr>
                <w:rFonts w:ascii="宋体"/>
                <w:kern w:val="0"/>
                <w:sz w:val="20"/>
                <w:szCs w:val="20"/>
              </w:rPr>
            </w:pPr>
          </w:p>
        </w:tc>
        <w:tc>
          <w:tcPr>
            <w:tcW w:w="1016" w:type="dxa"/>
            <w:noWrap w:val="0"/>
            <w:vAlign w:val="center"/>
          </w:tcPr>
          <w:p>
            <w:pPr>
              <w:widowControl/>
              <w:jc w:val="center"/>
              <w:rPr>
                <w:rFonts w:ascii="宋体"/>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61" w:hRule="exact"/>
          <w:jc w:val="center"/>
        </w:trPr>
        <w:tc>
          <w:tcPr>
            <w:tcW w:w="640" w:type="dxa"/>
            <w:noWrap w:val="0"/>
            <w:vAlign w:val="center"/>
          </w:tcPr>
          <w:p>
            <w:pPr>
              <w:widowControl/>
              <w:jc w:val="center"/>
              <w:rPr>
                <w:rFonts w:ascii="宋体"/>
                <w:kern w:val="0"/>
                <w:sz w:val="20"/>
                <w:szCs w:val="20"/>
              </w:rPr>
            </w:pPr>
            <w:r>
              <w:rPr>
                <w:rFonts w:ascii="宋体" w:hAnsi="宋体" w:cs="宋体"/>
                <w:kern w:val="0"/>
                <w:sz w:val="20"/>
                <w:szCs w:val="20"/>
              </w:rPr>
              <w:t>22</w:t>
            </w:r>
          </w:p>
        </w:tc>
        <w:tc>
          <w:tcPr>
            <w:tcW w:w="5582" w:type="dxa"/>
            <w:noWrap w:val="0"/>
            <w:vAlign w:val="center"/>
          </w:tcPr>
          <w:p>
            <w:pPr>
              <w:widowControl/>
              <w:ind w:firstLine="400" w:firstLineChars="200"/>
              <w:jc w:val="left"/>
              <w:rPr>
                <w:rFonts w:ascii="宋体"/>
                <w:kern w:val="0"/>
                <w:sz w:val="20"/>
                <w:szCs w:val="20"/>
              </w:rPr>
            </w:pPr>
            <w:r>
              <w:rPr>
                <w:rFonts w:hint="eastAsia" w:ascii="宋体" w:hAnsi="宋体" w:cs="宋体"/>
                <w:kern w:val="0"/>
                <w:sz w:val="20"/>
                <w:szCs w:val="20"/>
              </w:rPr>
              <w:t>（十一）佣金和手续费支出</w:t>
            </w:r>
          </w:p>
        </w:tc>
        <w:tc>
          <w:tcPr>
            <w:tcW w:w="1061" w:type="dxa"/>
            <w:noWrap w:val="0"/>
            <w:vAlign w:val="center"/>
          </w:tcPr>
          <w:p>
            <w:pPr>
              <w:widowControl/>
              <w:jc w:val="center"/>
              <w:rPr>
                <w:rFonts w:ascii="宋体"/>
                <w:kern w:val="0"/>
                <w:sz w:val="20"/>
                <w:szCs w:val="20"/>
              </w:rPr>
            </w:pPr>
          </w:p>
        </w:tc>
        <w:tc>
          <w:tcPr>
            <w:tcW w:w="1026" w:type="dxa"/>
            <w:noWrap w:val="0"/>
            <w:vAlign w:val="center"/>
          </w:tcPr>
          <w:p>
            <w:pPr>
              <w:widowControl/>
              <w:jc w:val="center"/>
              <w:rPr>
                <w:rFonts w:ascii="宋体"/>
                <w:kern w:val="0"/>
                <w:sz w:val="20"/>
                <w:szCs w:val="20"/>
              </w:rPr>
            </w:pPr>
          </w:p>
        </w:tc>
        <w:tc>
          <w:tcPr>
            <w:tcW w:w="1053" w:type="dxa"/>
            <w:noWrap w:val="0"/>
            <w:vAlign w:val="center"/>
          </w:tcPr>
          <w:p>
            <w:pPr>
              <w:widowControl/>
              <w:jc w:val="center"/>
              <w:rPr>
                <w:rFonts w:ascii="宋体"/>
                <w:kern w:val="0"/>
                <w:sz w:val="20"/>
                <w:szCs w:val="20"/>
              </w:rPr>
            </w:pPr>
          </w:p>
        </w:tc>
        <w:tc>
          <w:tcPr>
            <w:tcW w:w="1016" w:type="dxa"/>
            <w:noWrap w:val="0"/>
            <w:vAlign w:val="center"/>
          </w:tcPr>
          <w:p>
            <w:pPr>
              <w:widowControl/>
              <w:jc w:val="center"/>
              <w:rPr>
                <w:rFonts w:ascii="宋体"/>
                <w:kern w:val="0"/>
                <w:sz w:val="20"/>
                <w:szCs w:val="20"/>
              </w:rPr>
            </w:pPr>
            <w:r>
              <w:rPr>
                <w:rFonts w:ascii="宋体" w:hAnsi="宋体" w:cs="宋体"/>
                <w:kern w:val="0"/>
                <w:sz w:val="20"/>
                <w:szCs w:val="20"/>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61" w:hRule="exact"/>
          <w:jc w:val="center"/>
        </w:trPr>
        <w:tc>
          <w:tcPr>
            <w:tcW w:w="640" w:type="dxa"/>
            <w:noWrap w:val="0"/>
            <w:vAlign w:val="center"/>
          </w:tcPr>
          <w:p>
            <w:pPr>
              <w:widowControl/>
              <w:jc w:val="center"/>
              <w:rPr>
                <w:rFonts w:ascii="宋体"/>
                <w:kern w:val="0"/>
                <w:sz w:val="20"/>
                <w:szCs w:val="20"/>
              </w:rPr>
            </w:pPr>
            <w:r>
              <w:rPr>
                <w:rFonts w:ascii="宋体" w:hAnsi="宋体" w:cs="宋体"/>
                <w:kern w:val="0"/>
                <w:sz w:val="20"/>
                <w:szCs w:val="20"/>
              </w:rPr>
              <w:t>23</w:t>
            </w:r>
          </w:p>
        </w:tc>
        <w:tc>
          <w:tcPr>
            <w:tcW w:w="5582" w:type="dxa"/>
            <w:noWrap w:val="0"/>
            <w:vAlign w:val="center"/>
          </w:tcPr>
          <w:p>
            <w:pPr>
              <w:widowControl/>
              <w:ind w:firstLine="400" w:firstLineChars="200"/>
              <w:jc w:val="left"/>
              <w:rPr>
                <w:rFonts w:ascii="宋体"/>
                <w:kern w:val="0"/>
                <w:sz w:val="20"/>
                <w:szCs w:val="20"/>
              </w:rPr>
            </w:pPr>
            <w:r>
              <w:rPr>
                <w:rFonts w:hint="eastAsia" w:ascii="宋体" w:hAnsi="宋体" w:cs="宋体"/>
                <w:kern w:val="0"/>
                <w:sz w:val="20"/>
                <w:szCs w:val="20"/>
              </w:rPr>
              <w:t>（十二）不征税收入用于支出所形成的费用</w:t>
            </w:r>
          </w:p>
        </w:tc>
        <w:tc>
          <w:tcPr>
            <w:tcW w:w="1061" w:type="dxa"/>
            <w:noWrap w:val="0"/>
            <w:vAlign w:val="center"/>
          </w:tcPr>
          <w:p>
            <w:pPr>
              <w:widowControl/>
              <w:jc w:val="center"/>
              <w:rPr>
                <w:rFonts w:ascii="宋体"/>
                <w:kern w:val="0"/>
                <w:sz w:val="20"/>
                <w:szCs w:val="20"/>
              </w:rPr>
            </w:pPr>
            <w:r>
              <w:rPr>
                <w:rFonts w:ascii="宋体" w:hAnsi="宋体" w:cs="宋体"/>
                <w:kern w:val="0"/>
                <w:sz w:val="20"/>
                <w:szCs w:val="20"/>
              </w:rPr>
              <w:t>*</w:t>
            </w:r>
          </w:p>
        </w:tc>
        <w:tc>
          <w:tcPr>
            <w:tcW w:w="1026" w:type="dxa"/>
            <w:noWrap w:val="0"/>
            <w:vAlign w:val="center"/>
          </w:tcPr>
          <w:p>
            <w:pPr>
              <w:widowControl/>
              <w:jc w:val="center"/>
              <w:rPr>
                <w:rFonts w:ascii="宋体"/>
                <w:kern w:val="0"/>
                <w:sz w:val="20"/>
                <w:szCs w:val="20"/>
              </w:rPr>
            </w:pPr>
            <w:r>
              <w:rPr>
                <w:rFonts w:ascii="宋体" w:hAnsi="宋体" w:cs="宋体"/>
                <w:kern w:val="0"/>
                <w:sz w:val="20"/>
                <w:szCs w:val="20"/>
              </w:rPr>
              <w:t>*</w:t>
            </w:r>
          </w:p>
        </w:tc>
        <w:tc>
          <w:tcPr>
            <w:tcW w:w="1053" w:type="dxa"/>
            <w:noWrap w:val="0"/>
            <w:vAlign w:val="center"/>
          </w:tcPr>
          <w:p>
            <w:pPr>
              <w:widowControl/>
              <w:jc w:val="center"/>
              <w:rPr>
                <w:rFonts w:ascii="宋体"/>
                <w:kern w:val="0"/>
                <w:sz w:val="20"/>
                <w:szCs w:val="20"/>
              </w:rPr>
            </w:pPr>
          </w:p>
        </w:tc>
        <w:tc>
          <w:tcPr>
            <w:tcW w:w="1016" w:type="dxa"/>
            <w:noWrap w:val="0"/>
            <w:vAlign w:val="center"/>
          </w:tcPr>
          <w:p>
            <w:pPr>
              <w:widowControl/>
              <w:jc w:val="center"/>
              <w:rPr>
                <w:rFonts w:ascii="宋体"/>
                <w:kern w:val="0"/>
                <w:sz w:val="20"/>
                <w:szCs w:val="20"/>
              </w:rPr>
            </w:pPr>
            <w:r>
              <w:rPr>
                <w:rFonts w:ascii="宋体" w:hAnsi="宋体" w:cs="宋体"/>
                <w:kern w:val="0"/>
                <w:sz w:val="20"/>
                <w:szCs w:val="20"/>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61" w:hRule="exact"/>
          <w:jc w:val="center"/>
        </w:trPr>
        <w:tc>
          <w:tcPr>
            <w:tcW w:w="640" w:type="dxa"/>
            <w:noWrap w:val="0"/>
            <w:vAlign w:val="center"/>
          </w:tcPr>
          <w:p>
            <w:pPr>
              <w:widowControl/>
              <w:jc w:val="center"/>
              <w:rPr>
                <w:rFonts w:ascii="宋体"/>
                <w:kern w:val="0"/>
                <w:sz w:val="20"/>
                <w:szCs w:val="20"/>
              </w:rPr>
            </w:pPr>
            <w:r>
              <w:rPr>
                <w:rFonts w:ascii="宋体" w:hAnsi="宋体" w:cs="宋体"/>
                <w:kern w:val="0"/>
                <w:sz w:val="20"/>
                <w:szCs w:val="20"/>
              </w:rPr>
              <w:t>24</w:t>
            </w:r>
          </w:p>
        </w:tc>
        <w:tc>
          <w:tcPr>
            <w:tcW w:w="5582" w:type="dxa"/>
            <w:noWrap w:val="0"/>
            <w:vAlign w:val="center"/>
          </w:tcPr>
          <w:p>
            <w:pPr>
              <w:widowControl/>
              <w:ind w:firstLine="400" w:firstLineChars="200"/>
              <w:jc w:val="left"/>
              <w:rPr>
                <w:rFonts w:ascii="宋体"/>
                <w:kern w:val="0"/>
                <w:sz w:val="20"/>
                <w:szCs w:val="20"/>
              </w:rPr>
            </w:pPr>
            <w:r>
              <w:rPr>
                <w:rFonts w:hint="eastAsia" w:ascii="宋体" w:hAnsi="宋体" w:cs="宋体"/>
                <w:kern w:val="0"/>
                <w:sz w:val="20"/>
                <w:szCs w:val="20"/>
              </w:rPr>
              <w:t>（十三）跨期扣除项目</w:t>
            </w:r>
          </w:p>
        </w:tc>
        <w:tc>
          <w:tcPr>
            <w:tcW w:w="1061" w:type="dxa"/>
            <w:noWrap w:val="0"/>
            <w:vAlign w:val="center"/>
          </w:tcPr>
          <w:p>
            <w:pPr>
              <w:widowControl/>
              <w:jc w:val="center"/>
              <w:rPr>
                <w:rFonts w:ascii="宋体"/>
                <w:kern w:val="0"/>
                <w:sz w:val="20"/>
                <w:szCs w:val="20"/>
              </w:rPr>
            </w:pPr>
          </w:p>
        </w:tc>
        <w:tc>
          <w:tcPr>
            <w:tcW w:w="1026" w:type="dxa"/>
            <w:noWrap w:val="0"/>
            <w:vAlign w:val="center"/>
          </w:tcPr>
          <w:p>
            <w:pPr>
              <w:widowControl/>
              <w:jc w:val="center"/>
              <w:rPr>
                <w:rFonts w:ascii="宋体"/>
                <w:kern w:val="0"/>
                <w:sz w:val="20"/>
                <w:szCs w:val="20"/>
              </w:rPr>
            </w:pPr>
          </w:p>
        </w:tc>
        <w:tc>
          <w:tcPr>
            <w:tcW w:w="1053" w:type="dxa"/>
            <w:noWrap w:val="0"/>
            <w:vAlign w:val="center"/>
          </w:tcPr>
          <w:p>
            <w:pPr>
              <w:widowControl/>
              <w:jc w:val="center"/>
              <w:rPr>
                <w:rFonts w:ascii="宋体"/>
                <w:kern w:val="0"/>
                <w:sz w:val="20"/>
                <w:szCs w:val="20"/>
              </w:rPr>
            </w:pPr>
          </w:p>
        </w:tc>
        <w:tc>
          <w:tcPr>
            <w:tcW w:w="1016" w:type="dxa"/>
            <w:noWrap w:val="0"/>
            <w:vAlign w:val="center"/>
          </w:tcPr>
          <w:p>
            <w:pPr>
              <w:widowControl/>
              <w:jc w:val="center"/>
              <w:rPr>
                <w:rFonts w:ascii="宋体"/>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61" w:hRule="exact"/>
          <w:jc w:val="center"/>
        </w:trPr>
        <w:tc>
          <w:tcPr>
            <w:tcW w:w="640" w:type="dxa"/>
            <w:noWrap w:val="0"/>
            <w:vAlign w:val="center"/>
          </w:tcPr>
          <w:p>
            <w:pPr>
              <w:widowControl/>
              <w:jc w:val="center"/>
              <w:rPr>
                <w:rFonts w:ascii="宋体"/>
                <w:kern w:val="0"/>
                <w:sz w:val="20"/>
                <w:szCs w:val="20"/>
              </w:rPr>
            </w:pPr>
            <w:r>
              <w:rPr>
                <w:rFonts w:ascii="宋体" w:hAnsi="宋体" w:cs="宋体"/>
                <w:kern w:val="0"/>
                <w:sz w:val="20"/>
                <w:szCs w:val="20"/>
              </w:rPr>
              <w:t>25</w:t>
            </w:r>
          </w:p>
        </w:tc>
        <w:tc>
          <w:tcPr>
            <w:tcW w:w="5582" w:type="dxa"/>
            <w:noWrap w:val="0"/>
            <w:vAlign w:val="center"/>
          </w:tcPr>
          <w:p>
            <w:pPr>
              <w:widowControl/>
              <w:ind w:firstLine="400" w:firstLineChars="200"/>
              <w:jc w:val="left"/>
              <w:rPr>
                <w:rFonts w:ascii="宋体"/>
                <w:kern w:val="0"/>
                <w:sz w:val="20"/>
                <w:szCs w:val="20"/>
              </w:rPr>
            </w:pPr>
            <w:r>
              <w:rPr>
                <w:rFonts w:hint="eastAsia" w:ascii="宋体" w:hAnsi="宋体" w:cs="宋体"/>
                <w:kern w:val="0"/>
                <w:sz w:val="20"/>
                <w:szCs w:val="20"/>
              </w:rPr>
              <w:t>（十四）与取得收入无关的支出</w:t>
            </w:r>
          </w:p>
        </w:tc>
        <w:tc>
          <w:tcPr>
            <w:tcW w:w="1061" w:type="dxa"/>
            <w:noWrap w:val="0"/>
            <w:vAlign w:val="center"/>
          </w:tcPr>
          <w:p>
            <w:pPr>
              <w:widowControl/>
              <w:jc w:val="center"/>
              <w:rPr>
                <w:rFonts w:ascii="宋体"/>
                <w:kern w:val="0"/>
                <w:sz w:val="20"/>
                <w:szCs w:val="20"/>
              </w:rPr>
            </w:pPr>
          </w:p>
        </w:tc>
        <w:tc>
          <w:tcPr>
            <w:tcW w:w="1026" w:type="dxa"/>
            <w:noWrap w:val="0"/>
            <w:vAlign w:val="center"/>
          </w:tcPr>
          <w:p>
            <w:pPr>
              <w:widowControl/>
              <w:jc w:val="center"/>
              <w:rPr>
                <w:rFonts w:ascii="宋体"/>
                <w:kern w:val="0"/>
                <w:sz w:val="20"/>
                <w:szCs w:val="20"/>
              </w:rPr>
            </w:pPr>
            <w:r>
              <w:rPr>
                <w:rFonts w:ascii="宋体" w:hAnsi="宋体" w:cs="宋体"/>
                <w:kern w:val="0"/>
                <w:sz w:val="20"/>
                <w:szCs w:val="20"/>
              </w:rPr>
              <w:t>*</w:t>
            </w:r>
          </w:p>
        </w:tc>
        <w:tc>
          <w:tcPr>
            <w:tcW w:w="1053" w:type="dxa"/>
            <w:noWrap w:val="0"/>
            <w:vAlign w:val="center"/>
          </w:tcPr>
          <w:p>
            <w:pPr>
              <w:widowControl/>
              <w:jc w:val="center"/>
              <w:rPr>
                <w:rFonts w:ascii="宋体"/>
                <w:kern w:val="0"/>
                <w:sz w:val="20"/>
                <w:szCs w:val="20"/>
              </w:rPr>
            </w:pPr>
          </w:p>
        </w:tc>
        <w:tc>
          <w:tcPr>
            <w:tcW w:w="1016" w:type="dxa"/>
            <w:noWrap w:val="0"/>
            <w:vAlign w:val="center"/>
          </w:tcPr>
          <w:p>
            <w:pPr>
              <w:widowControl/>
              <w:jc w:val="center"/>
              <w:rPr>
                <w:rFonts w:ascii="宋体"/>
                <w:kern w:val="0"/>
                <w:sz w:val="20"/>
                <w:szCs w:val="20"/>
              </w:rPr>
            </w:pPr>
            <w:r>
              <w:rPr>
                <w:rFonts w:ascii="宋体" w:hAnsi="宋体" w:cs="宋体"/>
                <w:kern w:val="0"/>
                <w:sz w:val="20"/>
                <w:szCs w:val="20"/>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61" w:hRule="exact"/>
          <w:jc w:val="center"/>
        </w:trPr>
        <w:tc>
          <w:tcPr>
            <w:tcW w:w="640" w:type="dxa"/>
            <w:noWrap w:val="0"/>
            <w:vAlign w:val="center"/>
          </w:tcPr>
          <w:p>
            <w:pPr>
              <w:widowControl/>
              <w:jc w:val="center"/>
              <w:rPr>
                <w:rFonts w:ascii="宋体"/>
                <w:kern w:val="0"/>
                <w:sz w:val="20"/>
                <w:szCs w:val="20"/>
              </w:rPr>
            </w:pPr>
            <w:r>
              <w:rPr>
                <w:rFonts w:ascii="宋体" w:hAnsi="宋体" w:cs="宋体"/>
                <w:kern w:val="0"/>
                <w:sz w:val="20"/>
                <w:szCs w:val="20"/>
              </w:rPr>
              <w:t>26</w:t>
            </w:r>
          </w:p>
        </w:tc>
        <w:tc>
          <w:tcPr>
            <w:tcW w:w="5582" w:type="dxa"/>
            <w:noWrap w:val="0"/>
            <w:vAlign w:val="center"/>
          </w:tcPr>
          <w:p>
            <w:pPr>
              <w:widowControl/>
              <w:ind w:firstLine="400" w:firstLineChars="200"/>
              <w:jc w:val="left"/>
              <w:rPr>
                <w:rFonts w:ascii="宋体"/>
                <w:kern w:val="0"/>
                <w:sz w:val="20"/>
                <w:szCs w:val="20"/>
              </w:rPr>
            </w:pPr>
            <w:r>
              <w:rPr>
                <w:rFonts w:hint="eastAsia" w:ascii="宋体" w:hAnsi="宋体" w:cs="宋体"/>
                <w:kern w:val="0"/>
                <w:sz w:val="20"/>
                <w:szCs w:val="20"/>
              </w:rPr>
              <w:t>（十五）境外所得分摊的共同支出</w:t>
            </w:r>
          </w:p>
        </w:tc>
        <w:tc>
          <w:tcPr>
            <w:tcW w:w="1061" w:type="dxa"/>
            <w:noWrap w:val="0"/>
            <w:vAlign w:val="center"/>
          </w:tcPr>
          <w:p>
            <w:pPr>
              <w:widowControl/>
              <w:jc w:val="center"/>
              <w:rPr>
                <w:rFonts w:ascii="宋体"/>
                <w:kern w:val="0"/>
                <w:sz w:val="20"/>
                <w:szCs w:val="20"/>
              </w:rPr>
            </w:pPr>
            <w:r>
              <w:rPr>
                <w:rFonts w:ascii="宋体" w:hAnsi="宋体" w:cs="宋体"/>
                <w:kern w:val="0"/>
                <w:sz w:val="20"/>
                <w:szCs w:val="20"/>
              </w:rPr>
              <w:t>*</w:t>
            </w:r>
          </w:p>
        </w:tc>
        <w:tc>
          <w:tcPr>
            <w:tcW w:w="1026" w:type="dxa"/>
            <w:noWrap w:val="0"/>
            <w:vAlign w:val="center"/>
          </w:tcPr>
          <w:p>
            <w:pPr>
              <w:widowControl/>
              <w:jc w:val="center"/>
              <w:rPr>
                <w:rFonts w:ascii="宋体"/>
                <w:kern w:val="0"/>
                <w:sz w:val="20"/>
                <w:szCs w:val="20"/>
              </w:rPr>
            </w:pPr>
            <w:r>
              <w:rPr>
                <w:rFonts w:ascii="宋体" w:hAnsi="宋体" w:cs="宋体"/>
                <w:kern w:val="0"/>
                <w:sz w:val="20"/>
                <w:szCs w:val="20"/>
              </w:rPr>
              <w:t>*</w:t>
            </w:r>
          </w:p>
        </w:tc>
        <w:tc>
          <w:tcPr>
            <w:tcW w:w="1053" w:type="dxa"/>
            <w:noWrap w:val="0"/>
            <w:vAlign w:val="center"/>
          </w:tcPr>
          <w:p>
            <w:pPr>
              <w:widowControl/>
              <w:jc w:val="center"/>
              <w:rPr>
                <w:rFonts w:ascii="宋体"/>
                <w:kern w:val="0"/>
                <w:sz w:val="20"/>
                <w:szCs w:val="20"/>
              </w:rPr>
            </w:pPr>
          </w:p>
        </w:tc>
        <w:tc>
          <w:tcPr>
            <w:tcW w:w="1016" w:type="dxa"/>
            <w:noWrap w:val="0"/>
            <w:vAlign w:val="center"/>
          </w:tcPr>
          <w:p>
            <w:pPr>
              <w:widowControl/>
              <w:jc w:val="center"/>
              <w:rPr>
                <w:rFonts w:ascii="宋体"/>
                <w:kern w:val="0"/>
                <w:sz w:val="20"/>
                <w:szCs w:val="20"/>
              </w:rPr>
            </w:pPr>
            <w:r>
              <w:rPr>
                <w:rFonts w:ascii="宋体" w:hAnsi="宋体" w:cs="宋体"/>
                <w:kern w:val="0"/>
                <w:sz w:val="20"/>
                <w:szCs w:val="20"/>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61" w:hRule="exact"/>
          <w:jc w:val="center"/>
        </w:trPr>
        <w:tc>
          <w:tcPr>
            <w:tcW w:w="640" w:type="dxa"/>
            <w:noWrap w:val="0"/>
            <w:vAlign w:val="center"/>
          </w:tcPr>
          <w:p>
            <w:pPr>
              <w:widowControl/>
              <w:jc w:val="center"/>
              <w:rPr>
                <w:rFonts w:ascii="宋体"/>
                <w:kern w:val="0"/>
                <w:sz w:val="20"/>
                <w:szCs w:val="20"/>
              </w:rPr>
            </w:pPr>
            <w:r>
              <w:rPr>
                <w:rFonts w:ascii="宋体" w:hAnsi="宋体" w:cs="宋体"/>
                <w:kern w:val="0"/>
                <w:sz w:val="20"/>
                <w:szCs w:val="20"/>
              </w:rPr>
              <w:t>2</w:t>
            </w:r>
            <w:r>
              <w:rPr>
                <w:rFonts w:hint="eastAsia" w:ascii="宋体" w:hAnsi="宋体" w:cs="宋体"/>
                <w:kern w:val="0"/>
                <w:sz w:val="20"/>
                <w:szCs w:val="20"/>
              </w:rPr>
              <w:t>7</w:t>
            </w:r>
          </w:p>
        </w:tc>
        <w:tc>
          <w:tcPr>
            <w:tcW w:w="5582" w:type="dxa"/>
            <w:noWrap w:val="0"/>
            <w:vAlign w:val="center"/>
          </w:tcPr>
          <w:p>
            <w:pPr>
              <w:widowControl/>
              <w:ind w:firstLine="400" w:firstLineChars="200"/>
              <w:jc w:val="left"/>
              <w:rPr>
                <w:rFonts w:ascii="宋体"/>
                <w:kern w:val="0"/>
                <w:sz w:val="20"/>
                <w:szCs w:val="20"/>
              </w:rPr>
            </w:pPr>
            <w:r>
              <w:rPr>
                <w:rFonts w:hint="eastAsia" w:ascii="宋体" w:hAnsi="宋体" w:cs="宋体"/>
                <w:kern w:val="0"/>
                <w:sz w:val="20"/>
                <w:szCs w:val="20"/>
              </w:rPr>
              <w:t>（十六）分摊境外总机构费用</w:t>
            </w:r>
          </w:p>
        </w:tc>
        <w:tc>
          <w:tcPr>
            <w:tcW w:w="1061" w:type="dxa"/>
            <w:noWrap w:val="0"/>
            <w:vAlign w:val="center"/>
          </w:tcPr>
          <w:p>
            <w:pPr>
              <w:widowControl/>
              <w:jc w:val="center"/>
              <w:rPr>
                <w:rFonts w:ascii="宋体"/>
                <w:kern w:val="0"/>
                <w:sz w:val="20"/>
                <w:szCs w:val="20"/>
              </w:rPr>
            </w:pPr>
          </w:p>
        </w:tc>
        <w:tc>
          <w:tcPr>
            <w:tcW w:w="1026" w:type="dxa"/>
            <w:noWrap w:val="0"/>
            <w:vAlign w:val="center"/>
          </w:tcPr>
          <w:p>
            <w:pPr>
              <w:widowControl/>
              <w:jc w:val="center"/>
              <w:rPr>
                <w:rFonts w:ascii="宋体"/>
                <w:kern w:val="0"/>
                <w:sz w:val="20"/>
                <w:szCs w:val="20"/>
              </w:rPr>
            </w:pPr>
          </w:p>
        </w:tc>
        <w:tc>
          <w:tcPr>
            <w:tcW w:w="1053" w:type="dxa"/>
            <w:noWrap w:val="0"/>
            <w:vAlign w:val="center"/>
          </w:tcPr>
          <w:p>
            <w:pPr>
              <w:widowControl/>
              <w:jc w:val="center"/>
              <w:rPr>
                <w:rFonts w:ascii="宋体"/>
                <w:kern w:val="0"/>
                <w:sz w:val="20"/>
                <w:szCs w:val="20"/>
              </w:rPr>
            </w:pPr>
          </w:p>
        </w:tc>
        <w:tc>
          <w:tcPr>
            <w:tcW w:w="1016" w:type="dxa"/>
            <w:noWrap w:val="0"/>
            <w:vAlign w:val="center"/>
          </w:tcPr>
          <w:p>
            <w:pPr>
              <w:widowControl/>
              <w:jc w:val="center"/>
              <w:rPr>
                <w:rFonts w:ascii="宋体"/>
                <w:kern w:val="0"/>
                <w:sz w:val="20"/>
                <w:szCs w:val="20"/>
              </w:rPr>
            </w:pPr>
            <w:r>
              <w:rPr>
                <w:rFonts w:ascii="宋体" w:hAnsi="宋体" w:cs="宋体"/>
                <w:kern w:val="0"/>
                <w:sz w:val="20"/>
                <w:szCs w:val="20"/>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61" w:hRule="exact"/>
          <w:jc w:val="center"/>
        </w:trPr>
        <w:tc>
          <w:tcPr>
            <w:tcW w:w="640" w:type="dxa"/>
            <w:noWrap w:val="0"/>
            <w:vAlign w:val="center"/>
          </w:tcPr>
          <w:p>
            <w:pPr>
              <w:widowControl/>
              <w:jc w:val="center"/>
              <w:rPr>
                <w:rFonts w:ascii="宋体" w:hAnsi="宋体" w:cs="宋体"/>
                <w:kern w:val="0"/>
                <w:sz w:val="20"/>
                <w:szCs w:val="20"/>
              </w:rPr>
            </w:pPr>
            <w:r>
              <w:rPr>
                <w:rFonts w:ascii="宋体" w:hAnsi="宋体" w:cs="宋体"/>
                <w:kern w:val="0"/>
                <w:sz w:val="20"/>
                <w:szCs w:val="20"/>
              </w:rPr>
              <w:t>2</w:t>
            </w:r>
            <w:r>
              <w:rPr>
                <w:rFonts w:hint="eastAsia" w:ascii="宋体" w:hAnsi="宋体" w:cs="宋体"/>
                <w:kern w:val="0"/>
                <w:sz w:val="20"/>
                <w:szCs w:val="20"/>
              </w:rPr>
              <w:t>8</w:t>
            </w:r>
          </w:p>
        </w:tc>
        <w:tc>
          <w:tcPr>
            <w:tcW w:w="5582" w:type="dxa"/>
            <w:noWrap w:val="0"/>
            <w:vAlign w:val="center"/>
          </w:tcPr>
          <w:p>
            <w:pPr>
              <w:widowControl/>
              <w:ind w:firstLine="400" w:firstLineChars="200"/>
              <w:jc w:val="left"/>
              <w:rPr>
                <w:rFonts w:ascii="宋体" w:hAnsi="宋体" w:cs="宋体"/>
                <w:kern w:val="0"/>
                <w:sz w:val="20"/>
                <w:szCs w:val="20"/>
              </w:rPr>
            </w:pPr>
            <w:r>
              <w:rPr>
                <w:rFonts w:hint="eastAsia" w:ascii="宋体" w:hAnsi="宋体" w:cs="宋体"/>
                <w:kern w:val="0"/>
                <w:sz w:val="20"/>
                <w:szCs w:val="20"/>
              </w:rPr>
              <w:t>（十七）向其他机构、场所分摊费用</w:t>
            </w:r>
          </w:p>
        </w:tc>
        <w:tc>
          <w:tcPr>
            <w:tcW w:w="1061" w:type="dxa"/>
            <w:noWrap w:val="0"/>
            <w:vAlign w:val="center"/>
          </w:tcPr>
          <w:p>
            <w:pPr>
              <w:widowControl/>
              <w:jc w:val="center"/>
              <w:rPr>
                <w:rFonts w:ascii="宋体"/>
                <w:kern w:val="0"/>
                <w:sz w:val="20"/>
                <w:szCs w:val="20"/>
              </w:rPr>
            </w:pPr>
          </w:p>
        </w:tc>
        <w:tc>
          <w:tcPr>
            <w:tcW w:w="1026" w:type="dxa"/>
            <w:noWrap w:val="0"/>
            <w:vAlign w:val="center"/>
          </w:tcPr>
          <w:p>
            <w:pPr>
              <w:widowControl/>
              <w:jc w:val="center"/>
              <w:rPr>
                <w:rFonts w:ascii="宋体"/>
                <w:kern w:val="0"/>
                <w:sz w:val="20"/>
                <w:szCs w:val="20"/>
              </w:rPr>
            </w:pPr>
          </w:p>
        </w:tc>
        <w:tc>
          <w:tcPr>
            <w:tcW w:w="1053" w:type="dxa"/>
            <w:noWrap w:val="0"/>
            <w:vAlign w:val="center"/>
          </w:tcPr>
          <w:p>
            <w:pPr>
              <w:widowControl/>
              <w:jc w:val="center"/>
              <w:rPr>
                <w:rFonts w:ascii="宋体"/>
                <w:kern w:val="0"/>
                <w:sz w:val="20"/>
                <w:szCs w:val="20"/>
              </w:rPr>
            </w:pPr>
          </w:p>
        </w:tc>
        <w:tc>
          <w:tcPr>
            <w:tcW w:w="1016" w:type="dxa"/>
            <w:noWrap w:val="0"/>
            <w:vAlign w:val="center"/>
          </w:tcPr>
          <w:p>
            <w:pPr>
              <w:widowControl/>
              <w:jc w:val="center"/>
              <w:rPr>
                <w:rFonts w:ascii="宋体"/>
                <w:kern w:val="0"/>
                <w:sz w:val="20"/>
                <w:szCs w:val="20"/>
              </w:rPr>
            </w:pPr>
            <w:r>
              <w:rPr>
                <w:rFonts w:ascii="宋体" w:hAnsi="宋体" w:cs="宋体"/>
                <w:kern w:val="0"/>
                <w:sz w:val="20"/>
                <w:szCs w:val="20"/>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61" w:hRule="exact"/>
          <w:jc w:val="center"/>
        </w:trPr>
        <w:tc>
          <w:tcPr>
            <w:tcW w:w="640" w:type="dxa"/>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29</w:t>
            </w:r>
          </w:p>
        </w:tc>
        <w:tc>
          <w:tcPr>
            <w:tcW w:w="5582" w:type="dxa"/>
            <w:noWrap w:val="0"/>
            <w:vAlign w:val="center"/>
          </w:tcPr>
          <w:p>
            <w:pPr>
              <w:widowControl/>
              <w:ind w:firstLine="400" w:firstLineChars="200"/>
              <w:jc w:val="left"/>
              <w:rPr>
                <w:rFonts w:ascii="宋体" w:hAnsi="宋体" w:cs="宋体"/>
                <w:kern w:val="0"/>
                <w:sz w:val="20"/>
                <w:szCs w:val="20"/>
              </w:rPr>
            </w:pPr>
            <w:r>
              <w:rPr>
                <w:rFonts w:hint="eastAsia" w:ascii="宋体" w:hAnsi="宋体" w:cs="宋体"/>
                <w:kern w:val="0"/>
                <w:sz w:val="20"/>
                <w:szCs w:val="20"/>
              </w:rPr>
              <w:t>（十八）分摊资源勘探开发费用</w:t>
            </w:r>
          </w:p>
        </w:tc>
        <w:tc>
          <w:tcPr>
            <w:tcW w:w="1061" w:type="dxa"/>
            <w:noWrap w:val="0"/>
            <w:vAlign w:val="center"/>
          </w:tcPr>
          <w:p>
            <w:pPr>
              <w:widowControl/>
              <w:jc w:val="center"/>
              <w:rPr>
                <w:rFonts w:ascii="宋体"/>
                <w:kern w:val="0"/>
                <w:sz w:val="20"/>
                <w:szCs w:val="20"/>
              </w:rPr>
            </w:pPr>
            <w:r>
              <w:rPr>
                <w:rFonts w:ascii="宋体" w:hAnsi="宋体" w:cs="宋体"/>
                <w:kern w:val="0"/>
                <w:sz w:val="20"/>
                <w:szCs w:val="20"/>
              </w:rPr>
              <w:t>*</w:t>
            </w:r>
          </w:p>
        </w:tc>
        <w:tc>
          <w:tcPr>
            <w:tcW w:w="1026" w:type="dxa"/>
            <w:noWrap w:val="0"/>
            <w:vAlign w:val="center"/>
          </w:tcPr>
          <w:p>
            <w:pPr>
              <w:widowControl/>
              <w:jc w:val="center"/>
              <w:rPr>
                <w:rFonts w:ascii="宋体"/>
                <w:kern w:val="0"/>
                <w:sz w:val="20"/>
                <w:szCs w:val="20"/>
              </w:rPr>
            </w:pPr>
          </w:p>
        </w:tc>
        <w:tc>
          <w:tcPr>
            <w:tcW w:w="1053" w:type="dxa"/>
            <w:noWrap w:val="0"/>
            <w:vAlign w:val="center"/>
          </w:tcPr>
          <w:p>
            <w:pPr>
              <w:widowControl/>
              <w:jc w:val="center"/>
              <w:rPr>
                <w:rFonts w:ascii="宋体"/>
                <w:kern w:val="0"/>
                <w:sz w:val="20"/>
                <w:szCs w:val="20"/>
              </w:rPr>
            </w:pPr>
            <w:r>
              <w:rPr>
                <w:rFonts w:ascii="宋体" w:hAnsi="宋体" w:cs="宋体"/>
                <w:kern w:val="0"/>
                <w:sz w:val="20"/>
                <w:szCs w:val="20"/>
              </w:rPr>
              <w:t>*</w:t>
            </w:r>
          </w:p>
        </w:tc>
        <w:tc>
          <w:tcPr>
            <w:tcW w:w="1016" w:type="dxa"/>
            <w:noWrap w:val="0"/>
            <w:vAlign w:val="center"/>
          </w:tcPr>
          <w:p>
            <w:pPr>
              <w:widowControl/>
              <w:jc w:val="center"/>
              <w:rPr>
                <w:rFonts w:ascii="宋体"/>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61" w:hRule="exact"/>
          <w:jc w:val="center"/>
        </w:trPr>
        <w:tc>
          <w:tcPr>
            <w:tcW w:w="640" w:type="dxa"/>
            <w:noWrap w:val="0"/>
            <w:vAlign w:val="center"/>
          </w:tcPr>
          <w:p>
            <w:pPr>
              <w:widowControl/>
              <w:jc w:val="center"/>
              <w:rPr>
                <w:rFonts w:ascii="宋体"/>
                <w:kern w:val="0"/>
                <w:sz w:val="20"/>
                <w:szCs w:val="20"/>
              </w:rPr>
            </w:pPr>
            <w:r>
              <w:rPr>
                <w:rFonts w:ascii="宋体" w:hAnsi="宋体" w:cs="宋体"/>
                <w:kern w:val="0"/>
                <w:sz w:val="20"/>
                <w:szCs w:val="20"/>
              </w:rPr>
              <w:t>3</w:t>
            </w:r>
            <w:r>
              <w:rPr>
                <w:rFonts w:hint="eastAsia" w:ascii="宋体" w:hAnsi="宋体" w:cs="宋体"/>
                <w:kern w:val="0"/>
                <w:sz w:val="20"/>
                <w:szCs w:val="20"/>
              </w:rPr>
              <w:t>0</w:t>
            </w:r>
          </w:p>
        </w:tc>
        <w:tc>
          <w:tcPr>
            <w:tcW w:w="5582" w:type="dxa"/>
            <w:noWrap w:val="0"/>
            <w:vAlign w:val="center"/>
          </w:tcPr>
          <w:p>
            <w:pPr>
              <w:widowControl/>
              <w:ind w:firstLine="400" w:firstLineChars="200"/>
              <w:jc w:val="left"/>
              <w:rPr>
                <w:rFonts w:ascii="宋体"/>
                <w:kern w:val="0"/>
                <w:sz w:val="20"/>
                <w:szCs w:val="20"/>
              </w:rPr>
            </w:pPr>
            <w:r>
              <w:rPr>
                <w:rFonts w:hint="eastAsia" w:ascii="宋体" w:hAnsi="宋体" w:cs="宋体"/>
                <w:kern w:val="0"/>
                <w:sz w:val="20"/>
                <w:szCs w:val="20"/>
              </w:rPr>
              <w:t>（十九）其他</w:t>
            </w:r>
          </w:p>
        </w:tc>
        <w:tc>
          <w:tcPr>
            <w:tcW w:w="1061" w:type="dxa"/>
            <w:noWrap w:val="0"/>
            <w:vAlign w:val="center"/>
          </w:tcPr>
          <w:p>
            <w:pPr>
              <w:widowControl/>
              <w:jc w:val="center"/>
              <w:rPr>
                <w:rFonts w:ascii="宋体"/>
                <w:kern w:val="0"/>
                <w:sz w:val="20"/>
                <w:szCs w:val="20"/>
              </w:rPr>
            </w:pPr>
          </w:p>
        </w:tc>
        <w:tc>
          <w:tcPr>
            <w:tcW w:w="1026" w:type="dxa"/>
            <w:noWrap w:val="0"/>
            <w:vAlign w:val="center"/>
          </w:tcPr>
          <w:p>
            <w:pPr>
              <w:widowControl/>
              <w:jc w:val="center"/>
              <w:rPr>
                <w:rFonts w:ascii="宋体"/>
                <w:kern w:val="0"/>
                <w:sz w:val="20"/>
                <w:szCs w:val="20"/>
              </w:rPr>
            </w:pPr>
          </w:p>
        </w:tc>
        <w:tc>
          <w:tcPr>
            <w:tcW w:w="1053" w:type="dxa"/>
            <w:noWrap w:val="0"/>
            <w:vAlign w:val="center"/>
          </w:tcPr>
          <w:p>
            <w:pPr>
              <w:widowControl/>
              <w:jc w:val="center"/>
              <w:rPr>
                <w:rFonts w:ascii="宋体"/>
                <w:kern w:val="0"/>
                <w:sz w:val="20"/>
                <w:szCs w:val="20"/>
              </w:rPr>
            </w:pPr>
          </w:p>
        </w:tc>
        <w:tc>
          <w:tcPr>
            <w:tcW w:w="1016" w:type="dxa"/>
            <w:noWrap w:val="0"/>
            <w:vAlign w:val="center"/>
          </w:tcPr>
          <w:p>
            <w:pPr>
              <w:widowControl/>
              <w:jc w:val="center"/>
              <w:rPr>
                <w:rFonts w:ascii="宋体"/>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61" w:hRule="exact"/>
          <w:jc w:val="center"/>
        </w:trPr>
        <w:tc>
          <w:tcPr>
            <w:tcW w:w="640" w:type="dxa"/>
            <w:noWrap w:val="0"/>
            <w:vAlign w:val="center"/>
          </w:tcPr>
          <w:p>
            <w:pPr>
              <w:widowControl/>
              <w:jc w:val="center"/>
              <w:rPr>
                <w:rFonts w:ascii="宋体"/>
                <w:kern w:val="0"/>
                <w:sz w:val="20"/>
                <w:szCs w:val="20"/>
              </w:rPr>
            </w:pPr>
            <w:r>
              <w:rPr>
                <w:rFonts w:ascii="宋体" w:hAnsi="宋体" w:cs="宋体"/>
                <w:kern w:val="0"/>
                <w:sz w:val="20"/>
                <w:szCs w:val="20"/>
              </w:rPr>
              <w:t>3</w:t>
            </w:r>
            <w:r>
              <w:rPr>
                <w:rFonts w:hint="eastAsia" w:ascii="宋体" w:hAnsi="宋体" w:cs="宋体"/>
                <w:kern w:val="0"/>
                <w:sz w:val="20"/>
                <w:szCs w:val="20"/>
              </w:rPr>
              <w:t>1</w:t>
            </w:r>
          </w:p>
        </w:tc>
        <w:tc>
          <w:tcPr>
            <w:tcW w:w="5582" w:type="dxa"/>
            <w:noWrap w:val="0"/>
            <w:vAlign w:val="center"/>
          </w:tcPr>
          <w:p>
            <w:pPr>
              <w:widowControl/>
              <w:jc w:val="left"/>
              <w:rPr>
                <w:rFonts w:ascii="宋体"/>
                <w:kern w:val="0"/>
                <w:sz w:val="20"/>
                <w:szCs w:val="20"/>
              </w:rPr>
            </w:pPr>
            <w:r>
              <w:rPr>
                <w:rFonts w:hint="eastAsia" w:ascii="宋体" w:hAnsi="宋体" w:cs="宋体"/>
                <w:kern w:val="0"/>
                <w:sz w:val="20"/>
                <w:szCs w:val="20"/>
              </w:rPr>
              <w:t>三、资产类调整项目（</w:t>
            </w:r>
            <w:r>
              <w:rPr>
                <w:rFonts w:ascii="宋体" w:hAnsi="宋体" w:cs="宋体"/>
                <w:kern w:val="0"/>
                <w:sz w:val="20"/>
                <w:szCs w:val="20"/>
              </w:rPr>
              <w:t>3</w:t>
            </w:r>
            <w:r>
              <w:rPr>
                <w:rFonts w:hint="eastAsia" w:ascii="宋体" w:hAnsi="宋体" w:cs="宋体"/>
                <w:kern w:val="0"/>
                <w:sz w:val="20"/>
                <w:szCs w:val="20"/>
              </w:rPr>
              <w:t>2</w:t>
            </w:r>
            <w:r>
              <w:rPr>
                <w:rFonts w:ascii="宋体" w:hAnsi="宋体" w:cs="宋体"/>
                <w:kern w:val="0"/>
                <w:sz w:val="20"/>
                <w:szCs w:val="20"/>
              </w:rPr>
              <w:t>+3</w:t>
            </w:r>
            <w:r>
              <w:rPr>
                <w:rFonts w:hint="eastAsia" w:ascii="宋体" w:hAnsi="宋体" w:cs="宋体"/>
                <w:kern w:val="0"/>
                <w:sz w:val="20"/>
                <w:szCs w:val="20"/>
              </w:rPr>
              <w:t>4</w:t>
            </w:r>
            <w:r>
              <w:rPr>
                <w:rFonts w:ascii="宋体" w:hAnsi="宋体" w:cs="宋体"/>
                <w:kern w:val="0"/>
                <w:sz w:val="20"/>
                <w:szCs w:val="20"/>
              </w:rPr>
              <w:t>+3</w:t>
            </w:r>
            <w:r>
              <w:rPr>
                <w:rFonts w:hint="eastAsia" w:ascii="宋体" w:hAnsi="宋体" w:cs="宋体"/>
                <w:kern w:val="0"/>
                <w:sz w:val="20"/>
                <w:szCs w:val="20"/>
              </w:rPr>
              <w:t>5</w:t>
            </w:r>
            <w:r>
              <w:rPr>
                <w:rFonts w:ascii="宋体" w:hAnsi="宋体" w:cs="宋体"/>
                <w:kern w:val="0"/>
                <w:sz w:val="20"/>
                <w:szCs w:val="20"/>
              </w:rPr>
              <w:t>+3</w:t>
            </w:r>
            <w:r>
              <w:rPr>
                <w:rFonts w:hint="eastAsia" w:ascii="宋体" w:hAnsi="宋体" w:cs="宋体"/>
                <w:kern w:val="0"/>
                <w:sz w:val="20"/>
                <w:szCs w:val="20"/>
              </w:rPr>
              <w:t>6）</w:t>
            </w:r>
          </w:p>
        </w:tc>
        <w:tc>
          <w:tcPr>
            <w:tcW w:w="1061" w:type="dxa"/>
            <w:noWrap w:val="0"/>
            <w:vAlign w:val="center"/>
          </w:tcPr>
          <w:p>
            <w:pPr>
              <w:widowControl/>
              <w:jc w:val="center"/>
              <w:rPr>
                <w:rFonts w:ascii="宋体"/>
                <w:kern w:val="0"/>
                <w:sz w:val="20"/>
                <w:szCs w:val="20"/>
              </w:rPr>
            </w:pPr>
            <w:r>
              <w:rPr>
                <w:rFonts w:ascii="宋体" w:hAnsi="宋体" w:cs="宋体"/>
                <w:kern w:val="0"/>
                <w:sz w:val="20"/>
                <w:szCs w:val="20"/>
              </w:rPr>
              <w:t>*</w:t>
            </w:r>
          </w:p>
        </w:tc>
        <w:tc>
          <w:tcPr>
            <w:tcW w:w="1026" w:type="dxa"/>
            <w:noWrap w:val="0"/>
            <w:vAlign w:val="center"/>
          </w:tcPr>
          <w:p>
            <w:pPr>
              <w:widowControl/>
              <w:jc w:val="center"/>
              <w:rPr>
                <w:rFonts w:ascii="宋体"/>
                <w:kern w:val="0"/>
                <w:sz w:val="20"/>
                <w:szCs w:val="20"/>
              </w:rPr>
            </w:pPr>
            <w:r>
              <w:rPr>
                <w:rFonts w:ascii="宋体" w:hAnsi="宋体" w:cs="宋体"/>
                <w:kern w:val="0"/>
                <w:sz w:val="20"/>
                <w:szCs w:val="20"/>
              </w:rPr>
              <w:t>*</w:t>
            </w:r>
          </w:p>
        </w:tc>
        <w:tc>
          <w:tcPr>
            <w:tcW w:w="1053" w:type="dxa"/>
            <w:noWrap w:val="0"/>
            <w:vAlign w:val="center"/>
          </w:tcPr>
          <w:p>
            <w:pPr>
              <w:widowControl/>
              <w:jc w:val="center"/>
              <w:rPr>
                <w:rFonts w:ascii="宋体"/>
                <w:kern w:val="0"/>
                <w:sz w:val="20"/>
                <w:szCs w:val="20"/>
              </w:rPr>
            </w:pPr>
          </w:p>
        </w:tc>
        <w:tc>
          <w:tcPr>
            <w:tcW w:w="1016" w:type="dxa"/>
            <w:noWrap w:val="0"/>
            <w:vAlign w:val="center"/>
          </w:tcPr>
          <w:p>
            <w:pPr>
              <w:widowControl/>
              <w:jc w:val="center"/>
              <w:rPr>
                <w:rFonts w:ascii="宋体"/>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61" w:hRule="exact"/>
          <w:jc w:val="center"/>
        </w:trPr>
        <w:tc>
          <w:tcPr>
            <w:tcW w:w="640" w:type="dxa"/>
            <w:noWrap w:val="0"/>
            <w:vAlign w:val="center"/>
          </w:tcPr>
          <w:p>
            <w:pPr>
              <w:widowControl/>
              <w:jc w:val="center"/>
              <w:rPr>
                <w:rFonts w:ascii="宋体"/>
                <w:kern w:val="0"/>
                <w:sz w:val="20"/>
                <w:szCs w:val="20"/>
              </w:rPr>
            </w:pPr>
            <w:r>
              <w:rPr>
                <w:rFonts w:ascii="宋体" w:hAnsi="宋体" w:cs="宋体"/>
                <w:kern w:val="0"/>
                <w:sz w:val="20"/>
                <w:szCs w:val="20"/>
              </w:rPr>
              <w:t>3</w:t>
            </w:r>
            <w:r>
              <w:rPr>
                <w:rFonts w:hint="eastAsia" w:ascii="宋体" w:hAnsi="宋体" w:cs="宋体"/>
                <w:kern w:val="0"/>
                <w:sz w:val="20"/>
                <w:szCs w:val="20"/>
              </w:rPr>
              <w:t>2</w:t>
            </w:r>
          </w:p>
        </w:tc>
        <w:tc>
          <w:tcPr>
            <w:tcW w:w="5582" w:type="dxa"/>
            <w:noWrap w:val="0"/>
            <w:vAlign w:val="center"/>
          </w:tcPr>
          <w:p>
            <w:pPr>
              <w:widowControl/>
              <w:ind w:firstLine="400" w:firstLineChars="200"/>
              <w:jc w:val="left"/>
              <w:rPr>
                <w:rFonts w:ascii="宋体"/>
                <w:kern w:val="0"/>
                <w:sz w:val="20"/>
                <w:szCs w:val="20"/>
              </w:rPr>
            </w:pPr>
            <w:r>
              <w:rPr>
                <w:rFonts w:hint="eastAsia" w:ascii="宋体" w:hAnsi="宋体" w:cs="宋体"/>
                <w:kern w:val="0"/>
                <w:sz w:val="20"/>
                <w:szCs w:val="20"/>
              </w:rPr>
              <w:t>（一）资产折旧、摊销</w:t>
            </w:r>
          </w:p>
        </w:tc>
        <w:tc>
          <w:tcPr>
            <w:tcW w:w="1061" w:type="dxa"/>
            <w:noWrap w:val="0"/>
            <w:vAlign w:val="center"/>
          </w:tcPr>
          <w:p>
            <w:pPr>
              <w:widowControl/>
              <w:jc w:val="center"/>
              <w:rPr>
                <w:rFonts w:ascii="宋体"/>
                <w:kern w:val="0"/>
                <w:sz w:val="20"/>
                <w:szCs w:val="20"/>
              </w:rPr>
            </w:pPr>
          </w:p>
        </w:tc>
        <w:tc>
          <w:tcPr>
            <w:tcW w:w="1026" w:type="dxa"/>
            <w:noWrap w:val="0"/>
            <w:vAlign w:val="center"/>
          </w:tcPr>
          <w:p>
            <w:pPr>
              <w:widowControl/>
              <w:jc w:val="center"/>
              <w:rPr>
                <w:rFonts w:ascii="宋体"/>
                <w:kern w:val="0"/>
                <w:sz w:val="20"/>
                <w:szCs w:val="20"/>
              </w:rPr>
            </w:pPr>
          </w:p>
        </w:tc>
        <w:tc>
          <w:tcPr>
            <w:tcW w:w="1053" w:type="dxa"/>
            <w:noWrap w:val="0"/>
            <w:vAlign w:val="center"/>
          </w:tcPr>
          <w:p>
            <w:pPr>
              <w:widowControl/>
              <w:jc w:val="center"/>
              <w:rPr>
                <w:rFonts w:ascii="宋体"/>
                <w:kern w:val="0"/>
                <w:sz w:val="20"/>
                <w:szCs w:val="20"/>
              </w:rPr>
            </w:pPr>
          </w:p>
        </w:tc>
        <w:tc>
          <w:tcPr>
            <w:tcW w:w="1016" w:type="dxa"/>
            <w:noWrap w:val="0"/>
            <w:vAlign w:val="center"/>
          </w:tcPr>
          <w:p>
            <w:pPr>
              <w:widowControl/>
              <w:jc w:val="center"/>
              <w:rPr>
                <w:rFonts w:ascii="宋体"/>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exact"/>
          <w:jc w:val="center"/>
        </w:trPr>
        <w:tc>
          <w:tcPr>
            <w:tcW w:w="640" w:type="dxa"/>
            <w:noWrap w:val="0"/>
            <w:vAlign w:val="center"/>
          </w:tcPr>
          <w:p>
            <w:pPr>
              <w:widowControl/>
              <w:jc w:val="center"/>
              <w:rPr>
                <w:rFonts w:ascii="宋体" w:hAnsi="宋体" w:cs="宋体"/>
                <w:kern w:val="0"/>
                <w:sz w:val="20"/>
                <w:szCs w:val="20"/>
              </w:rPr>
            </w:pPr>
            <w:r>
              <w:rPr>
                <w:rFonts w:ascii="宋体" w:hAnsi="宋体" w:cs="宋体"/>
                <w:kern w:val="0"/>
                <w:sz w:val="20"/>
                <w:szCs w:val="20"/>
              </w:rPr>
              <w:t>3</w:t>
            </w:r>
            <w:r>
              <w:rPr>
                <w:rFonts w:hint="eastAsia" w:ascii="宋体" w:hAnsi="宋体" w:cs="宋体"/>
                <w:kern w:val="0"/>
                <w:sz w:val="20"/>
                <w:szCs w:val="20"/>
              </w:rPr>
              <w:t>3</w:t>
            </w:r>
          </w:p>
        </w:tc>
        <w:tc>
          <w:tcPr>
            <w:tcW w:w="5582" w:type="dxa"/>
            <w:noWrap w:val="0"/>
            <w:vAlign w:val="center"/>
          </w:tcPr>
          <w:p>
            <w:pPr>
              <w:widowControl/>
              <w:ind w:firstLine="500" w:firstLineChars="250"/>
              <w:jc w:val="left"/>
              <w:rPr>
                <w:rFonts w:ascii="宋体" w:hAnsi="宋体" w:cs="宋体"/>
                <w:kern w:val="0"/>
                <w:sz w:val="20"/>
                <w:szCs w:val="20"/>
              </w:rPr>
            </w:pPr>
            <w:r>
              <w:rPr>
                <w:rFonts w:hint="eastAsia" w:ascii="宋体" w:hAnsi="宋体" w:cs="宋体"/>
                <w:kern w:val="0"/>
                <w:sz w:val="20"/>
                <w:szCs w:val="20"/>
              </w:rPr>
              <w:t>其中：固定资产加速折旧（扣除）调减额</w:t>
            </w:r>
            <w:r>
              <w:rPr>
                <w:rFonts w:ascii="宋体" w:hAnsi="宋体" w:cs="宋体"/>
                <w:kern w:val="0"/>
                <w:sz w:val="20"/>
                <w:szCs w:val="20"/>
              </w:rPr>
              <w:t>[项目</w:t>
            </w:r>
            <w:r>
              <w:rPr>
                <w:rFonts w:ascii="宋体" w:hAnsi="宋体" w:cs="宋体"/>
                <w:kern w:val="0"/>
                <w:sz w:val="20"/>
                <w:szCs w:val="20"/>
                <w:u w:val="single"/>
              </w:rPr>
              <w:t xml:space="preserve">       </w:t>
            </w:r>
            <w:r>
              <w:rPr>
                <w:rFonts w:hint="eastAsia" w:ascii="宋体" w:hAnsi="宋体" w:cs="宋体"/>
                <w:kern w:val="0"/>
                <w:sz w:val="20"/>
                <w:szCs w:val="20"/>
              </w:rPr>
              <w:t>（减免性质代码）</w:t>
            </w:r>
            <w:r>
              <w:rPr>
                <w:rFonts w:ascii="宋体" w:hAnsi="宋体" w:cs="宋体"/>
                <w:kern w:val="0"/>
                <w:sz w:val="20"/>
                <w:szCs w:val="20"/>
              </w:rPr>
              <w:t>]</w:t>
            </w:r>
          </w:p>
        </w:tc>
        <w:tc>
          <w:tcPr>
            <w:tcW w:w="1061" w:type="dxa"/>
            <w:noWrap w:val="0"/>
            <w:vAlign w:val="center"/>
          </w:tcPr>
          <w:p>
            <w:pPr>
              <w:widowControl/>
              <w:jc w:val="center"/>
              <w:rPr>
                <w:rFonts w:ascii="宋体"/>
                <w:kern w:val="0"/>
                <w:sz w:val="20"/>
                <w:szCs w:val="20"/>
              </w:rPr>
            </w:pPr>
            <w:r>
              <w:rPr>
                <w:rFonts w:ascii="宋体" w:hAnsi="宋体" w:cs="宋体"/>
                <w:kern w:val="0"/>
                <w:sz w:val="20"/>
                <w:szCs w:val="20"/>
              </w:rPr>
              <w:t>*</w:t>
            </w:r>
          </w:p>
        </w:tc>
        <w:tc>
          <w:tcPr>
            <w:tcW w:w="1026" w:type="dxa"/>
            <w:noWrap w:val="0"/>
            <w:vAlign w:val="center"/>
          </w:tcPr>
          <w:p>
            <w:pPr>
              <w:widowControl/>
              <w:jc w:val="center"/>
              <w:rPr>
                <w:rFonts w:ascii="宋体" w:hAnsi="宋体" w:cs="宋体"/>
                <w:kern w:val="0"/>
                <w:sz w:val="20"/>
                <w:szCs w:val="20"/>
              </w:rPr>
            </w:pPr>
            <w:r>
              <w:rPr>
                <w:rFonts w:ascii="宋体" w:hAnsi="宋体" w:cs="宋体"/>
                <w:kern w:val="0"/>
                <w:sz w:val="20"/>
                <w:szCs w:val="20"/>
              </w:rPr>
              <w:t>*</w:t>
            </w:r>
          </w:p>
        </w:tc>
        <w:tc>
          <w:tcPr>
            <w:tcW w:w="1053" w:type="dxa"/>
            <w:noWrap w:val="0"/>
            <w:vAlign w:val="center"/>
          </w:tcPr>
          <w:p>
            <w:pPr>
              <w:widowControl/>
              <w:jc w:val="center"/>
              <w:rPr>
                <w:rFonts w:ascii="宋体"/>
                <w:kern w:val="0"/>
                <w:sz w:val="20"/>
                <w:szCs w:val="20"/>
              </w:rPr>
            </w:pPr>
            <w:r>
              <w:rPr>
                <w:rFonts w:ascii="宋体" w:hAnsi="宋体" w:cs="宋体"/>
                <w:kern w:val="0"/>
                <w:sz w:val="20"/>
                <w:szCs w:val="20"/>
              </w:rPr>
              <w:t>*</w:t>
            </w:r>
          </w:p>
        </w:tc>
        <w:tc>
          <w:tcPr>
            <w:tcW w:w="1016" w:type="dxa"/>
            <w:noWrap w:val="0"/>
            <w:vAlign w:val="center"/>
          </w:tcPr>
          <w:p>
            <w:pPr>
              <w:widowControl/>
              <w:jc w:val="center"/>
              <w:rPr>
                <w:rFonts w:ascii="宋体"/>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61" w:hRule="exact"/>
          <w:jc w:val="center"/>
        </w:trPr>
        <w:tc>
          <w:tcPr>
            <w:tcW w:w="640" w:type="dxa"/>
            <w:noWrap w:val="0"/>
            <w:vAlign w:val="center"/>
          </w:tcPr>
          <w:p>
            <w:pPr>
              <w:widowControl/>
              <w:jc w:val="center"/>
              <w:rPr>
                <w:rFonts w:ascii="宋体"/>
                <w:kern w:val="0"/>
                <w:sz w:val="20"/>
                <w:szCs w:val="20"/>
              </w:rPr>
            </w:pPr>
            <w:r>
              <w:rPr>
                <w:rFonts w:ascii="宋体" w:hAnsi="宋体" w:cs="宋体"/>
                <w:kern w:val="0"/>
                <w:sz w:val="20"/>
                <w:szCs w:val="20"/>
              </w:rPr>
              <w:t>3</w:t>
            </w:r>
            <w:r>
              <w:rPr>
                <w:rFonts w:hint="eastAsia" w:ascii="宋体" w:hAnsi="宋体" w:cs="宋体"/>
                <w:kern w:val="0"/>
                <w:sz w:val="20"/>
                <w:szCs w:val="20"/>
              </w:rPr>
              <w:t>4</w:t>
            </w:r>
          </w:p>
        </w:tc>
        <w:tc>
          <w:tcPr>
            <w:tcW w:w="5582" w:type="dxa"/>
            <w:noWrap w:val="0"/>
            <w:vAlign w:val="center"/>
          </w:tcPr>
          <w:p>
            <w:pPr>
              <w:widowControl/>
              <w:ind w:firstLine="400" w:firstLineChars="200"/>
              <w:jc w:val="left"/>
              <w:rPr>
                <w:rFonts w:ascii="宋体"/>
                <w:kern w:val="0"/>
                <w:sz w:val="20"/>
                <w:szCs w:val="20"/>
              </w:rPr>
            </w:pPr>
            <w:r>
              <w:rPr>
                <w:rFonts w:hint="eastAsia" w:ascii="宋体" w:hAnsi="宋体" w:cs="宋体"/>
                <w:kern w:val="0"/>
                <w:sz w:val="20"/>
                <w:szCs w:val="20"/>
              </w:rPr>
              <w:t>（二）资产减值准备金</w:t>
            </w:r>
          </w:p>
        </w:tc>
        <w:tc>
          <w:tcPr>
            <w:tcW w:w="1061" w:type="dxa"/>
            <w:noWrap w:val="0"/>
            <w:vAlign w:val="center"/>
          </w:tcPr>
          <w:p>
            <w:pPr>
              <w:widowControl/>
              <w:jc w:val="center"/>
              <w:rPr>
                <w:rFonts w:ascii="宋体"/>
                <w:kern w:val="0"/>
                <w:sz w:val="20"/>
                <w:szCs w:val="20"/>
              </w:rPr>
            </w:pPr>
          </w:p>
        </w:tc>
        <w:tc>
          <w:tcPr>
            <w:tcW w:w="1026" w:type="dxa"/>
            <w:noWrap w:val="0"/>
            <w:vAlign w:val="center"/>
          </w:tcPr>
          <w:p>
            <w:pPr>
              <w:widowControl/>
              <w:jc w:val="center"/>
              <w:rPr>
                <w:rFonts w:ascii="宋体"/>
                <w:kern w:val="0"/>
                <w:sz w:val="20"/>
                <w:szCs w:val="20"/>
              </w:rPr>
            </w:pPr>
            <w:r>
              <w:rPr>
                <w:rFonts w:ascii="宋体" w:hAnsi="宋体" w:cs="宋体"/>
                <w:kern w:val="0"/>
                <w:sz w:val="20"/>
                <w:szCs w:val="20"/>
              </w:rPr>
              <w:t>*</w:t>
            </w:r>
          </w:p>
        </w:tc>
        <w:tc>
          <w:tcPr>
            <w:tcW w:w="1053" w:type="dxa"/>
            <w:noWrap w:val="0"/>
            <w:vAlign w:val="center"/>
          </w:tcPr>
          <w:p>
            <w:pPr>
              <w:widowControl/>
              <w:jc w:val="center"/>
              <w:rPr>
                <w:rFonts w:ascii="宋体"/>
                <w:kern w:val="0"/>
                <w:sz w:val="20"/>
                <w:szCs w:val="20"/>
              </w:rPr>
            </w:pPr>
          </w:p>
        </w:tc>
        <w:tc>
          <w:tcPr>
            <w:tcW w:w="1016" w:type="dxa"/>
            <w:noWrap w:val="0"/>
            <w:vAlign w:val="center"/>
          </w:tcPr>
          <w:p>
            <w:pPr>
              <w:widowControl/>
              <w:jc w:val="center"/>
              <w:rPr>
                <w:rFonts w:ascii="宋体"/>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61" w:hRule="exact"/>
          <w:jc w:val="center"/>
        </w:trPr>
        <w:tc>
          <w:tcPr>
            <w:tcW w:w="640" w:type="dxa"/>
            <w:noWrap w:val="0"/>
            <w:vAlign w:val="center"/>
          </w:tcPr>
          <w:p>
            <w:pPr>
              <w:widowControl/>
              <w:jc w:val="center"/>
              <w:rPr>
                <w:rFonts w:ascii="宋体"/>
                <w:kern w:val="0"/>
                <w:sz w:val="20"/>
                <w:szCs w:val="20"/>
              </w:rPr>
            </w:pPr>
            <w:r>
              <w:rPr>
                <w:rFonts w:ascii="宋体" w:hAnsi="宋体" w:cs="宋体"/>
                <w:kern w:val="0"/>
                <w:sz w:val="20"/>
                <w:szCs w:val="20"/>
              </w:rPr>
              <w:t>3</w:t>
            </w:r>
            <w:r>
              <w:rPr>
                <w:rFonts w:hint="eastAsia" w:ascii="宋体" w:hAnsi="宋体" w:cs="宋体"/>
                <w:kern w:val="0"/>
                <w:sz w:val="20"/>
                <w:szCs w:val="20"/>
              </w:rPr>
              <w:t>5</w:t>
            </w:r>
          </w:p>
        </w:tc>
        <w:tc>
          <w:tcPr>
            <w:tcW w:w="5582" w:type="dxa"/>
            <w:noWrap w:val="0"/>
            <w:vAlign w:val="center"/>
          </w:tcPr>
          <w:p>
            <w:pPr>
              <w:widowControl/>
              <w:ind w:firstLine="400" w:firstLineChars="200"/>
              <w:jc w:val="left"/>
              <w:rPr>
                <w:rFonts w:ascii="宋体"/>
                <w:kern w:val="0"/>
                <w:sz w:val="20"/>
                <w:szCs w:val="20"/>
              </w:rPr>
            </w:pPr>
            <w:r>
              <w:rPr>
                <w:rFonts w:hint="eastAsia" w:ascii="宋体" w:hAnsi="宋体" w:cs="宋体"/>
                <w:kern w:val="0"/>
                <w:sz w:val="20"/>
                <w:szCs w:val="20"/>
              </w:rPr>
              <w:t>（三）资产损失</w:t>
            </w:r>
          </w:p>
        </w:tc>
        <w:tc>
          <w:tcPr>
            <w:tcW w:w="1061" w:type="dxa"/>
            <w:noWrap w:val="0"/>
            <w:vAlign w:val="center"/>
          </w:tcPr>
          <w:p>
            <w:pPr>
              <w:widowControl/>
              <w:jc w:val="center"/>
              <w:rPr>
                <w:rFonts w:ascii="宋体"/>
                <w:kern w:val="0"/>
                <w:sz w:val="20"/>
                <w:szCs w:val="20"/>
              </w:rPr>
            </w:pPr>
          </w:p>
        </w:tc>
        <w:tc>
          <w:tcPr>
            <w:tcW w:w="1026" w:type="dxa"/>
            <w:noWrap w:val="0"/>
            <w:vAlign w:val="center"/>
          </w:tcPr>
          <w:p>
            <w:pPr>
              <w:widowControl/>
              <w:jc w:val="center"/>
              <w:rPr>
                <w:rFonts w:ascii="宋体"/>
                <w:kern w:val="0"/>
                <w:sz w:val="20"/>
                <w:szCs w:val="20"/>
              </w:rPr>
            </w:pPr>
          </w:p>
        </w:tc>
        <w:tc>
          <w:tcPr>
            <w:tcW w:w="1053" w:type="dxa"/>
            <w:noWrap w:val="0"/>
            <w:vAlign w:val="center"/>
          </w:tcPr>
          <w:p>
            <w:pPr>
              <w:widowControl/>
              <w:jc w:val="center"/>
              <w:rPr>
                <w:rFonts w:ascii="宋体"/>
                <w:kern w:val="0"/>
                <w:sz w:val="20"/>
                <w:szCs w:val="20"/>
              </w:rPr>
            </w:pPr>
          </w:p>
        </w:tc>
        <w:tc>
          <w:tcPr>
            <w:tcW w:w="1016" w:type="dxa"/>
            <w:noWrap w:val="0"/>
            <w:vAlign w:val="center"/>
          </w:tcPr>
          <w:p>
            <w:pPr>
              <w:widowControl/>
              <w:jc w:val="center"/>
              <w:rPr>
                <w:rFonts w:ascii="宋体"/>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61" w:hRule="exact"/>
          <w:jc w:val="center"/>
        </w:trPr>
        <w:tc>
          <w:tcPr>
            <w:tcW w:w="640" w:type="dxa"/>
            <w:noWrap w:val="0"/>
            <w:vAlign w:val="center"/>
          </w:tcPr>
          <w:p>
            <w:pPr>
              <w:widowControl/>
              <w:jc w:val="center"/>
              <w:rPr>
                <w:rFonts w:ascii="宋体"/>
                <w:kern w:val="0"/>
                <w:sz w:val="20"/>
                <w:szCs w:val="20"/>
              </w:rPr>
            </w:pPr>
            <w:r>
              <w:rPr>
                <w:rFonts w:ascii="宋体" w:hAnsi="宋体" w:cs="宋体"/>
                <w:kern w:val="0"/>
                <w:sz w:val="20"/>
                <w:szCs w:val="20"/>
              </w:rPr>
              <w:t>3</w:t>
            </w:r>
            <w:r>
              <w:rPr>
                <w:rFonts w:hint="eastAsia" w:ascii="宋体" w:hAnsi="宋体" w:cs="宋体"/>
                <w:kern w:val="0"/>
                <w:sz w:val="20"/>
                <w:szCs w:val="20"/>
              </w:rPr>
              <w:t>6</w:t>
            </w:r>
          </w:p>
        </w:tc>
        <w:tc>
          <w:tcPr>
            <w:tcW w:w="5582" w:type="dxa"/>
            <w:noWrap w:val="0"/>
            <w:vAlign w:val="center"/>
          </w:tcPr>
          <w:p>
            <w:pPr>
              <w:widowControl/>
              <w:ind w:firstLine="400" w:firstLineChars="200"/>
              <w:jc w:val="left"/>
              <w:rPr>
                <w:rFonts w:ascii="宋体"/>
                <w:kern w:val="0"/>
                <w:sz w:val="20"/>
                <w:szCs w:val="20"/>
              </w:rPr>
            </w:pPr>
            <w:r>
              <w:rPr>
                <w:rFonts w:hint="eastAsia" w:ascii="宋体" w:hAnsi="宋体" w:cs="宋体"/>
                <w:kern w:val="0"/>
                <w:sz w:val="20"/>
                <w:szCs w:val="20"/>
              </w:rPr>
              <w:t>（四）其他</w:t>
            </w:r>
          </w:p>
        </w:tc>
        <w:tc>
          <w:tcPr>
            <w:tcW w:w="1061" w:type="dxa"/>
            <w:noWrap w:val="0"/>
            <w:vAlign w:val="center"/>
          </w:tcPr>
          <w:p>
            <w:pPr>
              <w:widowControl/>
              <w:jc w:val="center"/>
              <w:rPr>
                <w:rFonts w:ascii="宋体"/>
                <w:kern w:val="0"/>
                <w:sz w:val="20"/>
                <w:szCs w:val="20"/>
              </w:rPr>
            </w:pPr>
          </w:p>
        </w:tc>
        <w:tc>
          <w:tcPr>
            <w:tcW w:w="1026" w:type="dxa"/>
            <w:noWrap w:val="0"/>
            <w:vAlign w:val="center"/>
          </w:tcPr>
          <w:p>
            <w:pPr>
              <w:widowControl/>
              <w:jc w:val="center"/>
              <w:rPr>
                <w:rFonts w:ascii="宋体"/>
                <w:kern w:val="0"/>
                <w:sz w:val="20"/>
                <w:szCs w:val="20"/>
              </w:rPr>
            </w:pPr>
          </w:p>
        </w:tc>
        <w:tc>
          <w:tcPr>
            <w:tcW w:w="1053" w:type="dxa"/>
            <w:noWrap w:val="0"/>
            <w:vAlign w:val="center"/>
          </w:tcPr>
          <w:p>
            <w:pPr>
              <w:widowControl/>
              <w:jc w:val="center"/>
              <w:rPr>
                <w:rFonts w:ascii="宋体"/>
                <w:kern w:val="0"/>
                <w:sz w:val="20"/>
                <w:szCs w:val="20"/>
              </w:rPr>
            </w:pPr>
          </w:p>
        </w:tc>
        <w:tc>
          <w:tcPr>
            <w:tcW w:w="1016" w:type="dxa"/>
            <w:noWrap w:val="0"/>
            <w:vAlign w:val="center"/>
          </w:tcPr>
          <w:p>
            <w:pPr>
              <w:widowControl/>
              <w:jc w:val="center"/>
              <w:rPr>
                <w:rFonts w:ascii="宋体"/>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61" w:hRule="exact"/>
          <w:jc w:val="center"/>
        </w:trPr>
        <w:tc>
          <w:tcPr>
            <w:tcW w:w="640" w:type="dxa"/>
            <w:noWrap w:val="0"/>
            <w:vAlign w:val="center"/>
          </w:tcPr>
          <w:p>
            <w:pPr>
              <w:widowControl/>
              <w:jc w:val="center"/>
              <w:rPr>
                <w:rFonts w:ascii="宋体"/>
                <w:kern w:val="0"/>
                <w:sz w:val="20"/>
                <w:szCs w:val="20"/>
              </w:rPr>
            </w:pPr>
            <w:r>
              <w:rPr>
                <w:rFonts w:ascii="宋体" w:hAnsi="宋体" w:cs="宋体"/>
                <w:kern w:val="0"/>
                <w:sz w:val="20"/>
                <w:szCs w:val="20"/>
              </w:rPr>
              <w:t>3</w:t>
            </w:r>
            <w:r>
              <w:rPr>
                <w:rFonts w:hint="eastAsia" w:ascii="宋体" w:hAnsi="宋体" w:cs="宋体"/>
                <w:kern w:val="0"/>
                <w:sz w:val="20"/>
                <w:szCs w:val="20"/>
              </w:rPr>
              <w:t>7</w:t>
            </w:r>
          </w:p>
        </w:tc>
        <w:tc>
          <w:tcPr>
            <w:tcW w:w="5582" w:type="dxa"/>
            <w:noWrap w:val="0"/>
            <w:vAlign w:val="center"/>
          </w:tcPr>
          <w:p>
            <w:pPr>
              <w:widowControl/>
              <w:jc w:val="left"/>
              <w:rPr>
                <w:rFonts w:ascii="宋体"/>
                <w:kern w:val="0"/>
                <w:sz w:val="20"/>
                <w:szCs w:val="20"/>
              </w:rPr>
            </w:pPr>
            <w:r>
              <w:rPr>
                <w:rFonts w:hint="eastAsia" w:ascii="宋体" w:hAnsi="宋体" w:cs="宋体"/>
                <w:kern w:val="0"/>
                <w:sz w:val="20"/>
                <w:szCs w:val="20"/>
              </w:rPr>
              <w:t>四、特殊事项调整项目（</w:t>
            </w:r>
            <w:r>
              <w:rPr>
                <w:rFonts w:ascii="宋体" w:hAnsi="宋体" w:cs="宋体"/>
                <w:kern w:val="0"/>
                <w:sz w:val="20"/>
                <w:szCs w:val="20"/>
              </w:rPr>
              <w:t>3</w:t>
            </w:r>
            <w:r>
              <w:rPr>
                <w:rFonts w:hint="eastAsia" w:ascii="宋体" w:hAnsi="宋体" w:cs="宋体"/>
                <w:kern w:val="0"/>
                <w:sz w:val="20"/>
                <w:szCs w:val="20"/>
              </w:rPr>
              <w:t>8</w:t>
            </w:r>
            <w:r>
              <w:rPr>
                <w:rFonts w:ascii="宋体" w:hAnsi="宋体" w:cs="宋体"/>
                <w:kern w:val="0"/>
                <w:sz w:val="20"/>
                <w:szCs w:val="20"/>
              </w:rPr>
              <w:t>+</w:t>
            </w:r>
            <w:r>
              <w:rPr>
                <w:rFonts w:hint="eastAsia" w:ascii="宋体" w:hAnsi="宋体" w:cs="宋体"/>
                <w:kern w:val="0"/>
                <w:sz w:val="20"/>
                <w:szCs w:val="20"/>
              </w:rPr>
              <w:t>…</w:t>
            </w:r>
            <w:r>
              <w:rPr>
                <w:rFonts w:ascii="宋体" w:hAnsi="宋体" w:cs="宋体"/>
                <w:kern w:val="0"/>
                <w:sz w:val="20"/>
                <w:szCs w:val="20"/>
              </w:rPr>
              <w:t>+4</w:t>
            </w:r>
            <w:r>
              <w:rPr>
                <w:rFonts w:hint="eastAsia" w:ascii="宋体" w:hAnsi="宋体" w:cs="宋体"/>
                <w:kern w:val="0"/>
                <w:sz w:val="20"/>
                <w:szCs w:val="20"/>
              </w:rPr>
              <w:t>3）</w:t>
            </w:r>
          </w:p>
        </w:tc>
        <w:tc>
          <w:tcPr>
            <w:tcW w:w="1061" w:type="dxa"/>
            <w:noWrap w:val="0"/>
            <w:vAlign w:val="center"/>
          </w:tcPr>
          <w:p>
            <w:pPr>
              <w:widowControl/>
              <w:jc w:val="center"/>
              <w:rPr>
                <w:rFonts w:ascii="宋体"/>
                <w:kern w:val="0"/>
                <w:sz w:val="20"/>
                <w:szCs w:val="20"/>
              </w:rPr>
            </w:pPr>
            <w:r>
              <w:rPr>
                <w:rFonts w:ascii="宋体" w:hAnsi="宋体" w:cs="宋体"/>
                <w:kern w:val="0"/>
                <w:sz w:val="20"/>
                <w:szCs w:val="20"/>
              </w:rPr>
              <w:t>*</w:t>
            </w:r>
          </w:p>
        </w:tc>
        <w:tc>
          <w:tcPr>
            <w:tcW w:w="1026" w:type="dxa"/>
            <w:noWrap w:val="0"/>
            <w:vAlign w:val="center"/>
          </w:tcPr>
          <w:p>
            <w:pPr>
              <w:widowControl/>
              <w:jc w:val="center"/>
              <w:rPr>
                <w:rFonts w:ascii="宋体"/>
                <w:kern w:val="0"/>
                <w:sz w:val="20"/>
                <w:szCs w:val="20"/>
              </w:rPr>
            </w:pPr>
            <w:r>
              <w:rPr>
                <w:rFonts w:ascii="宋体" w:hAnsi="宋体" w:cs="宋体"/>
                <w:kern w:val="0"/>
                <w:sz w:val="20"/>
                <w:szCs w:val="20"/>
              </w:rPr>
              <w:t>*</w:t>
            </w:r>
          </w:p>
        </w:tc>
        <w:tc>
          <w:tcPr>
            <w:tcW w:w="1053" w:type="dxa"/>
            <w:noWrap w:val="0"/>
            <w:vAlign w:val="center"/>
          </w:tcPr>
          <w:p>
            <w:pPr>
              <w:widowControl/>
              <w:jc w:val="center"/>
              <w:rPr>
                <w:rFonts w:ascii="宋体"/>
                <w:kern w:val="0"/>
                <w:sz w:val="20"/>
                <w:szCs w:val="20"/>
              </w:rPr>
            </w:pPr>
          </w:p>
        </w:tc>
        <w:tc>
          <w:tcPr>
            <w:tcW w:w="1016" w:type="dxa"/>
            <w:noWrap w:val="0"/>
            <w:vAlign w:val="center"/>
          </w:tcPr>
          <w:p>
            <w:pPr>
              <w:widowControl/>
              <w:jc w:val="center"/>
              <w:rPr>
                <w:rFonts w:ascii="宋体"/>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61" w:hRule="exact"/>
          <w:jc w:val="center"/>
        </w:trPr>
        <w:tc>
          <w:tcPr>
            <w:tcW w:w="640" w:type="dxa"/>
            <w:noWrap w:val="0"/>
            <w:vAlign w:val="center"/>
          </w:tcPr>
          <w:p>
            <w:pPr>
              <w:widowControl/>
              <w:jc w:val="center"/>
              <w:rPr>
                <w:rFonts w:ascii="宋体"/>
                <w:kern w:val="0"/>
                <w:sz w:val="20"/>
                <w:szCs w:val="20"/>
              </w:rPr>
            </w:pPr>
            <w:r>
              <w:rPr>
                <w:rFonts w:ascii="宋体" w:hAnsi="宋体" w:cs="宋体"/>
                <w:kern w:val="0"/>
                <w:sz w:val="20"/>
                <w:szCs w:val="20"/>
              </w:rPr>
              <w:t>3</w:t>
            </w:r>
            <w:r>
              <w:rPr>
                <w:rFonts w:hint="eastAsia" w:ascii="宋体" w:hAnsi="宋体" w:cs="宋体"/>
                <w:kern w:val="0"/>
                <w:sz w:val="20"/>
                <w:szCs w:val="20"/>
              </w:rPr>
              <w:t>8</w:t>
            </w:r>
          </w:p>
        </w:tc>
        <w:tc>
          <w:tcPr>
            <w:tcW w:w="5582" w:type="dxa"/>
            <w:noWrap w:val="0"/>
            <w:vAlign w:val="center"/>
          </w:tcPr>
          <w:p>
            <w:pPr>
              <w:widowControl/>
              <w:ind w:firstLine="400" w:firstLineChars="200"/>
              <w:jc w:val="left"/>
              <w:rPr>
                <w:rFonts w:ascii="宋体"/>
                <w:kern w:val="0"/>
                <w:sz w:val="20"/>
                <w:szCs w:val="20"/>
              </w:rPr>
            </w:pPr>
            <w:r>
              <w:rPr>
                <w:rFonts w:hint="eastAsia" w:ascii="宋体" w:hAnsi="宋体" w:cs="宋体"/>
                <w:kern w:val="0"/>
                <w:sz w:val="20"/>
                <w:szCs w:val="20"/>
              </w:rPr>
              <w:t>（一）企业重组及递延纳税事项</w:t>
            </w:r>
          </w:p>
        </w:tc>
        <w:tc>
          <w:tcPr>
            <w:tcW w:w="1061" w:type="dxa"/>
            <w:noWrap w:val="0"/>
            <w:vAlign w:val="center"/>
          </w:tcPr>
          <w:p>
            <w:pPr>
              <w:widowControl/>
              <w:jc w:val="center"/>
              <w:rPr>
                <w:rFonts w:ascii="宋体"/>
                <w:kern w:val="0"/>
                <w:sz w:val="20"/>
                <w:szCs w:val="20"/>
              </w:rPr>
            </w:pPr>
          </w:p>
        </w:tc>
        <w:tc>
          <w:tcPr>
            <w:tcW w:w="1026" w:type="dxa"/>
            <w:noWrap w:val="0"/>
            <w:vAlign w:val="center"/>
          </w:tcPr>
          <w:p>
            <w:pPr>
              <w:widowControl/>
              <w:jc w:val="center"/>
              <w:rPr>
                <w:rFonts w:ascii="宋体"/>
                <w:kern w:val="0"/>
                <w:sz w:val="20"/>
                <w:szCs w:val="20"/>
              </w:rPr>
            </w:pPr>
          </w:p>
        </w:tc>
        <w:tc>
          <w:tcPr>
            <w:tcW w:w="1053" w:type="dxa"/>
            <w:noWrap w:val="0"/>
            <w:vAlign w:val="center"/>
          </w:tcPr>
          <w:p>
            <w:pPr>
              <w:widowControl/>
              <w:jc w:val="center"/>
              <w:rPr>
                <w:rFonts w:ascii="宋体"/>
                <w:kern w:val="0"/>
                <w:sz w:val="20"/>
                <w:szCs w:val="20"/>
              </w:rPr>
            </w:pPr>
          </w:p>
        </w:tc>
        <w:tc>
          <w:tcPr>
            <w:tcW w:w="1016" w:type="dxa"/>
            <w:noWrap w:val="0"/>
            <w:vAlign w:val="center"/>
          </w:tcPr>
          <w:p>
            <w:pPr>
              <w:widowControl/>
              <w:jc w:val="center"/>
              <w:rPr>
                <w:rFonts w:ascii="宋体"/>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61" w:hRule="exact"/>
          <w:jc w:val="center"/>
        </w:trPr>
        <w:tc>
          <w:tcPr>
            <w:tcW w:w="640" w:type="dxa"/>
            <w:noWrap w:val="0"/>
            <w:vAlign w:val="center"/>
          </w:tcPr>
          <w:p>
            <w:pPr>
              <w:widowControl/>
              <w:jc w:val="center"/>
              <w:rPr>
                <w:rFonts w:ascii="宋体"/>
                <w:kern w:val="0"/>
                <w:sz w:val="20"/>
                <w:szCs w:val="20"/>
              </w:rPr>
            </w:pPr>
            <w:r>
              <w:rPr>
                <w:rFonts w:hint="eastAsia" w:ascii="宋体" w:hAnsi="宋体" w:cs="宋体"/>
                <w:kern w:val="0"/>
                <w:sz w:val="20"/>
                <w:szCs w:val="20"/>
              </w:rPr>
              <w:t>39</w:t>
            </w:r>
          </w:p>
        </w:tc>
        <w:tc>
          <w:tcPr>
            <w:tcW w:w="5582" w:type="dxa"/>
            <w:noWrap w:val="0"/>
            <w:vAlign w:val="center"/>
          </w:tcPr>
          <w:p>
            <w:pPr>
              <w:widowControl/>
              <w:ind w:firstLine="400" w:firstLineChars="200"/>
              <w:jc w:val="left"/>
              <w:rPr>
                <w:rFonts w:ascii="宋体"/>
                <w:kern w:val="0"/>
                <w:sz w:val="20"/>
                <w:szCs w:val="20"/>
              </w:rPr>
            </w:pPr>
            <w:r>
              <w:rPr>
                <w:rFonts w:hint="eastAsia" w:ascii="宋体" w:hAnsi="宋体" w:cs="宋体"/>
                <w:kern w:val="0"/>
                <w:sz w:val="20"/>
                <w:szCs w:val="20"/>
              </w:rPr>
              <w:t>（二）政策性搬迁</w:t>
            </w:r>
          </w:p>
        </w:tc>
        <w:tc>
          <w:tcPr>
            <w:tcW w:w="1061" w:type="dxa"/>
            <w:noWrap w:val="0"/>
            <w:vAlign w:val="center"/>
          </w:tcPr>
          <w:p>
            <w:pPr>
              <w:widowControl/>
              <w:jc w:val="center"/>
              <w:rPr>
                <w:rFonts w:ascii="宋体"/>
                <w:kern w:val="0"/>
                <w:sz w:val="20"/>
                <w:szCs w:val="20"/>
              </w:rPr>
            </w:pPr>
            <w:r>
              <w:rPr>
                <w:rFonts w:ascii="宋体" w:hAnsi="宋体" w:cs="宋体"/>
                <w:kern w:val="0"/>
                <w:sz w:val="20"/>
                <w:szCs w:val="20"/>
              </w:rPr>
              <w:t>*</w:t>
            </w:r>
          </w:p>
        </w:tc>
        <w:tc>
          <w:tcPr>
            <w:tcW w:w="1026" w:type="dxa"/>
            <w:noWrap w:val="0"/>
            <w:vAlign w:val="center"/>
          </w:tcPr>
          <w:p>
            <w:pPr>
              <w:widowControl/>
              <w:jc w:val="center"/>
              <w:rPr>
                <w:rFonts w:ascii="宋体"/>
                <w:kern w:val="0"/>
                <w:sz w:val="20"/>
                <w:szCs w:val="20"/>
              </w:rPr>
            </w:pPr>
            <w:r>
              <w:rPr>
                <w:rFonts w:ascii="宋体" w:hAnsi="宋体" w:cs="宋体"/>
                <w:kern w:val="0"/>
                <w:sz w:val="20"/>
                <w:szCs w:val="20"/>
              </w:rPr>
              <w:t>*</w:t>
            </w:r>
          </w:p>
        </w:tc>
        <w:tc>
          <w:tcPr>
            <w:tcW w:w="1053" w:type="dxa"/>
            <w:noWrap w:val="0"/>
            <w:vAlign w:val="center"/>
          </w:tcPr>
          <w:p>
            <w:pPr>
              <w:widowControl/>
              <w:jc w:val="center"/>
              <w:rPr>
                <w:rFonts w:ascii="宋体"/>
                <w:kern w:val="0"/>
                <w:sz w:val="20"/>
                <w:szCs w:val="20"/>
              </w:rPr>
            </w:pPr>
          </w:p>
        </w:tc>
        <w:tc>
          <w:tcPr>
            <w:tcW w:w="1016" w:type="dxa"/>
            <w:noWrap w:val="0"/>
            <w:vAlign w:val="center"/>
          </w:tcPr>
          <w:p>
            <w:pPr>
              <w:widowControl/>
              <w:jc w:val="center"/>
              <w:rPr>
                <w:rFonts w:ascii="宋体"/>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61" w:hRule="exact"/>
          <w:jc w:val="center"/>
        </w:trPr>
        <w:tc>
          <w:tcPr>
            <w:tcW w:w="640" w:type="dxa"/>
            <w:noWrap w:val="0"/>
            <w:vAlign w:val="center"/>
          </w:tcPr>
          <w:p>
            <w:pPr>
              <w:widowControl/>
              <w:jc w:val="center"/>
              <w:rPr>
                <w:rFonts w:ascii="宋体"/>
                <w:kern w:val="0"/>
                <w:sz w:val="20"/>
                <w:szCs w:val="20"/>
              </w:rPr>
            </w:pPr>
            <w:r>
              <w:rPr>
                <w:rFonts w:ascii="宋体" w:hAnsi="宋体" w:cs="宋体"/>
                <w:kern w:val="0"/>
                <w:sz w:val="20"/>
                <w:szCs w:val="20"/>
              </w:rPr>
              <w:t>4</w:t>
            </w:r>
            <w:r>
              <w:rPr>
                <w:rFonts w:hint="eastAsia" w:ascii="宋体" w:hAnsi="宋体" w:cs="宋体"/>
                <w:kern w:val="0"/>
                <w:sz w:val="20"/>
                <w:szCs w:val="20"/>
              </w:rPr>
              <w:t>0</w:t>
            </w:r>
          </w:p>
        </w:tc>
        <w:tc>
          <w:tcPr>
            <w:tcW w:w="5582" w:type="dxa"/>
            <w:noWrap w:val="0"/>
            <w:vAlign w:val="center"/>
          </w:tcPr>
          <w:p>
            <w:pPr>
              <w:widowControl/>
              <w:ind w:firstLine="400" w:firstLineChars="200"/>
              <w:jc w:val="left"/>
              <w:rPr>
                <w:rFonts w:ascii="宋体"/>
                <w:kern w:val="0"/>
                <w:sz w:val="20"/>
                <w:szCs w:val="20"/>
              </w:rPr>
            </w:pPr>
            <w:r>
              <w:rPr>
                <w:rFonts w:hint="eastAsia" w:ascii="宋体" w:hAnsi="宋体" w:cs="宋体"/>
                <w:kern w:val="0"/>
                <w:sz w:val="20"/>
                <w:szCs w:val="20"/>
              </w:rPr>
              <w:t>（三）特殊行业准备金</w:t>
            </w:r>
          </w:p>
        </w:tc>
        <w:tc>
          <w:tcPr>
            <w:tcW w:w="1061" w:type="dxa"/>
            <w:noWrap w:val="0"/>
            <w:vAlign w:val="center"/>
          </w:tcPr>
          <w:p>
            <w:pPr>
              <w:widowControl/>
              <w:jc w:val="center"/>
              <w:rPr>
                <w:rFonts w:ascii="宋体"/>
                <w:kern w:val="0"/>
                <w:sz w:val="20"/>
                <w:szCs w:val="20"/>
              </w:rPr>
            </w:pPr>
          </w:p>
        </w:tc>
        <w:tc>
          <w:tcPr>
            <w:tcW w:w="1026" w:type="dxa"/>
            <w:noWrap w:val="0"/>
            <w:vAlign w:val="center"/>
          </w:tcPr>
          <w:p>
            <w:pPr>
              <w:widowControl/>
              <w:jc w:val="center"/>
              <w:rPr>
                <w:rFonts w:ascii="宋体"/>
                <w:kern w:val="0"/>
                <w:sz w:val="20"/>
                <w:szCs w:val="20"/>
              </w:rPr>
            </w:pPr>
          </w:p>
        </w:tc>
        <w:tc>
          <w:tcPr>
            <w:tcW w:w="1053" w:type="dxa"/>
            <w:noWrap w:val="0"/>
            <w:vAlign w:val="center"/>
          </w:tcPr>
          <w:p>
            <w:pPr>
              <w:widowControl/>
              <w:jc w:val="center"/>
              <w:rPr>
                <w:rFonts w:ascii="宋体"/>
                <w:kern w:val="0"/>
                <w:sz w:val="20"/>
                <w:szCs w:val="20"/>
              </w:rPr>
            </w:pPr>
          </w:p>
        </w:tc>
        <w:tc>
          <w:tcPr>
            <w:tcW w:w="1016" w:type="dxa"/>
            <w:noWrap w:val="0"/>
            <w:vAlign w:val="center"/>
          </w:tcPr>
          <w:p>
            <w:pPr>
              <w:widowControl/>
              <w:jc w:val="center"/>
              <w:rPr>
                <w:rFonts w:ascii="宋体"/>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61" w:hRule="exact"/>
          <w:jc w:val="center"/>
        </w:trPr>
        <w:tc>
          <w:tcPr>
            <w:tcW w:w="640" w:type="dxa"/>
            <w:noWrap w:val="0"/>
            <w:vAlign w:val="center"/>
          </w:tcPr>
          <w:p>
            <w:pPr>
              <w:widowControl/>
              <w:jc w:val="center"/>
              <w:rPr>
                <w:rFonts w:ascii="宋体"/>
                <w:kern w:val="0"/>
                <w:sz w:val="20"/>
                <w:szCs w:val="20"/>
              </w:rPr>
            </w:pPr>
            <w:r>
              <w:rPr>
                <w:rFonts w:ascii="宋体" w:hAnsi="宋体" w:cs="宋体"/>
                <w:kern w:val="0"/>
                <w:sz w:val="20"/>
                <w:szCs w:val="20"/>
              </w:rPr>
              <w:t>4</w:t>
            </w:r>
            <w:r>
              <w:rPr>
                <w:rFonts w:hint="eastAsia" w:ascii="宋体" w:hAnsi="宋体" w:cs="宋体"/>
                <w:kern w:val="0"/>
                <w:sz w:val="20"/>
                <w:szCs w:val="20"/>
              </w:rPr>
              <w:t>1</w:t>
            </w:r>
          </w:p>
        </w:tc>
        <w:tc>
          <w:tcPr>
            <w:tcW w:w="5582" w:type="dxa"/>
            <w:noWrap w:val="0"/>
            <w:vAlign w:val="center"/>
          </w:tcPr>
          <w:p>
            <w:pPr>
              <w:widowControl/>
              <w:ind w:firstLine="400" w:firstLineChars="200"/>
              <w:jc w:val="left"/>
              <w:rPr>
                <w:rFonts w:ascii="宋体"/>
                <w:kern w:val="0"/>
                <w:sz w:val="20"/>
                <w:szCs w:val="20"/>
              </w:rPr>
            </w:pPr>
            <w:r>
              <w:rPr>
                <w:rFonts w:hint="eastAsia" w:ascii="宋体" w:hAnsi="宋体" w:cs="宋体"/>
                <w:kern w:val="0"/>
                <w:sz w:val="20"/>
                <w:szCs w:val="20"/>
              </w:rPr>
              <w:t>（四）房地产开发企业特定业务计算的纳税调整额</w:t>
            </w:r>
          </w:p>
        </w:tc>
        <w:tc>
          <w:tcPr>
            <w:tcW w:w="1061" w:type="dxa"/>
            <w:noWrap w:val="0"/>
            <w:vAlign w:val="center"/>
          </w:tcPr>
          <w:p>
            <w:pPr>
              <w:widowControl/>
              <w:jc w:val="center"/>
              <w:rPr>
                <w:rFonts w:ascii="宋体"/>
                <w:kern w:val="0"/>
                <w:sz w:val="20"/>
                <w:szCs w:val="20"/>
              </w:rPr>
            </w:pPr>
            <w:r>
              <w:rPr>
                <w:rFonts w:ascii="宋体" w:hAnsi="宋体" w:cs="宋体"/>
                <w:kern w:val="0"/>
                <w:sz w:val="20"/>
                <w:szCs w:val="20"/>
              </w:rPr>
              <w:t>*</w:t>
            </w:r>
          </w:p>
        </w:tc>
        <w:tc>
          <w:tcPr>
            <w:tcW w:w="1026" w:type="dxa"/>
            <w:noWrap w:val="0"/>
            <w:vAlign w:val="center"/>
          </w:tcPr>
          <w:p>
            <w:pPr>
              <w:widowControl/>
              <w:jc w:val="center"/>
              <w:rPr>
                <w:rFonts w:ascii="宋体"/>
                <w:kern w:val="0"/>
                <w:sz w:val="20"/>
                <w:szCs w:val="20"/>
              </w:rPr>
            </w:pPr>
          </w:p>
        </w:tc>
        <w:tc>
          <w:tcPr>
            <w:tcW w:w="1053" w:type="dxa"/>
            <w:noWrap w:val="0"/>
            <w:vAlign w:val="center"/>
          </w:tcPr>
          <w:p>
            <w:pPr>
              <w:widowControl/>
              <w:jc w:val="center"/>
              <w:rPr>
                <w:rFonts w:ascii="宋体"/>
                <w:kern w:val="0"/>
                <w:sz w:val="20"/>
                <w:szCs w:val="20"/>
              </w:rPr>
            </w:pPr>
          </w:p>
        </w:tc>
        <w:tc>
          <w:tcPr>
            <w:tcW w:w="1016" w:type="dxa"/>
            <w:noWrap w:val="0"/>
            <w:vAlign w:val="center"/>
          </w:tcPr>
          <w:p>
            <w:pPr>
              <w:widowControl/>
              <w:jc w:val="center"/>
              <w:rPr>
                <w:rFonts w:ascii="宋体"/>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61" w:hRule="exact"/>
          <w:jc w:val="center"/>
        </w:trPr>
        <w:tc>
          <w:tcPr>
            <w:tcW w:w="640" w:type="dxa"/>
            <w:noWrap w:val="0"/>
            <w:vAlign w:val="center"/>
          </w:tcPr>
          <w:p>
            <w:pPr>
              <w:widowControl/>
              <w:jc w:val="center"/>
              <w:rPr>
                <w:rFonts w:ascii="宋体"/>
                <w:kern w:val="0"/>
                <w:sz w:val="20"/>
                <w:szCs w:val="20"/>
              </w:rPr>
            </w:pPr>
            <w:r>
              <w:rPr>
                <w:rFonts w:ascii="宋体" w:hAnsi="宋体" w:cs="宋体"/>
                <w:kern w:val="0"/>
                <w:sz w:val="20"/>
                <w:szCs w:val="20"/>
              </w:rPr>
              <w:t>4</w:t>
            </w:r>
            <w:r>
              <w:rPr>
                <w:rFonts w:hint="eastAsia" w:ascii="宋体" w:hAnsi="宋体" w:cs="宋体"/>
                <w:kern w:val="0"/>
                <w:sz w:val="20"/>
                <w:szCs w:val="20"/>
              </w:rPr>
              <w:t>2</w:t>
            </w:r>
          </w:p>
        </w:tc>
        <w:tc>
          <w:tcPr>
            <w:tcW w:w="5582" w:type="dxa"/>
            <w:noWrap w:val="0"/>
            <w:vAlign w:val="center"/>
          </w:tcPr>
          <w:p>
            <w:pPr>
              <w:widowControl/>
              <w:ind w:firstLine="400" w:firstLineChars="200"/>
              <w:jc w:val="left"/>
              <w:rPr>
                <w:rFonts w:ascii="宋体"/>
                <w:kern w:val="0"/>
                <w:sz w:val="20"/>
                <w:szCs w:val="20"/>
              </w:rPr>
            </w:pPr>
            <w:r>
              <w:rPr>
                <w:rFonts w:hint="eastAsia" w:ascii="宋体" w:hAnsi="宋体" w:cs="宋体"/>
                <w:kern w:val="0"/>
                <w:sz w:val="20"/>
                <w:szCs w:val="20"/>
              </w:rPr>
              <w:t>（五）合伙企业法人合伙人应分得的应纳税所得额</w:t>
            </w:r>
          </w:p>
        </w:tc>
        <w:tc>
          <w:tcPr>
            <w:tcW w:w="1061" w:type="dxa"/>
            <w:noWrap w:val="0"/>
            <w:vAlign w:val="center"/>
          </w:tcPr>
          <w:p>
            <w:pPr>
              <w:widowControl/>
              <w:jc w:val="center"/>
              <w:rPr>
                <w:rFonts w:ascii="宋体"/>
                <w:kern w:val="0"/>
                <w:sz w:val="20"/>
                <w:szCs w:val="20"/>
              </w:rPr>
            </w:pPr>
          </w:p>
        </w:tc>
        <w:tc>
          <w:tcPr>
            <w:tcW w:w="1026" w:type="dxa"/>
            <w:noWrap w:val="0"/>
            <w:vAlign w:val="center"/>
          </w:tcPr>
          <w:p>
            <w:pPr>
              <w:widowControl/>
              <w:jc w:val="center"/>
              <w:rPr>
                <w:rFonts w:ascii="宋体"/>
                <w:kern w:val="0"/>
                <w:sz w:val="20"/>
                <w:szCs w:val="20"/>
              </w:rPr>
            </w:pPr>
          </w:p>
        </w:tc>
        <w:tc>
          <w:tcPr>
            <w:tcW w:w="1053" w:type="dxa"/>
            <w:noWrap w:val="0"/>
            <w:vAlign w:val="center"/>
          </w:tcPr>
          <w:p>
            <w:pPr>
              <w:widowControl/>
              <w:jc w:val="center"/>
              <w:rPr>
                <w:rFonts w:ascii="宋体"/>
                <w:kern w:val="0"/>
                <w:sz w:val="20"/>
                <w:szCs w:val="20"/>
              </w:rPr>
            </w:pPr>
          </w:p>
        </w:tc>
        <w:tc>
          <w:tcPr>
            <w:tcW w:w="1016" w:type="dxa"/>
            <w:noWrap w:val="0"/>
            <w:vAlign w:val="center"/>
          </w:tcPr>
          <w:p>
            <w:pPr>
              <w:widowControl/>
              <w:jc w:val="center"/>
              <w:rPr>
                <w:rFonts w:ascii="宋体"/>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61" w:hRule="exact"/>
          <w:jc w:val="center"/>
        </w:trPr>
        <w:tc>
          <w:tcPr>
            <w:tcW w:w="640" w:type="dxa"/>
            <w:noWrap w:val="0"/>
            <w:vAlign w:val="center"/>
          </w:tcPr>
          <w:p>
            <w:pPr>
              <w:widowControl/>
              <w:jc w:val="center"/>
              <w:rPr>
                <w:rFonts w:ascii="宋体"/>
                <w:kern w:val="0"/>
                <w:sz w:val="20"/>
                <w:szCs w:val="20"/>
              </w:rPr>
            </w:pPr>
            <w:r>
              <w:rPr>
                <w:rFonts w:ascii="宋体" w:hAnsi="宋体" w:cs="宋体"/>
                <w:kern w:val="0"/>
                <w:sz w:val="20"/>
                <w:szCs w:val="20"/>
              </w:rPr>
              <w:t>4</w:t>
            </w:r>
            <w:r>
              <w:rPr>
                <w:rFonts w:hint="eastAsia" w:ascii="宋体" w:hAnsi="宋体" w:cs="宋体"/>
                <w:kern w:val="0"/>
                <w:sz w:val="20"/>
                <w:szCs w:val="20"/>
              </w:rPr>
              <w:t>3</w:t>
            </w:r>
          </w:p>
        </w:tc>
        <w:tc>
          <w:tcPr>
            <w:tcW w:w="5582" w:type="dxa"/>
            <w:noWrap w:val="0"/>
            <w:vAlign w:val="center"/>
          </w:tcPr>
          <w:p>
            <w:pPr>
              <w:widowControl/>
              <w:ind w:firstLine="400" w:firstLineChars="200"/>
              <w:jc w:val="left"/>
              <w:rPr>
                <w:rFonts w:ascii="宋体"/>
                <w:kern w:val="0"/>
                <w:sz w:val="20"/>
                <w:szCs w:val="20"/>
              </w:rPr>
            </w:pPr>
            <w:r>
              <w:rPr>
                <w:rFonts w:hint="eastAsia" w:ascii="宋体" w:hAnsi="宋体" w:cs="宋体"/>
                <w:kern w:val="0"/>
                <w:sz w:val="20"/>
                <w:szCs w:val="20"/>
              </w:rPr>
              <w:t>（六）其他</w:t>
            </w:r>
          </w:p>
        </w:tc>
        <w:tc>
          <w:tcPr>
            <w:tcW w:w="1061" w:type="dxa"/>
            <w:noWrap w:val="0"/>
            <w:vAlign w:val="center"/>
          </w:tcPr>
          <w:p>
            <w:pPr>
              <w:widowControl/>
              <w:jc w:val="center"/>
              <w:rPr>
                <w:rFonts w:ascii="宋体"/>
                <w:kern w:val="0"/>
                <w:sz w:val="20"/>
                <w:szCs w:val="20"/>
              </w:rPr>
            </w:pPr>
            <w:r>
              <w:rPr>
                <w:rFonts w:ascii="宋体" w:hAnsi="宋体" w:cs="宋体"/>
                <w:kern w:val="0"/>
                <w:sz w:val="20"/>
                <w:szCs w:val="20"/>
              </w:rPr>
              <w:t>*</w:t>
            </w:r>
          </w:p>
        </w:tc>
        <w:tc>
          <w:tcPr>
            <w:tcW w:w="1026" w:type="dxa"/>
            <w:noWrap w:val="0"/>
            <w:vAlign w:val="center"/>
          </w:tcPr>
          <w:p>
            <w:pPr>
              <w:widowControl/>
              <w:jc w:val="center"/>
              <w:rPr>
                <w:rFonts w:ascii="宋体"/>
                <w:kern w:val="0"/>
                <w:sz w:val="20"/>
                <w:szCs w:val="20"/>
              </w:rPr>
            </w:pPr>
            <w:r>
              <w:rPr>
                <w:rFonts w:ascii="宋体" w:hAnsi="宋体" w:cs="宋体"/>
                <w:kern w:val="0"/>
                <w:sz w:val="20"/>
                <w:szCs w:val="20"/>
              </w:rPr>
              <w:t>*</w:t>
            </w:r>
          </w:p>
        </w:tc>
        <w:tc>
          <w:tcPr>
            <w:tcW w:w="1053" w:type="dxa"/>
            <w:noWrap w:val="0"/>
            <w:vAlign w:val="center"/>
          </w:tcPr>
          <w:p>
            <w:pPr>
              <w:widowControl/>
              <w:jc w:val="center"/>
              <w:rPr>
                <w:rFonts w:ascii="宋体"/>
                <w:kern w:val="0"/>
                <w:sz w:val="20"/>
                <w:szCs w:val="20"/>
              </w:rPr>
            </w:pPr>
          </w:p>
        </w:tc>
        <w:tc>
          <w:tcPr>
            <w:tcW w:w="1016" w:type="dxa"/>
            <w:noWrap w:val="0"/>
            <w:vAlign w:val="center"/>
          </w:tcPr>
          <w:p>
            <w:pPr>
              <w:widowControl/>
              <w:jc w:val="center"/>
              <w:rPr>
                <w:rFonts w:ascii="宋体"/>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61" w:hRule="exact"/>
          <w:jc w:val="center"/>
        </w:trPr>
        <w:tc>
          <w:tcPr>
            <w:tcW w:w="640" w:type="dxa"/>
            <w:noWrap w:val="0"/>
            <w:vAlign w:val="center"/>
          </w:tcPr>
          <w:p>
            <w:pPr>
              <w:widowControl/>
              <w:jc w:val="center"/>
              <w:rPr>
                <w:rFonts w:ascii="宋体"/>
                <w:kern w:val="0"/>
                <w:sz w:val="20"/>
                <w:szCs w:val="20"/>
              </w:rPr>
            </w:pPr>
            <w:r>
              <w:rPr>
                <w:rFonts w:ascii="宋体" w:hAnsi="宋体" w:cs="宋体"/>
                <w:kern w:val="0"/>
                <w:sz w:val="20"/>
                <w:szCs w:val="20"/>
              </w:rPr>
              <w:t>4</w:t>
            </w:r>
            <w:r>
              <w:rPr>
                <w:rFonts w:hint="eastAsia" w:ascii="宋体" w:hAnsi="宋体" w:cs="宋体"/>
                <w:kern w:val="0"/>
                <w:sz w:val="20"/>
                <w:szCs w:val="20"/>
              </w:rPr>
              <w:t>4</w:t>
            </w:r>
          </w:p>
        </w:tc>
        <w:tc>
          <w:tcPr>
            <w:tcW w:w="5582" w:type="dxa"/>
            <w:noWrap w:val="0"/>
            <w:vAlign w:val="center"/>
          </w:tcPr>
          <w:p>
            <w:pPr>
              <w:widowControl/>
              <w:jc w:val="left"/>
              <w:rPr>
                <w:rFonts w:ascii="宋体"/>
                <w:kern w:val="0"/>
                <w:sz w:val="20"/>
                <w:szCs w:val="20"/>
              </w:rPr>
            </w:pPr>
            <w:r>
              <w:rPr>
                <w:rFonts w:hint="eastAsia" w:ascii="宋体" w:hAnsi="宋体" w:cs="宋体"/>
                <w:kern w:val="0"/>
                <w:sz w:val="20"/>
                <w:szCs w:val="20"/>
              </w:rPr>
              <w:t>五、特别纳税调整应税所得</w:t>
            </w:r>
          </w:p>
        </w:tc>
        <w:tc>
          <w:tcPr>
            <w:tcW w:w="1061" w:type="dxa"/>
            <w:noWrap w:val="0"/>
            <w:vAlign w:val="center"/>
          </w:tcPr>
          <w:p>
            <w:pPr>
              <w:widowControl/>
              <w:jc w:val="center"/>
              <w:rPr>
                <w:rFonts w:ascii="宋体"/>
                <w:kern w:val="0"/>
                <w:sz w:val="20"/>
                <w:szCs w:val="20"/>
              </w:rPr>
            </w:pPr>
            <w:r>
              <w:rPr>
                <w:rFonts w:ascii="宋体" w:hAnsi="宋体" w:cs="宋体"/>
                <w:kern w:val="0"/>
                <w:sz w:val="20"/>
                <w:szCs w:val="20"/>
              </w:rPr>
              <w:t>*</w:t>
            </w:r>
          </w:p>
        </w:tc>
        <w:tc>
          <w:tcPr>
            <w:tcW w:w="1026" w:type="dxa"/>
            <w:noWrap w:val="0"/>
            <w:vAlign w:val="center"/>
          </w:tcPr>
          <w:p>
            <w:pPr>
              <w:widowControl/>
              <w:jc w:val="center"/>
              <w:rPr>
                <w:rFonts w:ascii="宋体"/>
                <w:kern w:val="0"/>
                <w:sz w:val="20"/>
                <w:szCs w:val="20"/>
              </w:rPr>
            </w:pPr>
            <w:r>
              <w:rPr>
                <w:rFonts w:ascii="宋体" w:hAnsi="宋体" w:cs="宋体"/>
                <w:kern w:val="0"/>
                <w:sz w:val="20"/>
                <w:szCs w:val="20"/>
              </w:rPr>
              <w:t>*</w:t>
            </w:r>
          </w:p>
        </w:tc>
        <w:tc>
          <w:tcPr>
            <w:tcW w:w="1053" w:type="dxa"/>
            <w:noWrap w:val="0"/>
            <w:vAlign w:val="center"/>
          </w:tcPr>
          <w:p>
            <w:pPr>
              <w:widowControl/>
              <w:jc w:val="center"/>
              <w:rPr>
                <w:rFonts w:ascii="宋体"/>
                <w:kern w:val="0"/>
                <w:sz w:val="20"/>
                <w:szCs w:val="20"/>
              </w:rPr>
            </w:pPr>
          </w:p>
        </w:tc>
        <w:tc>
          <w:tcPr>
            <w:tcW w:w="1016" w:type="dxa"/>
            <w:noWrap w:val="0"/>
            <w:vAlign w:val="center"/>
          </w:tcPr>
          <w:p>
            <w:pPr>
              <w:widowControl/>
              <w:jc w:val="center"/>
              <w:rPr>
                <w:rFonts w:ascii="宋体"/>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61" w:hRule="exact"/>
          <w:jc w:val="center"/>
        </w:trPr>
        <w:tc>
          <w:tcPr>
            <w:tcW w:w="640" w:type="dxa"/>
            <w:noWrap w:val="0"/>
            <w:vAlign w:val="center"/>
          </w:tcPr>
          <w:p>
            <w:pPr>
              <w:widowControl/>
              <w:jc w:val="center"/>
              <w:rPr>
                <w:rFonts w:ascii="宋体"/>
                <w:kern w:val="0"/>
                <w:sz w:val="20"/>
                <w:szCs w:val="20"/>
              </w:rPr>
            </w:pPr>
            <w:r>
              <w:rPr>
                <w:rFonts w:ascii="宋体" w:hAnsi="宋体" w:cs="宋体"/>
                <w:kern w:val="0"/>
                <w:sz w:val="20"/>
                <w:szCs w:val="20"/>
              </w:rPr>
              <w:t>4</w:t>
            </w:r>
            <w:r>
              <w:rPr>
                <w:rFonts w:hint="eastAsia" w:ascii="宋体" w:hAnsi="宋体" w:cs="宋体"/>
                <w:kern w:val="0"/>
                <w:sz w:val="20"/>
                <w:szCs w:val="20"/>
              </w:rPr>
              <w:t>5</w:t>
            </w:r>
          </w:p>
        </w:tc>
        <w:tc>
          <w:tcPr>
            <w:tcW w:w="5582" w:type="dxa"/>
            <w:noWrap w:val="0"/>
            <w:vAlign w:val="center"/>
          </w:tcPr>
          <w:p>
            <w:pPr>
              <w:widowControl/>
              <w:jc w:val="left"/>
              <w:rPr>
                <w:rFonts w:ascii="宋体"/>
                <w:kern w:val="0"/>
                <w:sz w:val="20"/>
                <w:szCs w:val="20"/>
              </w:rPr>
            </w:pPr>
            <w:r>
              <w:rPr>
                <w:rFonts w:hint="eastAsia" w:ascii="宋体" w:hAnsi="宋体" w:cs="宋体"/>
                <w:kern w:val="0"/>
                <w:sz w:val="20"/>
                <w:szCs w:val="20"/>
              </w:rPr>
              <w:t>六、其他</w:t>
            </w:r>
          </w:p>
        </w:tc>
        <w:tc>
          <w:tcPr>
            <w:tcW w:w="1061" w:type="dxa"/>
            <w:noWrap w:val="0"/>
            <w:vAlign w:val="center"/>
          </w:tcPr>
          <w:p>
            <w:pPr>
              <w:widowControl/>
              <w:jc w:val="center"/>
              <w:rPr>
                <w:rFonts w:ascii="宋体"/>
                <w:kern w:val="0"/>
                <w:sz w:val="20"/>
                <w:szCs w:val="20"/>
              </w:rPr>
            </w:pPr>
            <w:r>
              <w:rPr>
                <w:rFonts w:ascii="宋体" w:hAnsi="宋体" w:cs="宋体"/>
                <w:kern w:val="0"/>
                <w:sz w:val="20"/>
                <w:szCs w:val="20"/>
              </w:rPr>
              <w:t>*</w:t>
            </w:r>
          </w:p>
        </w:tc>
        <w:tc>
          <w:tcPr>
            <w:tcW w:w="1026" w:type="dxa"/>
            <w:noWrap w:val="0"/>
            <w:vAlign w:val="center"/>
          </w:tcPr>
          <w:p>
            <w:pPr>
              <w:widowControl/>
              <w:jc w:val="center"/>
              <w:rPr>
                <w:rFonts w:ascii="宋体"/>
                <w:kern w:val="0"/>
                <w:sz w:val="20"/>
                <w:szCs w:val="20"/>
              </w:rPr>
            </w:pPr>
            <w:r>
              <w:rPr>
                <w:rFonts w:ascii="宋体" w:hAnsi="宋体" w:cs="宋体"/>
                <w:kern w:val="0"/>
                <w:sz w:val="20"/>
                <w:szCs w:val="20"/>
              </w:rPr>
              <w:t>*</w:t>
            </w:r>
          </w:p>
        </w:tc>
        <w:tc>
          <w:tcPr>
            <w:tcW w:w="1053" w:type="dxa"/>
            <w:noWrap w:val="0"/>
            <w:vAlign w:val="center"/>
          </w:tcPr>
          <w:p>
            <w:pPr>
              <w:widowControl/>
              <w:jc w:val="center"/>
              <w:rPr>
                <w:rFonts w:ascii="宋体"/>
                <w:kern w:val="0"/>
                <w:sz w:val="20"/>
                <w:szCs w:val="20"/>
              </w:rPr>
            </w:pPr>
          </w:p>
        </w:tc>
        <w:tc>
          <w:tcPr>
            <w:tcW w:w="1016" w:type="dxa"/>
            <w:noWrap w:val="0"/>
            <w:vAlign w:val="center"/>
          </w:tcPr>
          <w:p>
            <w:pPr>
              <w:widowControl/>
              <w:jc w:val="center"/>
              <w:rPr>
                <w:rFonts w:ascii="宋体"/>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61" w:hRule="exact"/>
          <w:jc w:val="center"/>
        </w:trPr>
        <w:tc>
          <w:tcPr>
            <w:tcW w:w="640" w:type="dxa"/>
            <w:tcBorders>
              <w:bottom w:val="single" w:color="auto" w:sz="12" w:space="0"/>
            </w:tcBorders>
            <w:noWrap w:val="0"/>
            <w:vAlign w:val="center"/>
          </w:tcPr>
          <w:p>
            <w:pPr>
              <w:widowControl/>
              <w:jc w:val="center"/>
              <w:rPr>
                <w:rFonts w:ascii="宋体"/>
                <w:kern w:val="0"/>
                <w:sz w:val="20"/>
                <w:szCs w:val="20"/>
              </w:rPr>
            </w:pPr>
            <w:r>
              <w:rPr>
                <w:rFonts w:ascii="宋体" w:hAnsi="宋体" w:cs="宋体"/>
                <w:kern w:val="0"/>
                <w:sz w:val="20"/>
                <w:szCs w:val="20"/>
              </w:rPr>
              <w:t>4</w:t>
            </w:r>
            <w:r>
              <w:rPr>
                <w:rFonts w:hint="eastAsia" w:ascii="宋体" w:hAnsi="宋体" w:cs="宋体"/>
                <w:kern w:val="0"/>
                <w:sz w:val="20"/>
                <w:szCs w:val="20"/>
              </w:rPr>
              <w:t>6</w:t>
            </w:r>
          </w:p>
        </w:tc>
        <w:tc>
          <w:tcPr>
            <w:tcW w:w="5582" w:type="dxa"/>
            <w:tcBorders>
              <w:bottom w:val="single" w:color="auto" w:sz="12" w:space="0"/>
            </w:tcBorders>
            <w:noWrap w:val="0"/>
            <w:vAlign w:val="center"/>
          </w:tcPr>
          <w:p>
            <w:pPr>
              <w:widowControl/>
              <w:jc w:val="left"/>
              <w:rPr>
                <w:rFonts w:ascii="宋体"/>
                <w:kern w:val="0"/>
                <w:sz w:val="20"/>
                <w:szCs w:val="20"/>
              </w:rPr>
            </w:pPr>
            <w:r>
              <w:rPr>
                <w:rFonts w:hint="eastAsia" w:ascii="宋体" w:hAnsi="宋体" w:cs="宋体"/>
                <w:kern w:val="0"/>
                <w:sz w:val="20"/>
                <w:szCs w:val="20"/>
              </w:rPr>
              <w:t>合计（</w:t>
            </w:r>
            <w:r>
              <w:rPr>
                <w:rFonts w:ascii="宋体" w:hAnsi="宋体" w:cs="宋体"/>
                <w:kern w:val="0"/>
                <w:sz w:val="20"/>
                <w:szCs w:val="20"/>
              </w:rPr>
              <w:t>1+11+3</w:t>
            </w:r>
            <w:r>
              <w:rPr>
                <w:rFonts w:hint="eastAsia" w:ascii="宋体" w:hAnsi="宋体" w:cs="宋体"/>
                <w:kern w:val="0"/>
                <w:sz w:val="20"/>
                <w:szCs w:val="20"/>
              </w:rPr>
              <w:t>1</w:t>
            </w:r>
            <w:r>
              <w:rPr>
                <w:rFonts w:ascii="宋体" w:hAnsi="宋体" w:cs="宋体"/>
                <w:kern w:val="0"/>
                <w:sz w:val="20"/>
                <w:szCs w:val="20"/>
              </w:rPr>
              <w:t>+3</w:t>
            </w:r>
            <w:r>
              <w:rPr>
                <w:rFonts w:hint="eastAsia" w:ascii="宋体" w:hAnsi="宋体" w:cs="宋体"/>
                <w:kern w:val="0"/>
                <w:sz w:val="20"/>
                <w:szCs w:val="20"/>
              </w:rPr>
              <w:t>7</w:t>
            </w:r>
            <w:r>
              <w:rPr>
                <w:rFonts w:ascii="宋体" w:hAnsi="宋体" w:cs="宋体"/>
                <w:kern w:val="0"/>
                <w:sz w:val="20"/>
                <w:szCs w:val="20"/>
              </w:rPr>
              <w:t>+4</w:t>
            </w:r>
            <w:r>
              <w:rPr>
                <w:rFonts w:hint="eastAsia" w:ascii="宋体" w:hAnsi="宋体" w:cs="宋体"/>
                <w:kern w:val="0"/>
                <w:sz w:val="20"/>
                <w:szCs w:val="20"/>
              </w:rPr>
              <w:t>4</w:t>
            </w:r>
            <w:r>
              <w:rPr>
                <w:rFonts w:ascii="宋体" w:hAnsi="宋体" w:cs="宋体"/>
                <w:kern w:val="0"/>
                <w:sz w:val="20"/>
                <w:szCs w:val="20"/>
              </w:rPr>
              <w:t>+4</w:t>
            </w:r>
            <w:r>
              <w:rPr>
                <w:rFonts w:hint="eastAsia" w:ascii="宋体" w:hAnsi="宋体" w:cs="宋体"/>
                <w:kern w:val="0"/>
                <w:sz w:val="20"/>
                <w:szCs w:val="20"/>
              </w:rPr>
              <w:t>5）</w:t>
            </w:r>
          </w:p>
        </w:tc>
        <w:tc>
          <w:tcPr>
            <w:tcW w:w="1061" w:type="dxa"/>
            <w:tcBorders>
              <w:bottom w:val="single" w:color="auto" w:sz="12" w:space="0"/>
            </w:tcBorders>
            <w:noWrap w:val="0"/>
            <w:vAlign w:val="center"/>
          </w:tcPr>
          <w:p>
            <w:pPr>
              <w:widowControl/>
              <w:jc w:val="center"/>
              <w:rPr>
                <w:rFonts w:ascii="宋体"/>
                <w:kern w:val="0"/>
                <w:sz w:val="20"/>
                <w:szCs w:val="20"/>
              </w:rPr>
            </w:pPr>
            <w:r>
              <w:rPr>
                <w:rFonts w:ascii="宋体" w:hAnsi="宋体" w:cs="宋体"/>
                <w:kern w:val="0"/>
                <w:sz w:val="20"/>
                <w:szCs w:val="20"/>
              </w:rPr>
              <w:t>*</w:t>
            </w:r>
          </w:p>
        </w:tc>
        <w:tc>
          <w:tcPr>
            <w:tcW w:w="1026" w:type="dxa"/>
            <w:tcBorders>
              <w:bottom w:val="single" w:color="auto" w:sz="12" w:space="0"/>
            </w:tcBorders>
            <w:noWrap w:val="0"/>
            <w:vAlign w:val="center"/>
          </w:tcPr>
          <w:p>
            <w:pPr>
              <w:widowControl/>
              <w:jc w:val="center"/>
              <w:rPr>
                <w:rFonts w:ascii="宋体"/>
                <w:kern w:val="0"/>
                <w:sz w:val="20"/>
                <w:szCs w:val="20"/>
              </w:rPr>
            </w:pPr>
            <w:r>
              <w:rPr>
                <w:rFonts w:ascii="宋体" w:hAnsi="宋体" w:cs="宋体"/>
                <w:kern w:val="0"/>
                <w:sz w:val="20"/>
                <w:szCs w:val="20"/>
              </w:rPr>
              <w:t>*</w:t>
            </w:r>
          </w:p>
        </w:tc>
        <w:tc>
          <w:tcPr>
            <w:tcW w:w="1053" w:type="dxa"/>
            <w:tcBorders>
              <w:bottom w:val="single" w:color="auto" w:sz="12" w:space="0"/>
            </w:tcBorders>
            <w:noWrap w:val="0"/>
            <w:vAlign w:val="center"/>
          </w:tcPr>
          <w:p>
            <w:pPr>
              <w:widowControl/>
              <w:jc w:val="center"/>
              <w:rPr>
                <w:rFonts w:ascii="宋体"/>
                <w:kern w:val="0"/>
                <w:sz w:val="20"/>
                <w:szCs w:val="20"/>
              </w:rPr>
            </w:pPr>
          </w:p>
        </w:tc>
        <w:tc>
          <w:tcPr>
            <w:tcW w:w="1016" w:type="dxa"/>
            <w:tcBorders>
              <w:bottom w:val="single" w:color="auto" w:sz="12" w:space="0"/>
            </w:tcBorders>
            <w:noWrap w:val="0"/>
            <w:vAlign w:val="center"/>
          </w:tcPr>
          <w:p>
            <w:pPr>
              <w:widowControl/>
              <w:jc w:val="center"/>
              <w:rPr>
                <w:rFonts w:ascii="宋体"/>
                <w:kern w:val="0"/>
                <w:sz w:val="20"/>
                <w:szCs w:val="20"/>
              </w:rPr>
            </w:pPr>
          </w:p>
        </w:tc>
      </w:tr>
    </w:tbl>
    <w:p>
      <w:pPr>
        <w:widowControl/>
        <w:wordWrap w:val="0"/>
        <w:jc w:val="right"/>
        <w:rPr>
          <w:sz w:val="20"/>
          <w:szCs w:val="20"/>
        </w:rPr>
        <w:sectPr>
          <w:headerReference r:id="rId4" w:type="first"/>
          <w:footerReference r:id="rId6" w:type="first"/>
          <w:headerReference r:id="rId3" w:type="default"/>
          <w:footerReference r:id="rId5" w:type="default"/>
          <w:pgSz w:w="11906" w:h="16838"/>
          <w:pgMar w:top="1134" w:right="1361" w:bottom="1134" w:left="1361" w:header="851" w:footer="992" w:gutter="0"/>
          <w:pgNumType w:fmt="numberInDash"/>
          <w:cols w:space="720" w:num="1"/>
          <w:titlePg/>
          <w:docGrid w:linePitch="312" w:charSpace="0"/>
        </w:sectPr>
      </w:pPr>
      <w:r>
        <w:rPr>
          <w:sz w:val="20"/>
          <w:szCs w:val="20"/>
        </w:rPr>
        <w:t xml:space="preserve">   </w:t>
      </w:r>
      <w:r>
        <w:rPr>
          <w:rFonts w:hint="eastAsia"/>
          <w:sz w:val="20"/>
          <w:szCs w:val="20"/>
        </w:rPr>
        <w:t>国家税务总局监制</w:t>
      </w:r>
    </w:p>
    <w:p>
      <w:pPr>
        <w:widowControl/>
        <w:adjustRightInd w:val="0"/>
        <w:snapToGrid w:val="0"/>
        <w:ind w:firstLine="420" w:firstLineChars="200"/>
        <w:jc w:val="left"/>
        <w:rPr>
          <w:rFonts w:ascii="宋体" w:hAnsi="宋体" w:cs="MS Mincho"/>
          <w:kern w:val="0"/>
          <w:szCs w:val="21"/>
        </w:rPr>
      </w:pPr>
      <w:r>
        <w:rPr>
          <w:rFonts w:hint="eastAsia"/>
          <w:color w:val="000000"/>
        </w:rPr>
        <w:t>【表单说明】</w:t>
      </w:r>
    </w:p>
    <w:p>
      <w:pPr>
        <w:widowControl/>
        <w:adjustRightInd w:val="0"/>
        <w:snapToGrid w:val="0"/>
        <w:ind w:firstLine="420" w:firstLineChars="200"/>
        <w:jc w:val="left"/>
        <w:rPr>
          <w:rFonts w:hint="eastAsia" w:ascii="宋体" w:hAnsi="宋体" w:cs="MS Mincho"/>
          <w:kern w:val="0"/>
          <w:szCs w:val="21"/>
        </w:rPr>
      </w:pPr>
      <w:r>
        <w:rPr>
          <w:rFonts w:hint="eastAsia" w:ascii="宋体" w:hAnsi="宋体" w:cs="MS Mincho"/>
          <w:kern w:val="0"/>
          <w:szCs w:val="21"/>
        </w:rPr>
        <w:t>一、适用范围</w:t>
      </w:r>
    </w:p>
    <w:p>
      <w:pPr>
        <w:widowControl/>
        <w:adjustRightInd w:val="0"/>
        <w:snapToGrid w:val="0"/>
        <w:ind w:firstLine="420" w:firstLineChars="200"/>
        <w:jc w:val="left"/>
        <w:rPr>
          <w:rFonts w:hint="eastAsia" w:ascii="宋体" w:hAnsi="宋体" w:cs="MS Mincho"/>
          <w:kern w:val="0"/>
          <w:szCs w:val="21"/>
        </w:rPr>
      </w:pPr>
      <w:r>
        <w:rPr>
          <w:rFonts w:hint="eastAsia" w:ascii="宋体" w:hAnsi="宋体" w:cs="MS Mincho"/>
          <w:kern w:val="0"/>
          <w:szCs w:val="21"/>
        </w:rPr>
        <w:t>本表为《中华人民共和国非居民企业所得税年度纳税申报表（2019年版）》(表F200)的附表，由纳税人根据税法、相关税收规定以及国家统一会计制度的规定，填报企业所得税涉税事项的会计处理与税务处理的差异以及纳税调整情况。</w:t>
      </w:r>
    </w:p>
    <w:p>
      <w:pPr>
        <w:widowControl/>
        <w:adjustRightInd w:val="0"/>
        <w:snapToGrid w:val="0"/>
        <w:ind w:firstLine="420" w:firstLineChars="200"/>
        <w:jc w:val="left"/>
        <w:rPr>
          <w:rFonts w:hint="eastAsia" w:ascii="宋体" w:hAnsi="宋体" w:cs="MS Mincho"/>
          <w:kern w:val="0"/>
          <w:szCs w:val="21"/>
        </w:rPr>
      </w:pPr>
      <w:r>
        <w:rPr>
          <w:rFonts w:hint="eastAsia" w:ascii="宋体" w:hAnsi="宋体" w:cs="MS Mincho"/>
          <w:kern w:val="0"/>
          <w:szCs w:val="21"/>
        </w:rPr>
        <w:t>二、有关项目填报说明</w:t>
      </w:r>
    </w:p>
    <w:p>
      <w:pPr>
        <w:widowControl/>
        <w:adjustRightInd w:val="0"/>
        <w:snapToGrid w:val="0"/>
        <w:ind w:firstLine="420" w:firstLineChars="200"/>
        <w:jc w:val="left"/>
        <w:rPr>
          <w:rFonts w:hint="eastAsia" w:ascii="宋体" w:hAnsi="宋体" w:cs="MS Mincho"/>
          <w:kern w:val="0"/>
          <w:szCs w:val="21"/>
        </w:rPr>
      </w:pPr>
      <w:r>
        <w:rPr>
          <w:rFonts w:hint="eastAsia" w:ascii="宋体" w:hAnsi="宋体" w:cs="MS Mincho"/>
          <w:kern w:val="0"/>
          <w:szCs w:val="21"/>
        </w:rPr>
        <w:t>本表纳税调整项目按照“收入类调整项目”“扣除类调整项目”“资产类调整项目”“特殊事项调整项目”“特别纳税调整应税所得”“其他”六大项分类填报汇总，并计算出纳税“调增数额”和“调减数额”的合计数额。</w:t>
      </w:r>
    </w:p>
    <w:p>
      <w:pPr>
        <w:widowControl/>
        <w:adjustRightInd w:val="0"/>
        <w:snapToGrid w:val="0"/>
        <w:ind w:firstLine="420" w:firstLineChars="200"/>
        <w:jc w:val="left"/>
        <w:rPr>
          <w:rFonts w:hint="eastAsia" w:ascii="宋体" w:hAnsi="宋体" w:cs="MS Mincho"/>
          <w:kern w:val="0"/>
          <w:szCs w:val="21"/>
        </w:rPr>
      </w:pPr>
      <w:r>
        <w:rPr>
          <w:rFonts w:hint="eastAsia" w:ascii="宋体" w:hAnsi="宋体" w:cs="MS Mincho"/>
          <w:kern w:val="0"/>
          <w:szCs w:val="21"/>
        </w:rPr>
        <w:t>数据栏分别设置“账载数额”“税收数额”“调增数额”“调减数额”四个栏次。“账载数额”是指纳税人按照国家统一会计制度规定核算的项目数额。“税收数额”是指纳税人按照税收规定（含有关以前年度金额结转的规定）计算的项目数额。</w:t>
      </w:r>
    </w:p>
    <w:p>
      <w:pPr>
        <w:widowControl/>
        <w:adjustRightInd w:val="0"/>
        <w:snapToGrid w:val="0"/>
        <w:ind w:firstLine="420" w:firstLineChars="200"/>
        <w:jc w:val="left"/>
        <w:rPr>
          <w:rFonts w:hint="eastAsia" w:ascii="宋体" w:hAnsi="宋体" w:cs="MS Mincho"/>
          <w:kern w:val="0"/>
          <w:szCs w:val="21"/>
        </w:rPr>
      </w:pPr>
      <w:r>
        <w:rPr>
          <w:rFonts w:hint="eastAsia" w:ascii="宋体" w:hAnsi="宋体" w:cs="MS Mincho"/>
          <w:kern w:val="0"/>
          <w:szCs w:val="21"/>
        </w:rPr>
        <w:t>（一）收入类调整项目</w:t>
      </w:r>
    </w:p>
    <w:p>
      <w:pPr>
        <w:widowControl/>
        <w:adjustRightInd w:val="0"/>
        <w:snapToGrid w:val="0"/>
        <w:ind w:firstLine="420" w:firstLineChars="200"/>
        <w:jc w:val="left"/>
        <w:rPr>
          <w:rFonts w:hint="eastAsia" w:ascii="宋体" w:hAnsi="宋体" w:cs="MS Mincho"/>
          <w:kern w:val="0"/>
          <w:szCs w:val="21"/>
        </w:rPr>
      </w:pPr>
      <w:r>
        <w:rPr>
          <w:rFonts w:hint="eastAsia" w:ascii="宋体" w:hAnsi="宋体" w:cs="MS Mincho"/>
          <w:kern w:val="0"/>
          <w:szCs w:val="21"/>
        </w:rPr>
        <w:t>1.第1行“一、收入类调整项目”：根据第2行至第10行进行填报。</w:t>
      </w:r>
    </w:p>
    <w:p>
      <w:pPr>
        <w:widowControl/>
        <w:adjustRightInd w:val="0"/>
        <w:snapToGrid w:val="0"/>
        <w:ind w:firstLine="420" w:firstLineChars="200"/>
        <w:jc w:val="left"/>
        <w:rPr>
          <w:rFonts w:hint="eastAsia" w:ascii="宋体" w:hAnsi="宋体" w:cs="MS Mincho"/>
          <w:kern w:val="0"/>
          <w:szCs w:val="21"/>
        </w:rPr>
      </w:pPr>
      <w:r>
        <w:rPr>
          <w:rFonts w:hint="eastAsia" w:ascii="宋体" w:hAnsi="宋体" w:cs="MS Mincho"/>
          <w:kern w:val="0"/>
          <w:szCs w:val="21"/>
        </w:rPr>
        <w:t>2.第2行“（一）视同销售收入”：填报会计处理不确认销售收入，而税收规定确认为应税收入的数额。第2列“税收数额”填报税收确认的应税收入数额；第3列“调增数额”等于第2列“税收数额”。</w:t>
      </w:r>
    </w:p>
    <w:p>
      <w:pPr>
        <w:widowControl/>
        <w:adjustRightInd w:val="0"/>
        <w:snapToGrid w:val="0"/>
        <w:ind w:firstLine="420" w:firstLineChars="200"/>
        <w:jc w:val="left"/>
        <w:rPr>
          <w:rFonts w:hint="eastAsia" w:ascii="宋体" w:hAnsi="宋体" w:cs="MS Mincho"/>
          <w:kern w:val="0"/>
          <w:szCs w:val="21"/>
        </w:rPr>
      </w:pPr>
      <w:r>
        <w:rPr>
          <w:rFonts w:hint="eastAsia" w:ascii="宋体" w:hAnsi="宋体" w:cs="MS Mincho"/>
          <w:kern w:val="0"/>
          <w:szCs w:val="21"/>
        </w:rPr>
        <w:t>3.第3行“（二）未按权责发生制原则确认的收入”：填报会计上按照权责发生制原则确认收入，计税时按照收付实现制确认的收入，若第2列≥第1列，将第2-1列的余额填入本行第3列“调增数额”；若第2列＜第1列，将第2-1列余额的绝对值填入本行第4列“调减数额”。</w:t>
      </w:r>
    </w:p>
    <w:p>
      <w:pPr>
        <w:widowControl/>
        <w:adjustRightInd w:val="0"/>
        <w:snapToGrid w:val="0"/>
        <w:ind w:firstLine="420" w:firstLineChars="200"/>
        <w:jc w:val="left"/>
        <w:rPr>
          <w:rFonts w:hint="eastAsia" w:ascii="宋体" w:hAnsi="宋体" w:cs="MS Mincho"/>
          <w:kern w:val="0"/>
          <w:szCs w:val="21"/>
        </w:rPr>
      </w:pPr>
      <w:r>
        <w:rPr>
          <w:rFonts w:hint="eastAsia" w:ascii="宋体" w:hAnsi="宋体" w:cs="MS Mincho"/>
          <w:kern w:val="0"/>
          <w:szCs w:val="21"/>
        </w:rPr>
        <w:t>4.第4行“（三）投资收益”：根据税法、相关税收规定以及国家统一企业会计制度，填报纳税调整情况。若第2列≥第1列，将第2-1列的余额填入本行第3列“调增数额”；若第2列＜第1列，将第2-1列余额的绝对值填入本行第4列“调减数额”。</w:t>
      </w:r>
    </w:p>
    <w:p>
      <w:pPr>
        <w:widowControl/>
        <w:adjustRightInd w:val="0"/>
        <w:snapToGrid w:val="0"/>
        <w:ind w:firstLine="420" w:firstLineChars="200"/>
        <w:jc w:val="left"/>
        <w:rPr>
          <w:rFonts w:hint="eastAsia" w:ascii="宋体" w:hAnsi="宋体" w:cs="MS Mincho"/>
          <w:kern w:val="0"/>
          <w:szCs w:val="21"/>
        </w:rPr>
      </w:pPr>
      <w:r>
        <w:rPr>
          <w:rFonts w:hint="eastAsia" w:ascii="宋体" w:hAnsi="宋体" w:cs="MS Mincho"/>
          <w:kern w:val="0"/>
          <w:szCs w:val="21"/>
        </w:rPr>
        <w:t>5.第5行“（四）按权益法核算长期股权投资对初始投资成本调整确认收益”：第4列“调减数额”填报纳税人采取权益法核算，初始投资成本小于取得投资时应享有被投资单位可辨认净资产公允价值份额的差额计入取得投资当期的营业外收入的数额。</w:t>
      </w:r>
    </w:p>
    <w:p>
      <w:pPr>
        <w:widowControl/>
        <w:adjustRightInd w:val="0"/>
        <w:snapToGrid w:val="0"/>
        <w:ind w:firstLine="420" w:firstLineChars="200"/>
        <w:jc w:val="left"/>
        <w:rPr>
          <w:rFonts w:hint="eastAsia" w:ascii="宋体" w:hAnsi="宋体" w:cs="MS Mincho"/>
          <w:kern w:val="0"/>
          <w:szCs w:val="21"/>
        </w:rPr>
      </w:pPr>
      <w:r>
        <w:rPr>
          <w:rFonts w:hint="eastAsia" w:ascii="宋体" w:hAnsi="宋体" w:cs="MS Mincho"/>
          <w:kern w:val="0"/>
          <w:szCs w:val="21"/>
        </w:rPr>
        <w:t>6.第6行“（五）交易性金融资产初始投资调整”：第3列“调增数额”填报纳税人根据税收规定确认交易性金融资产初始投资数额与会计核算的交易性金融资产初始投资账面价值的差额。</w:t>
      </w:r>
    </w:p>
    <w:p>
      <w:pPr>
        <w:widowControl/>
        <w:adjustRightInd w:val="0"/>
        <w:snapToGrid w:val="0"/>
        <w:ind w:firstLine="420" w:firstLineChars="200"/>
        <w:jc w:val="left"/>
        <w:rPr>
          <w:rFonts w:hint="eastAsia" w:ascii="宋体" w:hAnsi="宋体" w:cs="MS Mincho"/>
          <w:kern w:val="0"/>
          <w:szCs w:val="21"/>
        </w:rPr>
      </w:pPr>
      <w:r>
        <w:rPr>
          <w:rFonts w:hint="eastAsia" w:ascii="宋体" w:hAnsi="宋体" w:cs="MS Mincho"/>
          <w:kern w:val="0"/>
          <w:szCs w:val="21"/>
        </w:rPr>
        <w:t>7.第7行“（六）公允价值变动净损益”：第1列“账载数额”填报纳税人会计核算的以公允价值计量的金融资产、金融负债以及投资性房地产类项目，计入当期损益的公允价值变动数额；第1列≤0，将绝对值填入第3列“调增数额”；若第1列＞0，填入第4列“调减数额”。</w:t>
      </w:r>
    </w:p>
    <w:p>
      <w:pPr>
        <w:widowControl/>
        <w:adjustRightInd w:val="0"/>
        <w:snapToGrid w:val="0"/>
        <w:ind w:firstLine="420" w:firstLineChars="200"/>
        <w:jc w:val="left"/>
        <w:rPr>
          <w:rFonts w:hint="eastAsia" w:ascii="宋体" w:hAnsi="宋体" w:cs="MS Mincho"/>
          <w:kern w:val="0"/>
          <w:szCs w:val="21"/>
        </w:rPr>
      </w:pPr>
      <w:r>
        <w:rPr>
          <w:rFonts w:hint="eastAsia" w:ascii="宋体" w:hAnsi="宋体" w:cs="MS Mincho"/>
          <w:kern w:val="0"/>
          <w:szCs w:val="21"/>
        </w:rPr>
        <w:t>8.第8行“（七）不征税收入”：填报纳税人计入收入总额但属于税收规定不征税的财政拨款、依法收取并纳入财政管理的行政事业性收费以及政府性基金和国务院规定的其他不征税收入。第3列“调增数额”填报纳税人以前年度取得财政性资金且已作为不征税收入处理，在5年（60个月）内未发生支出且未缴回财政部门或其他拨付资金的政府部门，应计入应税收入额的数额。第4列“调减数额”填报符合税收规定不征税收入条件并作为不征税收入处理，且已计入当期损益的数额。</w:t>
      </w:r>
    </w:p>
    <w:p>
      <w:pPr>
        <w:widowControl/>
        <w:adjustRightInd w:val="0"/>
        <w:snapToGrid w:val="0"/>
        <w:ind w:firstLine="420" w:firstLineChars="200"/>
        <w:jc w:val="left"/>
        <w:rPr>
          <w:rFonts w:hint="eastAsia" w:ascii="宋体" w:hAnsi="宋体" w:cs="MS Mincho"/>
          <w:kern w:val="0"/>
          <w:szCs w:val="21"/>
        </w:rPr>
      </w:pPr>
      <w:r>
        <w:rPr>
          <w:rFonts w:hint="eastAsia" w:ascii="宋体" w:hAnsi="宋体" w:cs="MS Mincho"/>
          <w:kern w:val="0"/>
          <w:szCs w:val="21"/>
        </w:rPr>
        <w:t>9.第9行“（八）销售折扣、折让和退回”：填报不符合税收规定的销售折扣和折让应进行纳税调整的数额，和发生的销售退回因会计处理与税收规定有差异需纳税调整的数额。第1列“账载数额”填报纳税人会计核算的销售折扣和折让数额及销货退回的追溯处理的净调整额。第2列“税收数额”填报根据税收规定可以税前扣除的折扣和折让的数额及销货退回业务影响当期损益的数额。第1列减第2列，若余额≥0，填入第3列“调增数额”；若余额＜0，将绝对值填入第4列“调减数额”，第4列仅为销货退回影响损益的跨期时间性差异。</w:t>
      </w:r>
    </w:p>
    <w:p>
      <w:pPr>
        <w:widowControl/>
        <w:adjustRightInd w:val="0"/>
        <w:snapToGrid w:val="0"/>
        <w:ind w:firstLine="420" w:firstLineChars="200"/>
        <w:jc w:val="left"/>
        <w:rPr>
          <w:rFonts w:hint="eastAsia" w:ascii="宋体" w:hAnsi="宋体" w:cs="MS Mincho"/>
          <w:kern w:val="0"/>
          <w:szCs w:val="21"/>
        </w:rPr>
      </w:pPr>
      <w:r>
        <w:rPr>
          <w:rFonts w:hint="eastAsia" w:ascii="宋体" w:hAnsi="宋体" w:cs="MS Mincho"/>
          <w:kern w:val="0"/>
          <w:szCs w:val="21"/>
        </w:rPr>
        <w:t>10.第10行“（九）其他”：填报其他因会计处理与税收规定有差异需纳税调整的收入类项目数额。若第2列≥第1列，将第2-1列的余额填入第3列“调增数额”；若第2列＜第1列，将第2-1列余额的绝对值填入第4列“调减数额”。</w:t>
      </w:r>
    </w:p>
    <w:p>
      <w:pPr>
        <w:widowControl/>
        <w:adjustRightInd w:val="0"/>
        <w:snapToGrid w:val="0"/>
        <w:ind w:firstLine="420" w:firstLineChars="200"/>
        <w:jc w:val="left"/>
        <w:rPr>
          <w:rFonts w:hint="eastAsia" w:ascii="宋体" w:hAnsi="宋体" w:cs="MS Mincho"/>
          <w:kern w:val="0"/>
          <w:szCs w:val="21"/>
        </w:rPr>
      </w:pPr>
      <w:r>
        <w:rPr>
          <w:rFonts w:hint="eastAsia" w:ascii="宋体" w:hAnsi="宋体" w:cs="MS Mincho"/>
          <w:kern w:val="0"/>
          <w:szCs w:val="21"/>
        </w:rPr>
        <w:t>（二）扣除类调整项目</w:t>
      </w:r>
    </w:p>
    <w:p>
      <w:pPr>
        <w:widowControl/>
        <w:adjustRightInd w:val="0"/>
        <w:snapToGrid w:val="0"/>
        <w:ind w:firstLine="420" w:firstLineChars="200"/>
        <w:jc w:val="left"/>
        <w:rPr>
          <w:rFonts w:hint="eastAsia" w:ascii="宋体" w:hAnsi="宋体" w:cs="MS Mincho"/>
          <w:kern w:val="0"/>
          <w:szCs w:val="21"/>
        </w:rPr>
      </w:pPr>
      <w:r>
        <w:rPr>
          <w:rFonts w:hint="eastAsia" w:ascii="宋体" w:hAnsi="宋体" w:cs="MS Mincho"/>
          <w:kern w:val="0"/>
          <w:szCs w:val="21"/>
        </w:rPr>
        <w:t>1.第11行“二、扣除类调整项目”：根据第12行至第30行填报。</w:t>
      </w:r>
    </w:p>
    <w:p>
      <w:pPr>
        <w:widowControl/>
        <w:adjustRightInd w:val="0"/>
        <w:snapToGrid w:val="0"/>
        <w:ind w:firstLine="420" w:firstLineChars="200"/>
        <w:jc w:val="left"/>
        <w:rPr>
          <w:rFonts w:hint="eastAsia" w:ascii="宋体" w:hAnsi="宋体" w:cs="MS Mincho"/>
          <w:kern w:val="0"/>
          <w:szCs w:val="21"/>
        </w:rPr>
      </w:pPr>
      <w:r>
        <w:rPr>
          <w:rFonts w:hint="eastAsia" w:ascii="宋体" w:hAnsi="宋体" w:cs="MS Mincho"/>
          <w:kern w:val="0"/>
          <w:szCs w:val="21"/>
        </w:rPr>
        <w:t>2.第12行“（一）视同销售成本”：填报会计处理不作为销售核算，税收规定作为应税收入对应的销售成本数额。第2列“税收数额”填报税收确认的销售成本数额；第4列“调减数额”等于第2列“税收数额”。</w:t>
      </w:r>
    </w:p>
    <w:p>
      <w:pPr>
        <w:widowControl/>
        <w:adjustRightInd w:val="0"/>
        <w:snapToGrid w:val="0"/>
        <w:ind w:firstLine="420" w:firstLineChars="200"/>
        <w:jc w:val="left"/>
        <w:rPr>
          <w:rFonts w:hint="eastAsia" w:ascii="宋体" w:hAnsi="宋体" w:cs="MS Mincho"/>
          <w:kern w:val="0"/>
          <w:szCs w:val="21"/>
        </w:rPr>
      </w:pPr>
      <w:r>
        <w:rPr>
          <w:rFonts w:hint="eastAsia" w:ascii="宋体" w:hAnsi="宋体" w:cs="MS Mincho"/>
          <w:kern w:val="0"/>
          <w:szCs w:val="21"/>
        </w:rPr>
        <w:t>3.第13行“（二）职工薪酬”：根据税法、相关税收规定以及国家统一企业会计制度，填报纳税人本年度支付给在本企业任职或者受雇的员工的所有现金形式或非现金形式的劳动报酬的会计处理、税法规定，以及纳税调整情况。若第1列≥第2列，将第1-2列的余额填入本行第3列“调增数额”；若第1列＜第2列，将第1-2列余额的绝对值填入本行第4列“调减数额”。</w:t>
      </w:r>
    </w:p>
    <w:p>
      <w:pPr>
        <w:widowControl/>
        <w:adjustRightInd w:val="0"/>
        <w:snapToGrid w:val="0"/>
        <w:ind w:firstLine="420" w:firstLineChars="200"/>
        <w:jc w:val="left"/>
        <w:rPr>
          <w:rFonts w:hint="eastAsia" w:ascii="宋体" w:hAnsi="宋体" w:cs="MS Mincho"/>
          <w:kern w:val="0"/>
          <w:szCs w:val="21"/>
        </w:rPr>
      </w:pPr>
      <w:r>
        <w:rPr>
          <w:rFonts w:hint="eastAsia" w:ascii="宋体" w:hAnsi="宋体" w:cs="MS Mincho"/>
          <w:kern w:val="0"/>
          <w:szCs w:val="21"/>
        </w:rPr>
        <w:t>4.第14行“（三）业务招待费支出”：第1列“账载数额”填报纳税人会计核算计入当期损益的业务招待费数额。第2列“税收数额”填报按照税收规定允许税前扣除的业务招待费支出的数额。第3列“调增数额”为第1-2列数额。</w:t>
      </w:r>
    </w:p>
    <w:p>
      <w:pPr>
        <w:widowControl/>
        <w:adjustRightInd w:val="0"/>
        <w:snapToGrid w:val="0"/>
        <w:ind w:firstLine="420" w:firstLineChars="200"/>
        <w:jc w:val="left"/>
        <w:rPr>
          <w:rFonts w:hint="eastAsia" w:ascii="宋体" w:hAnsi="宋体" w:cs="MS Mincho"/>
          <w:kern w:val="0"/>
          <w:szCs w:val="21"/>
        </w:rPr>
      </w:pPr>
      <w:r>
        <w:rPr>
          <w:rFonts w:hint="eastAsia" w:ascii="宋体" w:hAnsi="宋体" w:cs="MS Mincho"/>
          <w:kern w:val="0"/>
          <w:szCs w:val="21"/>
        </w:rPr>
        <w:t>5.第15行“（四）广告费和业务宣传费支出”：根据税法、相关税收规定以及国家统一企业会计制度，填报广告费和业务宣传费会计处理、税法规定，以及跨年度纳税调整情况。若第1列≥第2列，将第1-2列的余额填入本行第3列“调增数额”；若第1列＜第2列，将第1-2列余额的绝对值填入本行第4列“调减数额”。</w:t>
      </w:r>
    </w:p>
    <w:p>
      <w:pPr>
        <w:widowControl/>
        <w:adjustRightInd w:val="0"/>
        <w:snapToGrid w:val="0"/>
        <w:ind w:firstLine="420" w:firstLineChars="200"/>
        <w:jc w:val="left"/>
        <w:rPr>
          <w:rFonts w:hint="eastAsia" w:ascii="宋体" w:hAnsi="宋体" w:cs="MS Mincho"/>
          <w:kern w:val="0"/>
          <w:szCs w:val="21"/>
        </w:rPr>
      </w:pPr>
      <w:r>
        <w:rPr>
          <w:rFonts w:hint="eastAsia" w:ascii="宋体" w:hAnsi="宋体" w:cs="MS Mincho"/>
          <w:kern w:val="0"/>
          <w:szCs w:val="21"/>
        </w:rPr>
        <w:t>6.第16行“（五）捐赠支出”：根据税法、相关税收规定以及国家统一企业会计制度，第1列“账载数额”填报企业实际发生的所有捐赠。第2列“税收数额”填报按税收规定可以税前扣除的捐赠支出。若第1列≥第2列，将第1-2列的余额填入第3列“调增数额”；若第1列＜第2列，将第1-2列余额的绝对值填入第4列“调减数额”。</w:t>
      </w:r>
    </w:p>
    <w:p>
      <w:pPr>
        <w:widowControl/>
        <w:adjustRightInd w:val="0"/>
        <w:snapToGrid w:val="0"/>
        <w:ind w:firstLine="420" w:firstLineChars="200"/>
        <w:jc w:val="left"/>
        <w:rPr>
          <w:rFonts w:hint="eastAsia" w:ascii="宋体" w:hAnsi="宋体" w:cs="MS Mincho"/>
          <w:kern w:val="0"/>
          <w:szCs w:val="21"/>
        </w:rPr>
      </w:pPr>
      <w:r>
        <w:rPr>
          <w:rFonts w:hint="eastAsia" w:ascii="宋体" w:hAnsi="宋体" w:cs="MS Mincho"/>
          <w:kern w:val="0"/>
          <w:szCs w:val="21"/>
        </w:rPr>
        <w:t>7.第17行“（六）利息支出”：第1列“账载数额”填报纳税人向非金融企业借款，会计核算计入当期损益的利息支出的数额。第2列“税收数额”填报按照税收规定允许税前扣除的利息支出的数额。若第1列≥第2列，将第1-2列的余额填入第3列“调增数额”；若第1列＜第2列，将第1-2列余额的绝对值填入第4列“调减数额”。</w:t>
      </w:r>
    </w:p>
    <w:p>
      <w:pPr>
        <w:widowControl/>
        <w:adjustRightInd w:val="0"/>
        <w:snapToGrid w:val="0"/>
        <w:ind w:firstLine="420" w:firstLineChars="200"/>
        <w:jc w:val="left"/>
        <w:rPr>
          <w:rFonts w:hint="eastAsia" w:ascii="宋体" w:hAnsi="宋体" w:cs="MS Mincho"/>
          <w:kern w:val="0"/>
          <w:szCs w:val="21"/>
        </w:rPr>
      </w:pPr>
      <w:r>
        <w:rPr>
          <w:rFonts w:hint="eastAsia" w:ascii="宋体" w:hAnsi="宋体" w:cs="MS Mincho"/>
          <w:kern w:val="0"/>
          <w:szCs w:val="21"/>
        </w:rPr>
        <w:t>8.第18行“（七）罚金、罚款和被没收财物的损失”：第1列“账载数额”填报纳税人会计核算计入当期损益的罚金、罚款和被罚没财物的损失，不包括纳税人按照经济合同规定支付的违约金（包括银行罚息）、罚款和诉讼费。第3列“调增数额”等于第1列数额。</w:t>
      </w:r>
    </w:p>
    <w:p>
      <w:pPr>
        <w:widowControl/>
        <w:adjustRightInd w:val="0"/>
        <w:snapToGrid w:val="0"/>
        <w:ind w:firstLine="420" w:firstLineChars="200"/>
        <w:jc w:val="left"/>
        <w:rPr>
          <w:rFonts w:hint="eastAsia" w:ascii="宋体" w:hAnsi="宋体" w:cs="MS Mincho"/>
          <w:kern w:val="0"/>
          <w:szCs w:val="21"/>
        </w:rPr>
      </w:pPr>
      <w:r>
        <w:rPr>
          <w:rFonts w:hint="eastAsia" w:ascii="宋体" w:hAnsi="宋体" w:cs="MS Mincho"/>
          <w:kern w:val="0"/>
          <w:szCs w:val="21"/>
        </w:rPr>
        <w:t>9.第19行“（八）税收滞纳金、加收利息”：第1列“账载数额”填报纳税人会计核算计入当期损益的税收滞纳金、加收利息。第3列“调增数额”等于第1列数额。</w:t>
      </w:r>
    </w:p>
    <w:p>
      <w:pPr>
        <w:widowControl/>
        <w:adjustRightInd w:val="0"/>
        <w:snapToGrid w:val="0"/>
        <w:ind w:firstLine="420" w:firstLineChars="200"/>
        <w:jc w:val="left"/>
        <w:rPr>
          <w:rFonts w:hint="eastAsia" w:ascii="宋体" w:hAnsi="宋体" w:cs="MS Mincho"/>
          <w:kern w:val="0"/>
          <w:szCs w:val="21"/>
        </w:rPr>
      </w:pPr>
      <w:r>
        <w:rPr>
          <w:rFonts w:hint="eastAsia" w:ascii="宋体" w:hAnsi="宋体" w:cs="MS Mincho"/>
          <w:kern w:val="0"/>
          <w:szCs w:val="21"/>
        </w:rPr>
        <w:t>10.第20行“（九）赞助支出”：第1列“账载数额”填报纳税人会计核算计入当期损益的不符合税收规定的公益性捐赠的赞助支出的数额，包括直接向受赠人的捐赠、赞助支出等（不含广告性的赞助支出，广告性的赞助支出在第15行“广告费和业务宣传费支出”中调整）。第3列“调增数额”等于第1列数额。</w:t>
      </w:r>
    </w:p>
    <w:p>
      <w:pPr>
        <w:widowControl/>
        <w:adjustRightInd w:val="0"/>
        <w:snapToGrid w:val="0"/>
        <w:ind w:firstLine="420" w:firstLineChars="200"/>
        <w:jc w:val="left"/>
        <w:rPr>
          <w:rFonts w:hint="eastAsia" w:ascii="宋体" w:hAnsi="宋体" w:cs="MS Mincho"/>
          <w:kern w:val="0"/>
          <w:szCs w:val="21"/>
        </w:rPr>
      </w:pPr>
      <w:r>
        <w:rPr>
          <w:rFonts w:hint="eastAsia" w:ascii="宋体" w:hAnsi="宋体" w:cs="MS Mincho"/>
          <w:kern w:val="0"/>
          <w:szCs w:val="21"/>
        </w:rPr>
        <w:t>11.第21行“（十）与未实现融资收益相关在当期确认的财务费用”：第1列“账载数额”填报纳税人会计核算的与未实现融资收益相关并在当期确认的财务费用的数额。第2列“税收数额”填报按照税收规定允许税前扣除的数额。若第1列≥第2列，将第1-2列的余额填入第3列“调增数额”；若第1列＜第2列，将第1-2列余额的绝对值填入第4列“调减数额”。</w:t>
      </w:r>
    </w:p>
    <w:p>
      <w:pPr>
        <w:widowControl/>
        <w:adjustRightInd w:val="0"/>
        <w:snapToGrid w:val="0"/>
        <w:ind w:firstLine="420" w:firstLineChars="200"/>
        <w:jc w:val="left"/>
        <w:rPr>
          <w:rFonts w:hint="eastAsia" w:ascii="宋体" w:hAnsi="宋体" w:cs="MS Mincho"/>
          <w:kern w:val="0"/>
          <w:szCs w:val="21"/>
        </w:rPr>
      </w:pPr>
      <w:r>
        <w:rPr>
          <w:rFonts w:hint="eastAsia" w:ascii="宋体" w:hAnsi="宋体" w:cs="MS Mincho"/>
          <w:kern w:val="0"/>
          <w:szCs w:val="21"/>
        </w:rPr>
        <w:t>12.第22行“（十一）佣金和手续费支出”：第1列“账载数额”填报纳税人会计核算计入当期损益的佣金和手续费数额。第2列“税收数额”填报按照税收规定允许税前扣除的佣金和手续费支出数额。第3列“调增数额”为第1-2列的余额。</w:t>
      </w:r>
    </w:p>
    <w:p>
      <w:pPr>
        <w:widowControl/>
        <w:adjustRightInd w:val="0"/>
        <w:snapToGrid w:val="0"/>
        <w:ind w:firstLine="420" w:firstLineChars="200"/>
        <w:jc w:val="left"/>
        <w:rPr>
          <w:rFonts w:hint="eastAsia" w:ascii="宋体" w:hAnsi="宋体" w:cs="MS Mincho"/>
          <w:kern w:val="0"/>
          <w:szCs w:val="21"/>
        </w:rPr>
      </w:pPr>
      <w:r>
        <w:rPr>
          <w:rFonts w:hint="eastAsia" w:ascii="宋体" w:hAnsi="宋体" w:cs="MS Mincho"/>
          <w:kern w:val="0"/>
          <w:szCs w:val="21"/>
        </w:rPr>
        <w:t>13.第23行“（十二）不征税收入用于支出所形成的费用”：第3列“调增数额”填报符合条件的不征税收入用于支出所形成的计入当期损益的费用化支出数额。</w:t>
      </w:r>
    </w:p>
    <w:p>
      <w:pPr>
        <w:widowControl/>
        <w:adjustRightInd w:val="0"/>
        <w:snapToGrid w:val="0"/>
        <w:ind w:firstLine="420" w:firstLineChars="200"/>
        <w:jc w:val="left"/>
        <w:rPr>
          <w:rFonts w:hint="eastAsia" w:ascii="宋体" w:hAnsi="宋体" w:cs="MS Mincho"/>
          <w:kern w:val="0"/>
          <w:szCs w:val="21"/>
        </w:rPr>
      </w:pPr>
      <w:r>
        <w:rPr>
          <w:rFonts w:hint="eastAsia" w:ascii="宋体" w:hAnsi="宋体" w:cs="MS Mincho"/>
          <w:kern w:val="0"/>
          <w:szCs w:val="21"/>
        </w:rPr>
        <w:t>14.第24行“（十三）跨期扣除项目”：填报维简费、安全生产费用、预提费用、预计负债等跨期扣除项目调整情况。第1列“账载数额”填报纳税人会计核算计入当期损益的跨期扣除项目数额。第2列“税收数额”填报按照税收规定允许税前扣除的数额。若第1列≥第2列，将第1-2列的余额填入第3列“调增数额”；若第1列＜第2列，将第1-2列余额的绝对值填入第4列“调减数额”。</w:t>
      </w:r>
    </w:p>
    <w:p>
      <w:pPr>
        <w:widowControl/>
        <w:adjustRightInd w:val="0"/>
        <w:snapToGrid w:val="0"/>
        <w:ind w:firstLine="420" w:firstLineChars="200"/>
        <w:jc w:val="left"/>
        <w:rPr>
          <w:rFonts w:hint="eastAsia" w:ascii="宋体" w:hAnsi="宋体" w:cs="MS Mincho"/>
          <w:kern w:val="0"/>
          <w:szCs w:val="21"/>
        </w:rPr>
      </w:pPr>
      <w:r>
        <w:rPr>
          <w:rFonts w:hint="eastAsia" w:ascii="宋体" w:hAnsi="宋体" w:cs="MS Mincho"/>
          <w:kern w:val="0"/>
          <w:szCs w:val="21"/>
        </w:rPr>
        <w:t>15.第25行“（十四）与取得收入无关的支出”：第1列“账载数额”填报纳税人会计核算计入当期损益的与取得收入无关的支出的数额。第3列“调增数额”等于第1列数额。</w:t>
      </w:r>
    </w:p>
    <w:p>
      <w:pPr>
        <w:widowControl/>
        <w:adjustRightInd w:val="0"/>
        <w:snapToGrid w:val="0"/>
        <w:ind w:firstLine="420" w:firstLineChars="200"/>
        <w:jc w:val="left"/>
        <w:rPr>
          <w:rFonts w:hint="eastAsia" w:ascii="宋体" w:hAnsi="宋体" w:cs="MS Mincho"/>
          <w:kern w:val="0"/>
          <w:szCs w:val="21"/>
        </w:rPr>
      </w:pPr>
      <w:r>
        <w:rPr>
          <w:rFonts w:hint="eastAsia" w:ascii="宋体" w:hAnsi="宋体" w:cs="MS Mincho"/>
          <w:kern w:val="0"/>
          <w:szCs w:val="21"/>
        </w:rPr>
        <w:t>16.第26行“（十五）境外所得分摊的共同支出”：根据税法、相关税收规定，第3列“调增数额”填报本年按照税法规定计算的纳税人实际发生与取得境外所得有关但未直接计入境外所得应纳税所得的成本费用支出。</w:t>
      </w:r>
    </w:p>
    <w:p>
      <w:pPr>
        <w:widowControl/>
        <w:adjustRightInd w:val="0"/>
        <w:snapToGrid w:val="0"/>
        <w:ind w:firstLine="420" w:firstLineChars="200"/>
        <w:jc w:val="left"/>
        <w:rPr>
          <w:rFonts w:hint="eastAsia" w:ascii="宋体" w:hAnsi="宋体" w:cs="MS Mincho"/>
          <w:kern w:val="0"/>
          <w:szCs w:val="21"/>
        </w:rPr>
      </w:pPr>
      <w:r>
        <w:rPr>
          <w:rFonts w:hint="eastAsia" w:ascii="宋体" w:hAnsi="宋体" w:cs="MS Mincho"/>
          <w:kern w:val="0"/>
          <w:szCs w:val="21"/>
        </w:rPr>
        <w:t>17.第27行“（十六）分摊境外总机构费用”：第1列“账载数额”填报因分摊境外总机构费用而实际列入纳税人会计账目的数额。第2列“税收数额”填报按照税收规定可以分摊扣除的境外总机构费用数额。若第1列≥第2列，将第1-2列的余额填入第3列“调增数额”；若第1列＜第2列，则第3列“调增数额”为零。</w:t>
      </w:r>
    </w:p>
    <w:p>
      <w:pPr>
        <w:widowControl/>
        <w:adjustRightInd w:val="0"/>
        <w:snapToGrid w:val="0"/>
        <w:ind w:firstLine="420" w:firstLineChars="200"/>
        <w:jc w:val="left"/>
        <w:rPr>
          <w:rFonts w:hint="eastAsia" w:ascii="宋体" w:hAnsi="宋体" w:cs="MS Mincho"/>
          <w:kern w:val="0"/>
          <w:szCs w:val="21"/>
        </w:rPr>
      </w:pPr>
      <w:r>
        <w:rPr>
          <w:rFonts w:hint="eastAsia" w:ascii="宋体" w:hAnsi="宋体" w:cs="MS Mincho"/>
          <w:kern w:val="0"/>
          <w:szCs w:val="21"/>
        </w:rPr>
        <w:t>18.第28行“（十七）向其他机构、场所分摊的费用”：第1列“账载数额”填报因向其他机构、场所分摊费用而实际列入纳税人会计账目的数额。第2列“税收数额”填报按照税收规定应向其他机构、场所分摊的费用数额。若第2列≥第1列，将第2-1列的余额填入第3列“调增数额”；若第2列＜第1列，则第3列“调增数额”为零。</w:t>
      </w:r>
    </w:p>
    <w:p>
      <w:pPr>
        <w:widowControl/>
        <w:adjustRightInd w:val="0"/>
        <w:snapToGrid w:val="0"/>
        <w:ind w:firstLine="420" w:firstLineChars="200"/>
        <w:jc w:val="left"/>
        <w:rPr>
          <w:rFonts w:hint="eastAsia" w:ascii="宋体" w:hAnsi="宋体" w:cs="MS Mincho"/>
          <w:kern w:val="0"/>
          <w:szCs w:val="21"/>
        </w:rPr>
      </w:pPr>
      <w:r>
        <w:rPr>
          <w:rFonts w:hint="eastAsia" w:ascii="宋体" w:hAnsi="宋体" w:cs="MS Mincho"/>
          <w:kern w:val="0"/>
          <w:szCs w:val="21"/>
        </w:rPr>
        <w:t>19.第29行“（十八）分摊资源勘探开发费用”：填报可分摊的其他境内机构、场所资源勘探开发费用。将本年度可分摊的境内机构、场所资源勘探开发费用数额填入第2列，以第2列数额填入第4列“调减数额”。</w:t>
      </w:r>
    </w:p>
    <w:p>
      <w:pPr>
        <w:widowControl/>
        <w:adjustRightInd w:val="0"/>
        <w:snapToGrid w:val="0"/>
        <w:ind w:firstLine="420" w:firstLineChars="200"/>
        <w:jc w:val="left"/>
        <w:rPr>
          <w:rFonts w:hint="eastAsia" w:ascii="宋体" w:hAnsi="宋体" w:cs="MS Mincho"/>
          <w:kern w:val="0"/>
          <w:szCs w:val="21"/>
        </w:rPr>
      </w:pPr>
      <w:r>
        <w:rPr>
          <w:rFonts w:hint="eastAsia" w:ascii="宋体" w:hAnsi="宋体" w:cs="MS Mincho"/>
          <w:kern w:val="0"/>
          <w:szCs w:val="21"/>
        </w:rPr>
        <w:t>20.第30行“（十九）其他”：填报其他因会计处理与税收规定有差异需纳税调整的扣除类项目数额。若第1列≥第2列，将第1-2列的余额填入第3列“调增数额”；若第1列＜第2列，将第1-2列余额的绝对值填入第4列“调减数额”。</w:t>
      </w:r>
    </w:p>
    <w:p>
      <w:pPr>
        <w:widowControl/>
        <w:adjustRightInd w:val="0"/>
        <w:snapToGrid w:val="0"/>
        <w:ind w:firstLine="420" w:firstLineChars="200"/>
        <w:jc w:val="left"/>
        <w:rPr>
          <w:rFonts w:hint="eastAsia" w:ascii="宋体" w:hAnsi="宋体" w:cs="MS Mincho"/>
          <w:kern w:val="0"/>
          <w:szCs w:val="21"/>
        </w:rPr>
      </w:pPr>
      <w:r>
        <w:rPr>
          <w:rFonts w:hint="eastAsia" w:ascii="宋体" w:hAnsi="宋体" w:cs="MS Mincho"/>
          <w:kern w:val="0"/>
          <w:szCs w:val="21"/>
        </w:rPr>
        <w:t>（三）资产类调整项目</w:t>
      </w:r>
    </w:p>
    <w:p>
      <w:pPr>
        <w:widowControl/>
        <w:adjustRightInd w:val="0"/>
        <w:snapToGrid w:val="0"/>
        <w:ind w:firstLine="420" w:firstLineChars="200"/>
        <w:jc w:val="left"/>
        <w:rPr>
          <w:rFonts w:hint="eastAsia" w:ascii="宋体" w:hAnsi="宋体" w:cs="MS Mincho"/>
          <w:kern w:val="0"/>
          <w:szCs w:val="21"/>
        </w:rPr>
      </w:pPr>
      <w:r>
        <w:rPr>
          <w:rFonts w:hint="eastAsia" w:ascii="宋体" w:hAnsi="宋体" w:cs="MS Mincho"/>
          <w:kern w:val="0"/>
          <w:szCs w:val="21"/>
        </w:rPr>
        <w:t>1.第31行“三、资产类调整项目”：填报资产类调整项目第32、34、35、36行的合计数额。</w:t>
      </w:r>
    </w:p>
    <w:p>
      <w:pPr>
        <w:widowControl/>
        <w:adjustRightInd w:val="0"/>
        <w:snapToGrid w:val="0"/>
        <w:ind w:firstLine="420" w:firstLineChars="200"/>
        <w:jc w:val="left"/>
        <w:rPr>
          <w:rFonts w:hint="eastAsia" w:ascii="宋体" w:hAnsi="宋体" w:cs="MS Mincho"/>
          <w:kern w:val="0"/>
          <w:szCs w:val="21"/>
        </w:rPr>
      </w:pPr>
      <w:r>
        <w:rPr>
          <w:rFonts w:hint="eastAsia" w:ascii="宋体" w:hAnsi="宋体" w:cs="MS Mincho"/>
          <w:kern w:val="0"/>
          <w:szCs w:val="21"/>
        </w:rPr>
        <w:t>2.第32行“（一）资产折旧、摊销”：根据税法、相关税收规定以及国家统一企业会计制度，填报资产折旧、摊销的会计处理、税法规定，以及纳税调整情况。若第1列≥第2列，将第1-2列的余额填入本行第3列“调增数额”；若第1列＜第2列，将第1-2列余额的绝对值填入本行第4列“调减数额”。</w:t>
      </w:r>
    </w:p>
    <w:p>
      <w:pPr>
        <w:widowControl/>
        <w:adjustRightInd w:val="0"/>
        <w:snapToGrid w:val="0"/>
        <w:ind w:firstLine="420" w:firstLineChars="200"/>
        <w:jc w:val="left"/>
        <w:rPr>
          <w:rFonts w:hint="eastAsia" w:ascii="宋体" w:hAnsi="宋体" w:cs="MS Mincho"/>
          <w:kern w:val="0"/>
          <w:szCs w:val="21"/>
        </w:rPr>
      </w:pPr>
      <w:r>
        <w:rPr>
          <w:rFonts w:hint="eastAsia" w:ascii="宋体" w:hAnsi="宋体" w:cs="MS Mincho"/>
          <w:kern w:val="0"/>
          <w:szCs w:val="21"/>
        </w:rPr>
        <w:t>3.第33行“其中：固定资产加速折旧（扣除）调减额”：填报纳税人享受各类固定资产加速折旧政策的优惠金额，即享受加速折旧政策的税法折旧额大于按税收一般规定计算的折旧额的差额。同时填报该固定资产加速折旧项目对应的减免性质代码。减免性质代码按照国家税务总局制定或更新的“减免税政策代码目录”填列。减免项目多于一项的，附页填报。</w:t>
      </w:r>
    </w:p>
    <w:p>
      <w:pPr>
        <w:widowControl/>
        <w:adjustRightInd w:val="0"/>
        <w:snapToGrid w:val="0"/>
        <w:ind w:firstLine="420" w:firstLineChars="200"/>
        <w:jc w:val="left"/>
        <w:rPr>
          <w:rFonts w:hint="eastAsia" w:ascii="宋体" w:hAnsi="宋体" w:cs="MS Mincho"/>
          <w:kern w:val="0"/>
          <w:szCs w:val="21"/>
        </w:rPr>
      </w:pPr>
      <w:r>
        <w:rPr>
          <w:rFonts w:hint="eastAsia" w:ascii="宋体" w:hAnsi="宋体" w:cs="MS Mincho"/>
          <w:kern w:val="0"/>
          <w:szCs w:val="21"/>
        </w:rPr>
        <w:t>4.第34行“（二）资产减值准备金”：填报坏账准备、存货跌价准备、理赔费用准备金等不允许税前扣除的各类资产减值准备金纳税调整情况。第1列“账载数额”填报纳税人会计核算计入当期损益的资产减值准备金数额（因价值恢复等原因转回的资产减值准备金应予以冲回）。第1列，若≥0，填入第3列“调增数额”；若＜0，将绝对值填入第4列“调减数额”。</w:t>
      </w:r>
    </w:p>
    <w:p>
      <w:pPr>
        <w:widowControl/>
        <w:adjustRightInd w:val="0"/>
        <w:snapToGrid w:val="0"/>
        <w:ind w:firstLine="420" w:firstLineChars="200"/>
        <w:jc w:val="left"/>
        <w:rPr>
          <w:rFonts w:hint="eastAsia" w:ascii="宋体" w:hAnsi="宋体" w:cs="MS Mincho"/>
          <w:kern w:val="0"/>
          <w:szCs w:val="21"/>
        </w:rPr>
      </w:pPr>
      <w:r>
        <w:rPr>
          <w:rFonts w:hint="eastAsia" w:ascii="宋体" w:hAnsi="宋体" w:cs="MS Mincho"/>
          <w:kern w:val="0"/>
          <w:szCs w:val="21"/>
        </w:rPr>
        <w:t>5.第35行“（三）资产损失”：根据税法、相关税收规定及国家统一企业会计制度，填报资产损失的会计处理、税法规定，以及纳税调整情况。第1列“账载数额”填报本纳税年度实际发生的需报税务机关审批的财产损失数额，以及固定资产、无形资产转让、处置所得（损失）和金融资产转让、处置所得等损失数额；第2列“税收数额”填报税务机关审批的本纳税年度财产损失数额，以及按照税收规定计算的固定资产、无形资产转让、处置所得（损失）和金融资产转让、处置所得等损失数额，长期股权投资除外；若第1列≥第2列，将第1-2列的余额填入本行第3列“调增数额”；若第1列＜第2列，将第1-2列余额的绝对值填入本行第4列“调减数额”。</w:t>
      </w:r>
    </w:p>
    <w:p>
      <w:pPr>
        <w:widowControl/>
        <w:adjustRightInd w:val="0"/>
        <w:snapToGrid w:val="0"/>
        <w:ind w:firstLine="420" w:firstLineChars="200"/>
        <w:jc w:val="left"/>
        <w:rPr>
          <w:rFonts w:hint="eastAsia" w:ascii="宋体" w:hAnsi="宋体" w:cs="MS Mincho"/>
          <w:kern w:val="0"/>
          <w:szCs w:val="21"/>
        </w:rPr>
      </w:pPr>
      <w:r>
        <w:rPr>
          <w:rFonts w:hint="eastAsia" w:ascii="宋体" w:hAnsi="宋体" w:cs="MS Mincho"/>
          <w:kern w:val="0"/>
          <w:szCs w:val="21"/>
        </w:rPr>
        <w:t>6.第36行“（四）其他”：填报其他因会计处理与税收规定有差异需纳税调整的资产类项目数额。若第1列≥第2列，将第1-2列余额填入第3列“调增数额”；若第1列＜第2列，将第1-2列余额的绝对值填入第4列“调减数额”。</w:t>
      </w:r>
    </w:p>
    <w:p>
      <w:pPr>
        <w:widowControl/>
        <w:adjustRightInd w:val="0"/>
        <w:snapToGrid w:val="0"/>
        <w:ind w:firstLine="420" w:firstLineChars="200"/>
        <w:jc w:val="left"/>
        <w:rPr>
          <w:rFonts w:hint="eastAsia" w:ascii="宋体" w:hAnsi="宋体" w:cs="MS Mincho"/>
          <w:kern w:val="0"/>
          <w:szCs w:val="21"/>
        </w:rPr>
      </w:pPr>
      <w:r>
        <w:rPr>
          <w:rFonts w:hint="eastAsia" w:ascii="宋体" w:hAnsi="宋体" w:cs="MS Mincho"/>
          <w:kern w:val="0"/>
          <w:szCs w:val="21"/>
        </w:rPr>
        <w:t>（四）特殊事项调整项目</w:t>
      </w:r>
    </w:p>
    <w:p>
      <w:pPr>
        <w:widowControl/>
        <w:adjustRightInd w:val="0"/>
        <w:snapToGrid w:val="0"/>
        <w:ind w:firstLine="420" w:firstLineChars="200"/>
        <w:jc w:val="left"/>
        <w:rPr>
          <w:rFonts w:hint="eastAsia" w:ascii="宋体" w:hAnsi="宋体" w:cs="MS Mincho"/>
          <w:kern w:val="0"/>
          <w:szCs w:val="21"/>
        </w:rPr>
      </w:pPr>
      <w:r>
        <w:rPr>
          <w:rFonts w:hint="eastAsia" w:ascii="宋体" w:hAnsi="宋体" w:cs="MS Mincho"/>
          <w:kern w:val="0"/>
          <w:szCs w:val="21"/>
        </w:rPr>
        <w:t>1.第37行“四、特殊事项调整项目”：填报特殊事项调整项目第38行至第43行的合计数额。</w:t>
      </w:r>
    </w:p>
    <w:p>
      <w:pPr>
        <w:widowControl/>
        <w:adjustRightInd w:val="0"/>
        <w:snapToGrid w:val="0"/>
        <w:ind w:firstLine="420" w:firstLineChars="200"/>
        <w:jc w:val="left"/>
        <w:rPr>
          <w:rFonts w:hint="eastAsia" w:ascii="宋体" w:hAnsi="宋体" w:cs="MS Mincho"/>
          <w:kern w:val="0"/>
          <w:szCs w:val="21"/>
        </w:rPr>
      </w:pPr>
      <w:r>
        <w:rPr>
          <w:rFonts w:hint="eastAsia" w:ascii="宋体" w:hAnsi="宋体" w:cs="MS Mincho"/>
          <w:kern w:val="0"/>
          <w:szCs w:val="21"/>
        </w:rPr>
        <w:t>2.第38行“（一）企业重组及递延纳税事项”：根据税法、相关税收规定以及国家统一企业会计制度，填报企业重组的会计核算及税法规定，以及纳税调整情况。若第1列≥第2列，将第1-2列的余额填入本行第3列“调增数额”；若第1列＜第2列，将第1-2列余额的绝对值填入本行第4列“调减数额”。</w:t>
      </w:r>
    </w:p>
    <w:p>
      <w:pPr>
        <w:widowControl/>
        <w:adjustRightInd w:val="0"/>
        <w:snapToGrid w:val="0"/>
        <w:ind w:firstLine="420" w:firstLineChars="200"/>
        <w:jc w:val="left"/>
        <w:rPr>
          <w:rFonts w:hint="eastAsia" w:ascii="宋体" w:hAnsi="宋体" w:cs="MS Mincho"/>
          <w:kern w:val="0"/>
          <w:szCs w:val="21"/>
        </w:rPr>
      </w:pPr>
      <w:r>
        <w:rPr>
          <w:rFonts w:hint="eastAsia" w:ascii="宋体" w:hAnsi="宋体" w:cs="MS Mincho"/>
          <w:kern w:val="0"/>
          <w:szCs w:val="21"/>
        </w:rPr>
        <w:t>3.第39行“（二）政策性搬迁”：根据税法、相关税收规定以及国家统一企业会计制度，填报企业政策性搬迁项目的相关会计处理、税法规定及纳税调整情况。若≥0，填入第3列“调增数额”；若＜0，将绝对值填入第4列“调减数额”。</w:t>
      </w:r>
    </w:p>
    <w:p>
      <w:pPr>
        <w:widowControl/>
        <w:adjustRightInd w:val="0"/>
        <w:snapToGrid w:val="0"/>
        <w:ind w:firstLine="420" w:firstLineChars="200"/>
        <w:jc w:val="left"/>
        <w:rPr>
          <w:rFonts w:hint="eastAsia" w:ascii="宋体" w:hAnsi="宋体" w:cs="MS Mincho"/>
          <w:kern w:val="0"/>
          <w:szCs w:val="21"/>
        </w:rPr>
      </w:pPr>
      <w:r>
        <w:rPr>
          <w:rFonts w:hint="eastAsia" w:ascii="宋体" w:hAnsi="宋体" w:cs="MS Mincho"/>
          <w:kern w:val="0"/>
          <w:szCs w:val="21"/>
        </w:rPr>
        <w:t>4.第40行“（三）特殊行业准备金”：根据税法、相关税收规定以及国家统一企业会计制度，填报特殊行业准备金会计处理、税法规定及纳税调整情况。若第1列≥第2列，将第1-2列的余额填入本行第3列“调增数额”；若第1列＜第2列，将第1-2列余额的绝对值填入本行第4列“调减数额”。</w:t>
      </w:r>
    </w:p>
    <w:p>
      <w:pPr>
        <w:widowControl/>
        <w:adjustRightInd w:val="0"/>
        <w:snapToGrid w:val="0"/>
        <w:ind w:firstLine="420" w:firstLineChars="200"/>
        <w:jc w:val="left"/>
        <w:rPr>
          <w:rFonts w:hint="eastAsia" w:ascii="宋体" w:hAnsi="宋体" w:cs="MS Mincho"/>
          <w:kern w:val="0"/>
          <w:szCs w:val="21"/>
        </w:rPr>
      </w:pPr>
      <w:r>
        <w:rPr>
          <w:rFonts w:hint="eastAsia" w:ascii="宋体" w:hAnsi="宋体" w:cs="MS Mincho"/>
          <w:kern w:val="0"/>
          <w:szCs w:val="21"/>
        </w:rPr>
        <w:t>5.第41行“（四）房地产开发企业特定业务计算的纳税调整额”：根据税法、相关税收规定以及国家统一企业会计制度，填报房地产企业销售未完工产品、未完工产品转完工产品特定业务的税法规定及纳税调整情况。将按照税法规定计算的数额填入本行第2列，若≥0，填入第3列“调增数额”；若＜0，将绝对值填入第4列“调减数额”。</w:t>
      </w:r>
    </w:p>
    <w:p>
      <w:pPr>
        <w:widowControl/>
        <w:adjustRightInd w:val="0"/>
        <w:snapToGrid w:val="0"/>
        <w:ind w:firstLine="420" w:firstLineChars="200"/>
        <w:jc w:val="left"/>
        <w:rPr>
          <w:rFonts w:hint="eastAsia" w:ascii="宋体" w:hAnsi="宋体" w:cs="MS Mincho"/>
          <w:kern w:val="0"/>
          <w:szCs w:val="21"/>
        </w:rPr>
      </w:pPr>
      <w:r>
        <w:rPr>
          <w:rFonts w:hint="eastAsia" w:ascii="宋体" w:hAnsi="宋体" w:cs="MS Mincho"/>
          <w:kern w:val="0"/>
          <w:szCs w:val="21"/>
        </w:rPr>
        <w:t>6. 第42行“（五）合伙企业法人合伙人应分得的应纳税所得额”：第1列“账载数额”填报合伙企业法人合伙人本年会计核算上确认的对合伙企业的投资所得；第2列“税收数额”填报纳税人按照“先分后税”原则和相关税收规定计算的从合伙企业分得的法人合伙方应纳税所得额；若第1列≤第2列，将第2-1列的余额填入第3列“调增数额”，若第1列＞第2列，将第2-1列余额的绝对值填入第4列“调减数额”。</w:t>
      </w:r>
    </w:p>
    <w:p>
      <w:pPr>
        <w:widowControl/>
        <w:adjustRightInd w:val="0"/>
        <w:snapToGrid w:val="0"/>
        <w:ind w:firstLine="420" w:firstLineChars="200"/>
        <w:jc w:val="left"/>
        <w:rPr>
          <w:rFonts w:hint="eastAsia" w:ascii="宋体" w:hAnsi="宋体" w:cs="MS Mincho"/>
          <w:kern w:val="0"/>
          <w:szCs w:val="21"/>
        </w:rPr>
      </w:pPr>
      <w:r>
        <w:rPr>
          <w:rFonts w:hint="eastAsia" w:ascii="宋体" w:hAnsi="宋体" w:cs="MS Mincho"/>
          <w:kern w:val="0"/>
          <w:szCs w:val="21"/>
        </w:rPr>
        <w:t>7.第43行“（六）其他”：填报其他因会计处理与税收规定有差异需纳税调整的特殊事项数额。</w:t>
      </w:r>
    </w:p>
    <w:p>
      <w:pPr>
        <w:widowControl/>
        <w:adjustRightInd w:val="0"/>
        <w:snapToGrid w:val="0"/>
        <w:ind w:firstLine="420" w:firstLineChars="200"/>
        <w:jc w:val="left"/>
        <w:rPr>
          <w:rFonts w:hint="eastAsia" w:ascii="宋体" w:hAnsi="宋体" w:cs="MS Mincho"/>
          <w:kern w:val="0"/>
          <w:szCs w:val="21"/>
        </w:rPr>
      </w:pPr>
      <w:r>
        <w:rPr>
          <w:rFonts w:hint="eastAsia" w:ascii="宋体" w:hAnsi="宋体" w:cs="MS Mincho"/>
          <w:kern w:val="0"/>
          <w:szCs w:val="21"/>
        </w:rPr>
        <w:t>（五）特别纳税调整所得项目</w:t>
      </w:r>
    </w:p>
    <w:p>
      <w:pPr>
        <w:widowControl/>
        <w:adjustRightInd w:val="0"/>
        <w:snapToGrid w:val="0"/>
        <w:ind w:firstLine="420" w:firstLineChars="200"/>
        <w:jc w:val="left"/>
        <w:rPr>
          <w:rFonts w:hint="eastAsia" w:ascii="宋体" w:hAnsi="宋体" w:cs="MS Mincho"/>
          <w:kern w:val="0"/>
          <w:szCs w:val="21"/>
        </w:rPr>
      </w:pPr>
      <w:r>
        <w:rPr>
          <w:rFonts w:hint="eastAsia" w:ascii="宋体" w:hAnsi="宋体" w:cs="MS Mincho"/>
          <w:kern w:val="0"/>
          <w:szCs w:val="21"/>
        </w:rPr>
        <w:t>第44行“五、特别纳税调整应税所得”：第3列“调增数额”填报纳税人按特别纳税调整规定自行调增的当年应税所得。第4列“调减数额”填报纳税人依据双边预约定价安排或者转让定价相应调整磋商结果的通知，需要调减的当年应税所得。</w:t>
      </w:r>
    </w:p>
    <w:p>
      <w:pPr>
        <w:widowControl/>
        <w:adjustRightInd w:val="0"/>
        <w:snapToGrid w:val="0"/>
        <w:ind w:firstLine="420" w:firstLineChars="200"/>
        <w:jc w:val="left"/>
        <w:rPr>
          <w:rFonts w:hint="eastAsia" w:ascii="宋体" w:hAnsi="宋体" w:cs="MS Mincho"/>
          <w:kern w:val="0"/>
          <w:szCs w:val="21"/>
        </w:rPr>
      </w:pPr>
      <w:r>
        <w:rPr>
          <w:rFonts w:hint="eastAsia" w:ascii="宋体" w:hAnsi="宋体" w:cs="MS Mincho"/>
          <w:kern w:val="0"/>
          <w:szCs w:val="21"/>
        </w:rPr>
        <w:t>（六）其他</w:t>
      </w:r>
    </w:p>
    <w:p>
      <w:pPr>
        <w:widowControl/>
        <w:adjustRightInd w:val="0"/>
        <w:snapToGrid w:val="0"/>
        <w:ind w:firstLine="420" w:firstLineChars="200"/>
        <w:jc w:val="left"/>
        <w:rPr>
          <w:rFonts w:hint="eastAsia" w:ascii="宋体" w:hAnsi="宋体" w:cs="MS Mincho"/>
          <w:kern w:val="0"/>
          <w:szCs w:val="21"/>
        </w:rPr>
      </w:pPr>
      <w:r>
        <w:rPr>
          <w:rFonts w:hint="eastAsia" w:ascii="宋体" w:hAnsi="宋体" w:cs="MS Mincho"/>
          <w:kern w:val="0"/>
          <w:szCs w:val="21"/>
        </w:rPr>
        <w:t>1.第45行“六、其他”：其他会计处理与税收规定存在差异需纳税调整的项目数额。</w:t>
      </w:r>
    </w:p>
    <w:p>
      <w:pPr>
        <w:widowControl/>
        <w:adjustRightInd w:val="0"/>
        <w:snapToGrid w:val="0"/>
        <w:ind w:firstLine="420" w:firstLineChars="200"/>
        <w:jc w:val="left"/>
        <w:rPr>
          <w:rFonts w:hint="eastAsia" w:ascii="宋体" w:hAnsi="宋体" w:cs="MS Mincho"/>
          <w:kern w:val="0"/>
          <w:szCs w:val="21"/>
        </w:rPr>
      </w:pPr>
      <w:r>
        <w:rPr>
          <w:rFonts w:hint="eastAsia" w:ascii="宋体" w:hAnsi="宋体" w:cs="MS Mincho"/>
          <w:kern w:val="0"/>
          <w:szCs w:val="21"/>
        </w:rPr>
        <w:t>2.第46行“合计”：填报第1+11+31+37+44+45行的合计数额。</w:t>
      </w:r>
    </w:p>
    <w:p>
      <w:pPr>
        <w:widowControl/>
        <w:adjustRightInd w:val="0"/>
        <w:snapToGrid w:val="0"/>
        <w:ind w:firstLine="420" w:firstLineChars="200"/>
        <w:jc w:val="left"/>
        <w:rPr>
          <w:rFonts w:hint="eastAsia" w:ascii="宋体" w:hAnsi="宋体" w:cs="MS Mincho"/>
          <w:kern w:val="0"/>
          <w:szCs w:val="21"/>
        </w:rPr>
      </w:pPr>
      <w:r>
        <w:rPr>
          <w:rFonts w:hint="eastAsia" w:ascii="宋体" w:hAnsi="宋体" w:cs="MS Mincho"/>
          <w:kern w:val="0"/>
          <w:szCs w:val="21"/>
        </w:rPr>
        <w:t>三、表内、表间关系</w:t>
      </w:r>
    </w:p>
    <w:p>
      <w:pPr>
        <w:widowControl/>
        <w:adjustRightInd w:val="0"/>
        <w:snapToGrid w:val="0"/>
        <w:ind w:firstLine="420" w:firstLineChars="200"/>
        <w:jc w:val="left"/>
        <w:rPr>
          <w:rFonts w:hint="eastAsia" w:ascii="宋体" w:hAnsi="宋体" w:cs="MS Mincho"/>
          <w:kern w:val="0"/>
          <w:szCs w:val="21"/>
        </w:rPr>
      </w:pPr>
      <w:r>
        <w:rPr>
          <w:rFonts w:hint="eastAsia" w:ascii="宋体" w:hAnsi="宋体" w:cs="MS Mincho"/>
          <w:kern w:val="0"/>
          <w:szCs w:val="21"/>
        </w:rPr>
        <w:t>（一）表内关系</w:t>
      </w:r>
    </w:p>
    <w:p>
      <w:pPr>
        <w:widowControl/>
        <w:adjustRightInd w:val="0"/>
        <w:snapToGrid w:val="0"/>
        <w:ind w:firstLine="420" w:firstLineChars="200"/>
        <w:jc w:val="left"/>
        <w:rPr>
          <w:rFonts w:hint="eastAsia" w:ascii="宋体" w:hAnsi="宋体" w:cs="MS Mincho"/>
          <w:kern w:val="0"/>
          <w:szCs w:val="21"/>
        </w:rPr>
      </w:pPr>
      <w:r>
        <w:rPr>
          <w:rFonts w:hint="eastAsia" w:ascii="宋体" w:hAnsi="宋体" w:cs="MS Mincho"/>
          <w:kern w:val="0"/>
          <w:szCs w:val="21"/>
        </w:rPr>
        <w:t>1.第1行＝第2+3+4+5+6+7+8+9+10行。</w:t>
      </w:r>
    </w:p>
    <w:p>
      <w:pPr>
        <w:widowControl/>
        <w:adjustRightInd w:val="0"/>
        <w:snapToGrid w:val="0"/>
        <w:ind w:firstLine="420" w:firstLineChars="200"/>
        <w:jc w:val="left"/>
        <w:rPr>
          <w:rFonts w:hint="eastAsia" w:ascii="宋体" w:hAnsi="宋体" w:cs="MS Mincho"/>
          <w:kern w:val="0"/>
          <w:szCs w:val="21"/>
        </w:rPr>
      </w:pPr>
      <w:r>
        <w:rPr>
          <w:rFonts w:hint="eastAsia" w:ascii="宋体" w:hAnsi="宋体" w:cs="MS Mincho"/>
          <w:kern w:val="0"/>
          <w:szCs w:val="21"/>
        </w:rPr>
        <w:t>2.第11行＝第12+13+14+…+29+30行。</w:t>
      </w:r>
    </w:p>
    <w:p>
      <w:pPr>
        <w:widowControl/>
        <w:adjustRightInd w:val="0"/>
        <w:snapToGrid w:val="0"/>
        <w:ind w:firstLine="420" w:firstLineChars="200"/>
        <w:jc w:val="left"/>
        <w:rPr>
          <w:rFonts w:hint="eastAsia" w:ascii="宋体" w:hAnsi="宋体" w:cs="MS Mincho"/>
          <w:kern w:val="0"/>
          <w:szCs w:val="21"/>
        </w:rPr>
      </w:pPr>
      <w:r>
        <w:rPr>
          <w:rFonts w:hint="eastAsia" w:ascii="宋体" w:hAnsi="宋体" w:cs="MS Mincho"/>
          <w:kern w:val="0"/>
          <w:szCs w:val="21"/>
        </w:rPr>
        <w:t>3.第31行＝第32+34+35+36行。</w:t>
      </w:r>
    </w:p>
    <w:p>
      <w:pPr>
        <w:widowControl/>
        <w:adjustRightInd w:val="0"/>
        <w:snapToGrid w:val="0"/>
        <w:ind w:firstLine="420" w:firstLineChars="200"/>
        <w:jc w:val="left"/>
        <w:rPr>
          <w:rFonts w:hint="eastAsia" w:ascii="宋体" w:hAnsi="宋体" w:cs="MS Mincho"/>
          <w:kern w:val="0"/>
          <w:szCs w:val="21"/>
        </w:rPr>
      </w:pPr>
      <w:r>
        <w:rPr>
          <w:rFonts w:hint="eastAsia" w:ascii="宋体" w:hAnsi="宋体" w:cs="MS Mincho"/>
          <w:kern w:val="0"/>
          <w:szCs w:val="21"/>
        </w:rPr>
        <w:t>4.第37行＝第38+39+40+41+42+43行。</w:t>
      </w:r>
    </w:p>
    <w:p>
      <w:pPr>
        <w:widowControl/>
        <w:adjustRightInd w:val="0"/>
        <w:snapToGrid w:val="0"/>
        <w:ind w:firstLine="420" w:firstLineChars="200"/>
        <w:jc w:val="left"/>
        <w:rPr>
          <w:rFonts w:hint="eastAsia" w:ascii="宋体" w:hAnsi="宋体" w:cs="MS Mincho"/>
          <w:kern w:val="0"/>
          <w:szCs w:val="21"/>
        </w:rPr>
      </w:pPr>
      <w:r>
        <w:rPr>
          <w:rFonts w:hint="eastAsia" w:ascii="宋体" w:hAnsi="宋体" w:cs="MS Mincho"/>
          <w:kern w:val="0"/>
          <w:szCs w:val="21"/>
        </w:rPr>
        <w:t>5.第46行＝第1+11+31+37+44+45行。</w:t>
      </w:r>
    </w:p>
    <w:p>
      <w:pPr>
        <w:widowControl/>
        <w:adjustRightInd w:val="0"/>
        <w:snapToGrid w:val="0"/>
        <w:ind w:firstLine="420" w:firstLineChars="200"/>
        <w:jc w:val="left"/>
        <w:rPr>
          <w:rFonts w:hint="eastAsia" w:ascii="宋体" w:hAnsi="宋体" w:cs="MS Mincho"/>
          <w:kern w:val="0"/>
          <w:szCs w:val="21"/>
        </w:rPr>
      </w:pPr>
      <w:r>
        <w:rPr>
          <w:rFonts w:hint="eastAsia" w:ascii="宋体" w:hAnsi="宋体" w:cs="MS Mincho"/>
          <w:kern w:val="0"/>
          <w:szCs w:val="21"/>
        </w:rPr>
        <w:t>（二）表间关系</w:t>
      </w:r>
    </w:p>
    <w:p>
      <w:pPr>
        <w:widowControl/>
        <w:adjustRightInd w:val="0"/>
        <w:snapToGrid w:val="0"/>
        <w:ind w:firstLine="420" w:firstLineChars="200"/>
        <w:jc w:val="left"/>
        <w:rPr>
          <w:rFonts w:hint="eastAsia" w:ascii="宋体" w:hAnsi="宋体" w:cs="MS Mincho"/>
          <w:kern w:val="0"/>
          <w:szCs w:val="21"/>
        </w:rPr>
      </w:pPr>
      <w:r>
        <w:rPr>
          <w:rFonts w:hint="eastAsia" w:ascii="宋体" w:hAnsi="宋体" w:cs="MS Mincho"/>
          <w:kern w:val="0"/>
          <w:szCs w:val="21"/>
        </w:rPr>
        <w:t>1.第46行第3列＝表F200第3行。</w:t>
      </w:r>
    </w:p>
    <w:p>
      <w:pPr>
        <w:widowControl/>
        <w:adjustRightInd w:val="0"/>
        <w:snapToGrid w:val="0"/>
        <w:ind w:firstLine="420" w:firstLineChars="200"/>
        <w:jc w:val="left"/>
        <w:rPr>
          <w:rFonts w:hint="eastAsia" w:ascii="宋体" w:hAnsi="宋体" w:cs="MS Mincho"/>
          <w:kern w:val="0"/>
          <w:szCs w:val="21"/>
        </w:rPr>
      </w:pPr>
      <w:r>
        <w:rPr>
          <w:rFonts w:hint="eastAsia" w:ascii="宋体" w:hAnsi="宋体" w:cs="MS Mincho"/>
          <w:kern w:val="0"/>
          <w:szCs w:val="21"/>
        </w:rPr>
        <w:t>2.第46行第4列＝表F200第4行。</w:t>
      </w:r>
    </w:p>
    <w:p>
      <w:pPr>
        <w:adjustRightInd w:val="0"/>
        <w:snapToGrid w:val="0"/>
        <w:ind w:firstLine="420" w:firstLineChars="200"/>
        <w:rPr>
          <w:rFonts w:ascii="宋体" w:hAnsi="宋体" w:cs="MS Mincho"/>
          <w:szCs w:val="21"/>
        </w:rPr>
        <w:sectPr>
          <w:pgSz w:w="11906" w:h="16838"/>
          <w:pgMar w:top="1440" w:right="1797" w:bottom="1440" w:left="1797" w:header="851" w:footer="992" w:gutter="0"/>
          <w:cols w:space="720" w:num="1"/>
          <w:docGrid w:type="lines" w:linePitch="326" w:charSpace="0"/>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MS Mincho">
    <w:panose1 w:val="02020609040205080304"/>
    <w:charset w:val="80"/>
    <w:family w:val="modern"/>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 PAGE   \* MERGEFORMAT </w:instrText>
    </w:r>
    <w:r>
      <w:fldChar w:fldCharType="separate"/>
    </w:r>
    <w:r>
      <w:rPr>
        <w:lang w:val="zh-CN"/>
      </w:rPr>
      <w:t>1461</w:t>
    </w:r>
    <w: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 PAGE   \* MERGEFORMAT </w:instrText>
    </w:r>
    <w:r>
      <w:fldChar w:fldCharType="separate"/>
    </w:r>
    <w:r>
      <w:rPr>
        <w:lang w:val="zh-CN"/>
      </w:rPr>
      <w:t>-</w:t>
    </w:r>
    <w:r>
      <w:t xml:space="preserve"> 1452 -</w:t>
    </w:r>
    <w: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6D4238"/>
    <w:rsid w:val="426D42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unhideWhenUsed/>
    <w:qFormat/>
    <w:uiPriority w:val="0"/>
    <w:pPr>
      <w:tabs>
        <w:tab w:val="center" w:pos="4153"/>
        <w:tab w:val="right" w:pos="8306"/>
      </w:tabs>
      <w:snapToGrid w:val="0"/>
      <w:jc w:val="left"/>
    </w:pPr>
    <w:rPr>
      <w:sz w:val="18"/>
      <w:szCs w:val="18"/>
    </w:rPr>
  </w:style>
  <w:style w:type="paragraph" w:styleId="3">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customStyle="1" w:styleId="6">
    <w:name w:val="标题 2_0"/>
    <w:basedOn w:val="1"/>
    <w:next w:val="1"/>
    <w:qFormat/>
    <w:uiPriority w:val="0"/>
    <w:pPr>
      <w:keepNext/>
      <w:keepLines/>
      <w:spacing w:before="260" w:after="260" w:line="416" w:lineRule="auto"/>
      <w:outlineLvl w:val="1"/>
    </w:pPr>
    <w:rPr>
      <w:rFonts w:ascii="Arial" w:hAnsi="Arial" w:eastAsia="黑体"/>
      <w:b/>
      <w:bCs/>
      <w:sz w:val="32"/>
      <w:szCs w:val="32"/>
    </w:rPr>
  </w:style>
  <w:style w:type="paragraph" w:customStyle="1" w:styleId="7">
    <w:name w:val="一级标题_0"/>
    <w:basedOn w:val="1"/>
    <w:qFormat/>
    <w:uiPriority w:val="0"/>
    <w:pPr>
      <w:widowControl/>
      <w:ind w:firstLine="420"/>
      <w:jc w:val="left"/>
      <w:outlineLvl w:val="2"/>
    </w:pPr>
    <w:rPr>
      <w:rFonts w:ascii="Arial" w:hAnsi="Arial" w:eastAsia="Times New Roman" w:cs="Arial"/>
      <w:b/>
      <w:kern w:val="0"/>
      <w:sz w:val="24"/>
      <w:szCs w:val="24"/>
    </w:rPr>
  </w:style>
  <w:style w:type="paragraph" w:customStyle="1" w:styleId="8">
    <w:name w:val="二级标题_0"/>
    <w:basedOn w:val="1"/>
    <w:qFormat/>
    <w:uiPriority w:val="0"/>
    <w:pPr>
      <w:widowControl/>
      <w:ind w:firstLine="420"/>
      <w:jc w:val="left"/>
      <w:outlineLvl w:val="3"/>
    </w:pPr>
    <w:rPr>
      <w:rFonts w:ascii="Arial" w:hAnsi="Arial" w:eastAsia="Times New Roman" w:cs="Arial"/>
      <w:kern w:val="0"/>
      <w:sz w:val="24"/>
      <w:szCs w:val="24"/>
    </w:rPr>
  </w:style>
  <w:style w:type="paragraph" w:customStyle="1" w:styleId="9">
    <w:name w:val="需求正文_0"/>
    <w:basedOn w:val="1"/>
    <w:qFormat/>
    <w:uiPriority w:val="0"/>
    <w:pPr>
      <w:widowControl/>
      <w:ind w:firstLine="420"/>
      <w:jc w:val="left"/>
    </w:pPr>
    <w:rPr>
      <w:rFonts w:ascii="Arial" w:hAnsi="Arial"/>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2019-10-31T07:37:00Z</dcterms:created>
  <dc:creator>陈莉佳</dc:creator>
  <cp:lastModifiedBy>陈莉佳</cp:lastModifiedBy>
  <dcterms:modified xsi:type="dcterms:W3CDTF">2019-10-31T07:37:23Z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