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color w:val="000000"/>
        </w:rPr>
      </w:pPr>
      <w:r>
        <w:rPr>
          <w:rFonts w:ascii="宋体" w:hAnsi="宋体" w:eastAsia="宋体"/>
          <w:color w:val="000000"/>
        </w:rPr>
        <w:t>A06861《</w:t>
      </w:r>
      <w:r>
        <w:rPr>
          <w:rFonts w:hint="eastAsia" w:ascii="宋体" w:hAnsi="宋体" w:eastAsia="宋体"/>
          <w:color w:val="000000"/>
        </w:rPr>
        <w:t>企业所得税弥补亏损明细表（F220）</w:t>
      </w:r>
      <w:r>
        <w:rPr>
          <w:rFonts w:ascii="宋体" w:hAnsi="宋体" w:eastAsia="宋体"/>
          <w:color w:val="000000"/>
        </w:rPr>
        <w:t>》</w:t>
      </w:r>
    </w:p>
    <w:p>
      <w:pPr>
        <w:rPr>
          <w:rFonts w:ascii="宋体" w:hAnsi="宋体"/>
          <w:b/>
          <w:sz w:val="28"/>
          <w:szCs w:val="28"/>
        </w:rPr>
      </w:pPr>
      <w:bookmarkStart w:id="0" w:name="_GoBack"/>
      <w:bookmarkEnd w:id="0"/>
      <w:r>
        <w:rPr>
          <w:rFonts w:ascii="宋体" w:hAnsi="宋体"/>
          <w:b/>
          <w:sz w:val="28"/>
          <w:szCs w:val="28"/>
        </w:rPr>
        <w:t xml:space="preserve">F220                                </w:t>
      </w:r>
      <w:r>
        <w:rPr>
          <w:rFonts w:hint="eastAsia" w:ascii="宋体" w:hAnsi="宋体"/>
          <w:b/>
          <w:sz w:val="28"/>
          <w:szCs w:val="28"/>
        </w:rPr>
        <w:t>企业所得税弥补亏损明细表</w:t>
      </w:r>
    </w:p>
    <w:tbl>
      <w:tblPr>
        <w:tblStyle w:val="2"/>
        <w:tblW w:w="13713"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71"/>
        <w:gridCol w:w="1142"/>
        <w:gridCol w:w="657"/>
        <w:gridCol w:w="888"/>
        <w:gridCol w:w="1197"/>
        <w:gridCol w:w="1188"/>
        <w:gridCol w:w="1209"/>
        <w:gridCol w:w="957"/>
        <w:gridCol w:w="958"/>
        <w:gridCol w:w="955"/>
        <w:gridCol w:w="1209"/>
        <w:gridCol w:w="1282"/>
        <w:gridCol w:w="14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行次</w:t>
            </w:r>
          </w:p>
        </w:tc>
        <w:tc>
          <w:tcPr>
            <w:tcW w:w="1142"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657"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w:t>
            </w:r>
          </w:p>
        </w:tc>
        <w:tc>
          <w:tcPr>
            <w:tcW w:w="888"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当年境内所得额</w:t>
            </w:r>
          </w:p>
        </w:tc>
        <w:tc>
          <w:tcPr>
            <w:tcW w:w="1197"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分立转出的亏损额</w:t>
            </w:r>
          </w:p>
        </w:tc>
        <w:tc>
          <w:tcPr>
            <w:tcW w:w="2397"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合并、分立转入</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的亏损额</w:t>
            </w:r>
          </w:p>
        </w:tc>
        <w:tc>
          <w:tcPr>
            <w:tcW w:w="957"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弥补亏损企业类型</w:t>
            </w:r>
          </w:p>
        </w:tc>
        <w:tc>
          <w:tcPr>
            <w:tcW w:w="958"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上年及本年结转的可弥补亏损额</w:t>
            </w:r>
          </w:p>
        </w:tc>
        <w:tc>
          <w:tcPr>
            <w:tcW w:w="955"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当年待弥补的亏损额</w:t>
            </w:r>
          </w:p>
        </w:tc>
        <w:tc>
          <w:tcPr>
            <w:tcW w:w="2491" w:type="dxa"/>
            <w:gridSpan w:val="2"/>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用本年度所得额弥补的以前年度亏损额</w:t>
            </w:r>
          </w:p>
        </w:tc>
        <w:tc>
          <w:tcPr>
            <w:tcW w:w="1400"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当年可结转以后年度弥补的亏损额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vMerge w:val="continue"/>
            <w:noWrap w:val="0"/>
            <w:vAlign w:val="center"/>
          </w:tcPr>
          <w:p>
            <w:pPr>
              <w:widowControl/>
              <w:jc w:val="left"/>
              <w:rPr>
                <w:rFonts w:ascii="宋体" w:hAnsi="宋体" w:cs="宋体"/>
                <w:color w:val="000000"/>
                <w:kern w:val="0"/>
                <w:sz w:val="20"/>
                <w:szCs w:val="20"/>
              </w:rPr>
            </w:pPr>
          </w:p>
        </w:tc>
        <w:tc>
          <w:tcPr>
            <w:tcW w:w="1142" w:type="dxa"/>
            <w:vMerge w:val="continue"/>
            <w:noWrap w:val="0"/>
            <w:vAlign w:val="center"/>
          </w:tcPr>
          <w:p>
            <w:pPr>
              <w:widowControl/>
              <w:jc w:val="left"/>
              <w:rPr>
                <w:rFonts w:ascii="宋体" w:hAnsi="宋体" w:cs="宋体"/>
                <w:color w:val="000000"/>
                <w:kern w:val="0"/>
                <w:sz w:val="20"/>
                <w:szCs w:val="20"/>
              </w:rPr>
            </w:pPr>
          </w:p>
        </w:tc>
        <w:tc>
          <w:tcPr>
            <w:tcW w:w="657" w:type="dxa"/>
            <w:vMerge w:val="continue"/>
            <w:noWrap w:val="0"/>
            <w:vAlign w:val="center"/>
          </w:tcPr>
          <w:p>
            <w:pPr>
              <w:widowControl/>
              <w:jc w:val="left"/>
              <w:rPr>
                <w:rFonts w:ascii="宋体" w:hAnsi="宋体" w:cs="宋体"/>
                <w:color w:val="000000"/>
                <w:kern w:val="0"/>
                <w:sz w:val="20"/>
                <w:szCs w:val="20"/>
              </w:rPr>
            </w:pPr>
          </w:p>
        </w:tc>
        <w:tc>
          <w:tcPr>
            <w:tcW w:w="888" w:type="dxa"/>
            <w:vMerge w:val="continue"/>
            <w:noWrap w:val="0"/>
            <w:vAlign w:val="center"/>
          </w:tcPr>
          <w:p>
            <w:pPr>
              <w:widowControl/>
              <w:jc w:val="left"/>
              <w:rPr>
                <w:rFonts w:ascii="宋体" w:hAnsi="宋体" w:cs="宋体"/>
                <w:color w:val="000000"/>
                <w:kern w:val="0"/>
                <w:sz w:val="20"/>
                <w:szCs w:val="20"/>
              </w:rPr>
            </w:pPr>
          </w:p>
        </w:tc>
        <w:tc>
          <w:tcPr>
            <w:tcW w:w="1197" w:type="dxa"/>
            <w:vMerge w:val="continue"/>
            <w:noWrap w:val="0"/>
            <w:vAlign w:val="center"/>
          </w:tcPr>
          <w:p>
            <w:pPr>
              <w:widowControl/>
              <w:jc w:val="left"/>
              <w:rPr>
                <w:rFonts w:ascii="宋体" w:hAnsi="宋体" w:cs="宋体"/>
                <w:color w:val="000000"/>
                <w:kern w:val="0"/>
                <w:sz w:val="20"/>
                <w:szCs w:val="20"/>
              </w:rPr>
            </w:pPr>
          </w:p>
        </w:tc>
        <w:tc>
          <w:tcPr>
            <w:tcW w:w="118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可弥补年限</w:t>
            </w:r>
            <w:r>
              <w:rPr>
                <w:rFonts w:ascii="宋体" w:hAnsi="宋体" w:cs="宋体"/>
                <w:color w:val="000000"/>
                <w:kern w:val="0"/>
                <w:sz w:val="20"/>
                <w:szCs w:val="20"/>
              </w:rPr>
              <w:t>5年</w:t>
            </w:r>
          </w:p>
        </w:tc>
        <w:tc>
          <w:tcPr>
            <w:tcW w:w="120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可弥补年限</w:t>
            </w:r>
            <w:r>
              <w:rPr>
                <w:rFonts w:ascii="宋体" w:hAnsi="宋体" w:cs="宋体"/>
                <w:color w:val="000000"/>
                <w:kern w:val="0"/>
                <w:sz w:val="20"/>
                <w:szCs w:val="20"/>
              </w:rPr>
              <w:t>10年</w:t>
            </w:r>
          </w:p>
        </w:tc>
        <w:tc>
          <w:tcPr>
            <w:tcW w:w="957" w:type="dxa"/>
            <w:vMerge w:val="continue"/>
            <w:noWrap w:val="0"/>
            <w:vAlign w:val="center"/>
          </w:tcPr>
          <w:p>
            <w:pPr>
              <w:widowControl/>
              <w:jc w:val="left"/>
              <w:rPr>
                <w:rFonts w:ascii="宋体" w:hAnsi="宋体" w:cs="宋体"/>
                <w:color w:val="000000"/>
                <w:kern w:val="0"/>
                <w:sz w:val="20"/>
                <w:szCs w:val="20"/>
              </w:rPr>
            </w:pPr>
          </w:p>
        </w:tc>
        <w:tc>
          <w:tcPr>
            <w:tcW w:w="958" w:type="dxa"/>
            <w:vMerge w:val="continue"/>
            <w:noWrap w:val="0"/>
            <w:vAlign w:val="center"/>
          </w:tcPr>
          <w:p>
            <w:pPr>
              <w:widowControl/>
              <w:jc w:val="left"/>
              <w:rPr>
                <w:rFonts w:ascii="宋体" w:hAnsi="宋体" w:cs="宋体"/>
                <w:color w:val="000000"/>
                <w:kern w:val="0"/>
                <w:sz w:val="20"/>
                <w:szCs w:val="20"/>
              </w:rPr>
            </w:pPr>
          </w:p>
        </w:tc>
        <w:tc>
          <w:tcPr>
            <w:tcW w:w="955" w:type="dxa"/>
            <w:vMerge w:val="continue"/>
            <w:noWrap w:val="0"/>
            <w:vAlign w:val="center"/>
          </w:tcPr>
          <w:p>
            <w:pPr>
              <w:widowControl/>
              <w:jc w:val="left"/>
              <w:rPr>
                <w:rFonts w:ascii="宋体" w:hAnsi="宋体" w:cs="宋体"/>
                <w:color w:val="000000"/>
                <w:kern w:val="0"/>
                <w:sz w:val="20"/>
                <w:szCs w:val="20"/>
              </w:rPr>
            </w:pPr>
          </w:p>
        </w:tc>
        <w:tc>
          <w:tcPr>
            <w:tcW w:w="120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使用境内所得弥补</w:t>
            </w:r>
          </w:p>
        </w:tc>
        <w:tc>
          <w:tcPr>
            <w:tcW w:w="1282"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使用境外所得弥补</w:t>
            </w:r>
          </w:p>
        </w:tc>
        <w:tc>
          <w:tcPr>
            <w:tcW w:w="1400" w:type="dxa"/>
            <w:vMerge w:val="continue"/>
            <w:noWrap w:val="0"/>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vMerge w:val="continue"/>
            <w:noWrap w:val="0"/>
            <w:vAlign w:val="center"/>
          </w:tcPr>
          <w:p>
            <w:pPr>
              <w:widowControl/>
              <w:jc w:val="left"/>
              <w:rPr>
                <w:rFonts w:ascii="宋体" w:hAnsi="宋体" w:cs="宋体"/>
                <w:color w:val="000000"/>
                <w:kern w:val="0"/>
                <w:sz w:val="20"/>
                <w:szCs w:val="20"/>
              </w:rPr>
            </w:pPr>
          </w:p>
        </w:tc>
        <w:tc>
          <w:tcPr>
            <w:tcW w:w="1142" w:type="dxa"/>
            <w:vMerge w:val="continue"/>
            <w:noWrap w:val="0"/>
            <w:vAlign w:val="center"/>
          </w:tcPr>
          <w:p>
            <w:pPr>
              <w:widowControl/>
              <w:jc w:val="left"/>
              <w:rPr>
                <w:rFonts w:ascii="宋体" w:hAnsi="宋体" w:cs="宋体"/>
                <w:color w:val="000000"/>
                <w:kern w:val="0"/>
                <w:sz w:val="20"/>
                <w:szCs w:val="20"/>
              </w:rPr>
            </w:pPr>
          </w:p>
        </w:tc>
        <w:tc>
          <w:tcPr>
            <w:tcW w:w="657"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888"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1197"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1188"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209"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957"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958"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955"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w:t>
            </w:r>
          </w:p>
        </w:tc>
        <w:tc>
          <w:tcPr>
            <w:tcW w:w="1209"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w:t>
            </w:r>
          </w:p>
        </w:tc>
        <w:tc>
          <w:tcPr>
            <w:tcW w:w="1282"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w:t>
            </w:r>
          </w:p>
        </w:tc>
        <w:tc>
          <w:tcPr>
            <w:tcW w:w="1400"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142"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前十年度</w:t>
            </w:r>
          </w:p>
        </w:tc>
        <w:tc>
          <w:tcPr>
            <w:tcW w:w="657" w:type="dxa"/>
            <w:noWrap w:val="0"/>
            <w:vAlign w:val="center"/>
          </w:tcPr>
          <w:p>
            <w:pPr>
              <w:widowControl/>
              <w:jc w:val="center"/>
              <w:rPr>
                <w:rFonts w:ascii="宋体" w:hAnsi="宋体" w:cs="宋体"/>
                <w:color w:val="000000"/>
                <w:kern w:val="0"/>
                <w:sz w:val="20"/>
                <w:szCs w:val="20"/>
              </w:rPr>
            </w:pPr>
          </w:p>
        </w:tc>
        <w:tc>
          <w:tcPr>
            <w:tcW w:w="888" w:type="dxa"/>
            <w:noWrap w:val="0"/>
            <w:vAlign w:val="center"/>
          </w:tcPr>
          <w:p>
            <w:pPr>
              <w:widowControl/>
              <w:jc w:val="right"/>
              <w:rPr>
                <w:rFonts w:ascii="宋体" w:hAnsi="宋体" w:cs="宋体"/>
                <w:color w:val="000000"/>
                <w:kern w:val="0"/>
                <w:sz w:val="20"/>
                <w:szCs w:val="20"/>
              </w:rPr>
            </w:pPr>
          </w:p>
        </w:tc>
        <w:tc>
          <w:tcPr>
            <w:tcW w:w="1197" w:type="dxa"/>
            <w:noWrap w:val="0"/>
            <w:vAlign w:val="center"/>
          </w:tcPr>
          <w:p>
            <w:pPr>
              <w:widowControl/>
              <w:jc w:val="right"/>
              <w:rPr>
                <w:rFonts w:ascii="宋体" w:hAnsi="宋体" w:cs="宋体"/>
                <w:color w:val="000000"/>
                <w:kern w:val="0"/>
                <w:sz w:val="20"/>
                <w:szCs w:val="20"/>
              </w:rPr>
            </w:pPr>
          </w:p>
        </w:tc>
        <w:tc>
          <w:tcPr>
            <w:tcW w:w="1188" w:type="dxa"/>
            <w:noWrap w:val="0"/>
            <w:vAlign w:val="center"/>
          </w:tcPr>
          <w:p>
            <w:pPr>
              <w:widowControl/>
              <w:jc w:val="right"/>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957" w:type="dxa"/>
            <w:noWrap w:val="0"/>
            <w:vAlign w:val="center"/>
          </w:tcPr>
          <w:p>
            <w:pPr>
              <w:widowControl/>
              <w:jc w:val="left"/>
              <w:rPr>
                <w:rFonts w:ascii="宋体" w:hAnsi="宋体" w:cs="宋体"/>
                <w:color w:val="000000"/>
                <w:kern w:val="0"/>
                <w:sz w:val="20"/>
                <w:szCs w:val="20"/>
              </w:rPr>
            </w:pPr>
          </w:p>
        </w:tc>
        <w:tc>
          <w:tcPr>
            <w:tcW w:w="958" w:type="dxa"/>
            <w:noWrap w:val="0"/>
            <w:vAlign w:val="center"/>
          </w:tcPr>
          <w:p>
            <w:pPr>
              <w:widowControl/>
              <w:jc w:val="right"/>
              <w:rPr>
                <w:rFonts w:ascii="宋体" w:hAnsi="宋体" w:cs="宋体"/>
                <w:color w:val="000000"/>
                <w:kern w:val="0"/>
                <w:sz w:val="20"/>
                <w:szCs w:val="20"/>
              </w:rPr>
            </w:pPr>
          </w:p>
        </w:tc>
        <w:tc>
          <w:tcPr>
            <w:tcW w:w="955" w:type="dxa"/>
            <w:noWrap w:val="0"/>
            <w:vAlign w:val="center"/>
          </w:tcPr>
          <w:p>
            <w:pPr>
              <w:widowControl/>
              <w:jc w:val="left"/>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1282" w:type="dxa"/>
            <w:noWrap w:val="0"/>
            <w:vAlign w:val="center"/>
          </w:tcPr>
          <w:p>
            <w:pPr>
              <w:widowControl/>
              <w:jc w:val="right"/>
              <w:rPr>
                <w:rFonts w:ascii="宋体" w:hAnsi="宋体" w:cs="宋体"/>
                <w:color w:val="000000"/>
                <w:kern w:val="0"/>
                <w:sz w:val="20"/>
                <w:szCs w:val="20"/>
              </w:rPr>
            </w:pPr>
          </w:p>
        </w:tc>
        <w:tc>
          <w:tcPr>
            <w:tcW w:w="1400" w:type="dxa"/>
            <w:noWrap w:val="0"/>
            <w:vAlign w:val="center"/>
          </w:tcPr>
          <w:p>
            <w:pPr>
              <w:widowControl/>
              <w:jc w:val="center"/>
              <w:rPr>
                <w:rFonts w:ascii="宋体" w:hAnsi="宋体" w:cs="宋体"/>
                <w:color w:val="000000"/>
                <w:kern w:val="0"/>
                <w:sz w:val="20"/>
                <w:szCs w:val="20"/>
              </w:rPr>
            </w:pPr>
            <w:r>
              <w:rPr>
                <w:rFonts w:ascii="宋体" w:hAnsi="宋体" w:cs="宋体"/>
                <w:kern w:val="0"/>
                <w:sz w:val="20"/>
                <w:szCs w:val="2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1142"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前九年度</w:t>
            </w:r>
          </w:p>
        </w:tc>
        <w:tc>
          <w:tcPr>
            <w:tcW w:w="657" w:type="dxa"/>
            <w:noWrap w:val="0"/>
            <w:vAlign w:val="center"/>
          </w:tcPr>
          <w:p>
            <w:pPr>
              <w:widowControl/>
              <w:jc w:val="center"/>
              <w:rPr>
                <w:rFonts w:ascii="宋体" w:hAnsi="宋体" w:cs="宋体"/>
                <w:color w:val="000000"/>
                <w:kern w:val="0"/>
                <w:sz w:val="20"/>
                <w:szCs w:val="20"/>
              </w:rPr>
            </w:pPr>
          </w:p>
        </w:tc>
        <w:tc>
          <w:tcPr>
            <w:tcW w:w="888" w:type="dxa"/>
            <w:noWrap w:val="0"/>
            <w:vAlign w:val="center"/>
          </w:tcPr>
          <w:p>
            <w:pPr>
              <w:widowControl/>
              <w:jc w:val="right"/>
              <w:rPr>
                <w:rFonts w:ascii="宋体" w:hAnsi="宋体" w:cs="宋体"/>
                <w:color w:val="000000"/>
                <w:kern w:val="0"/>
                <w:sz w:val="20"/>
                <w:szCs w:val="20"/>
              </w:rPr>
            </w:pPr>
          </w:p>
        </w:tc>
        <w:tc>
          <w:tcPr>
            <w:tcW w:w="1197" w:type="dxa"/>
            <w:noWrap w:val="0"/>
            <w:vAlign w:val="center"/>
          </w:tcPr>
          <w:p>
            <w:pPr>
              <w:widowControl/>
              <w:jc w:val="right"/>
              <w:rPr>
                <w:rFonts w:ascii="宋体" w:hAnsi="宋体" w:cs="宋体"/>
                <w:color w:val="000000"/>
                <w:kern w:val="0"/>
                <w:sz w:val="20"/>
                <w:szCs w:val="20"/>
              </w:rPr>
            </w:pPr>
          </w:p>
        </w:tc>
        <w:tc>
          <w:tcPr>
            <w:tcW w:w="1188" w:type="dxa"/>
            <w:noWrap w:val="0"/>
            <w:vAlign w:val="center"/>
          </w:tcPr>
          <w:p>
            <w:pPr>
              <w:widowControl/>
              <w:jc w:val="right"/>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957" w:type="dxa"/>
            <w:noWrap w:val="0"/>
            <w:vAlign w:val="center"/>
          </w:tcPr>
          <w:p>
            <w:pPr>
              <w:widowControl/>
              <w:jc w:val="left"/>
              <w:rPr>
                <w:rFonts w:ascii="宋体" w:hAnsi="宋体" w:cs="宋体"/>
                <w:color w:val="000000"/>
                <w:kern w:val="0"/>
                <w:sz w:val="20"/>
                <w:szCs w:val="20"/>
              </w:rPr>
            </w:pPr>
          </w:p>
        </w:tc>
        <w:tc>
          <w:tcPr>
            <w:tcW w:w="958" w:type="dxa"/>
            <w:noWrap w:val="0"/>
            <w:vAlign w:val="center"/>
          </w:tcPr>
          <w:p>
            <w:pPr>
              <w:widowControl/>
              <w:jc w:val="right"/>
              <w:rPr>
                <w:rFonts w:ascii="宋体" w:hAnsi="宋体" w:cs="宋体"/>
                <w:color w:val="000000"/>
                <w:kern w:val="0"/>
                <w:sz w:val="20"/>
                <w:szCs w:val="20"/>
              </w:rPr>
            </w:pPr>
          </w:p>
        </w:tc>
        <w:tc>
          <w:tcPr>
            <w:tcW w:w="955" w:type="dxa"/>
            <w:noWrap w:val="0"/>
            <w:vAlign w:val="center"/>
          </w:tcPr>
          <w:p>
            <w:pPr>
              <w:widowControl/>
              <w:jc w:val="left"/>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1282" w:type="dxa"/>
            <w:noWrap w:val="0"/>
            <w:vAlign w:val="center"/>
          </w:tcPr>
          <w:p>
            <w:pPr>
              <w:widowControl/>
              <w:jc w:val="right"/>
              <w:rPr>
                <w:rFonts w:ascii="宋体" w:hAnsi="宋体" w:cs="宋体"/>
                <w:color w:val="000000"/>
                <w:kern w:val="0"/>
                <w:sz w:val="20"/>
                <w:szCs w:val="20"/>
              </w:rPr>
            </w:pPr>
          </w:p>
        </w:tc>
        <w:tc>
          <w:tcPr>
            <w:tcW w:w="1400" w:type="dxa"/>
            <w:noWrap w:val="0"/>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1142"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前八年度</w:t>
            </w:r>
          </w:p>
        </w:tc>
        <w:tc>
          <w:tcPr>
            <w:tcW w:w="657" w:type="dxa"/>
            <w:noWrap w:val="0"/>
            <w:vAlign w:val="center"/>
          </w:tcPr>
          <w:p>
            <w:pPr>
              <w:widowControl/>
              <w:jc w:val="center"/>
              <w:rPr>
                <w:rFonts w:ascii="宋体" w:hAnsi="宋体" w:cs="宋体"/>
                <w:color w:val="000000"/>
                <w:kern w:val="0"/>
                <w:sz w:val="20"/>
                <w:szCs w:val="20"/>
              </w:rPr>
            </w:pPr>
          </w:p>
        </w:tc>
        <w:tc>
          <w:tcPr>
            <w:tcW w:w="888" w:type="dxa"/>
            <w:noWrap w:val="0"/>
            <w:vAlign w:val="center"/>
          </w:tcPr>
          <w:p>
            <w:pPr>
              <w:widowControl/>
              <w:jc w:val="right"/>
              <w:rPr>
                <w:rFonts w:ascii="宋体" w:hAnsi="宋体" w:cs="宋体"/>
                <w:color w:val="000000"/>
                <w:kern w:val="0"/>
                <w:sz w:val="20"/>
                <w:szCs w:val="20"/>
              </w:rPr>
            </w:pPr>
          </w:p>
        </w:tc>
        <w:tc>
          <w:tcPr>
            <w:tcW w:w="1197" w:type="dxa"/>
            <w:noWrap w:val="0"/>
            <w:vAlign w:val="center"/>
          </w:tcPr>
          <w:p>
            <w:pPr>
              <w:widowControl/>
              <w:jc w:val="right"/>
              <w:rPr>
                <w:rFonts w:ascii="宋体" w:hAnsi="宋体" w:cs="宋体"/>
                <w:color w:val="000000"/>
                <w:kern w:val="0"/>
                <w:sz w:val="20"/>
                <w:szCs w:val="20"/>
              </w:rPr>
            </w:pPr>
          </w:p>
        </w:tc>
        <w:tc>
          <w:tcPr>
            <w:tcW w:w="1188" w:type="dxa"/>
            <w:noWrap w:val="0"/>
            <w:vAlign w:val="center"/>
          </w:tcPr>
          <w:p>
            <w:pPr>
              <w:widowControl/>
              <w:jc w:val="right"/>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957" w:type="dxa"/>
            <w:noWrap w:val="0"/>
            <w:vAlign w:val="center"/>
          </w:tcPr>
          <w:p>
            <w:pPr>
              <w:widowControl/>
              <w:jc w:val="left"/>
              <w:rPr>
                <w:rFonts w:ascii="宋体" w:hAnsi="宋体" w:cs="宋体"/>
                <w:color w:val="000000"/>
                <w:kern w:val="0"/>
                <w:sz w:val="20"/>
                <w:szCs w:val="20"/>
              </w:rPr>
            </w:pPr>
          </w:p>
        </w:tc>
        <w:tc>
          <w:tcPr>
            <w:tcW w:w="958" w:type="dxa"/>
            <w:noWrap w:val="0"/>
            <w:vAlign w:val="center"/>
          </w:tcPr>
          <w:p>
            <w:pPr>
              <w:widowControl/>
              <w:jc w:val="right"/>
              <w:rPr>
                <w:rFonts w:ascii="宋体" w:hAnsi="宋体" w:cs="宋体"/>
                <w:color w:val="000000"/>
                <w:kern w:val="0"/>
                <w:sz w:val="20"/>
                <w:szCs w:val="20"/>
              </w:rPr>
            </w:pPr>
          </w:p>
        </w:tc>
        <w:tc>
          <w:tcPr>
            <w:tcW w:w="955" w:type="dxa"/>
            <w:noWrap w:val="0"/>
            <w:vAlign w:val="center"/>
          </w:tcPr>
          <w:p>
            <w:pPr>
              <w:widowControl/>
              <w:jc w:val="left"/>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1282" w:type="dxa"/>
            <w:noWrap w:val="0"/>
            <w:vAlign w:val="center"/>
          </w:tcPr>
          <w:p>
            <w:pPr>
              <w:widowControl/>
              <w:jc w:val="right"/>
              <w:rPr>
                <w:rFonts w:ascii="宋体" w:hAnsi="宋体" w:cs="宋体"/>
                <w:color w:val="000000"/>
                <w:kern w:val="0"/>
                <w:sz w:val="20"/>
                <w:szCs w:val="20"/>
              </w:rPr>
            </w:pPr>
          </w:p>
        </w:tc>
        <w:tc>
          <w:tcPr>
            <w:tcW w:w="1400" w:type="dxa"/>
            <w:noWrap w:val="0"/>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142"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前七年度</w:t>
            </w:r>
          </w:p>
        </w:tc>
        <w:tc>
          <w:tcPr>
            <w:tcW w:w="657" w:type="dxa"/>
            <w:noWrap w:val="0"/>
            <w:vAlign w:val="center"/>
          </w:tcPr>
          <w:p>
            <w:pPr>
              <w:widowControl/>
              <w:jc w:val="center"/>
              <w:rPr>
                <w:rFonts w:ascii="宋体" w:hAnsi="宋体" w:cs="宋体"/>
                <w:color w:val="000000"/>
                <w:kern w:val="0"/>
                <w:sz w:val="20"/>
                <w:szCs w:val="20"/>
              </w:rPr>
            </w:pPr>
          </w:p>
        </w:tc>
        <w:tc>
          <w:tcPr>
            <w:tcW w:w="888" w:type="dxa"/>
            <w:noWrap w:val="0"/>
            <w:vAlign w:val="center"/>
          </w:tcPr>
          <w:p>
            <w:pPr>
              <w:widowControl/>
              <w:jc w:val="right"/>
              <w:rPr>
                <w:rFonts w:ascii="宋体" w:hAnsi="宋体" w:cs="宋体"/>
                <w:color w:val="000000"/>
                <w:kern w:val="0"/>
                <w:sz w:val="20"/>
                <w:szCs w:val="20"/>
              </w:rPr>
            </w:pPr>
          </w:p>
        </w:tc>
        <w:tc>
          <w:tcPr>
            <w:tcW w:w="1197" w:type="dxa"/>
            <w:noWrap w:val="0"/>
            <w:vAlign w:val="center"/>
          </w:tcPr>
          <w:p>
            <w:pPr>
              <w:widowControl/>
              <w:jc w:val="right"/>
              <w:rPr>
                <w:rFonts w:ascii="宋体" w:hAnsi="宋体" w:cs="宋体"/>
                <w:color w:val="000000"/>
                <w:kern w:val="0"/>
                <w:sz w:val="20"/>
                <w:szCs w:val="20"/>
              </w:rPr>
            </w:pPr>
          </w:p>
        </w:tc>
        <w:tc>
          <w:tcPr>
            <w:tcW w:w="1188" w:type="dxa"/>
            <w:noWrap w:val="0"/>
            <w:vAlign w:val="center"/>
          </w:tcPr>
          <w:p>
            <w:pPr>
              <w:widowControl/>
              <w:jc w:val="right"/>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957" w:type="dxa"/>
            <w:noWrap w:val="0"/>
            <w:vAlign w:val="center"/>
          </w:tcPr>
          <w:p>
            <w:pPr>
              <w:widowControl/>
              <w:jc w:val="left"/>
              <w:rPr>
                <w:rFonts w:ascii="宋体" w:hAnsi="宋体" w:cs="宋体"/>
                <w:color w:val="000000"/>
                <w:kern w:val="0"/>
                <w:sz w:val="20"/>
                <w:szCs w:val="20"/>
              </w:rPr>
            </w:pPr>
          </w:p>
        </w:tc>
        <w:tc>
          <w:tcPr>
            <w:tcW w:w="958" w:type="dxa"/>
            <w:noWrap w:val="0"/>
            <w:vAlign w:val="center"/>
          </w:tcPr>
          <w:p>
            <w:pPr>
              <w:widowControl/>
              <w:jc w:val="right"/>
              <w:rPr>
                <w:rFonts w:ascii="宋体" w:hAnsi="宋体" w:cs="宋体"/>
                <w:color w:val="000000"/>
                <w:kern w:val="0"/>
                <w:sz w:val="20"/>
                <w:szCs w:val="20"/>
              </w:rPr>
            </w:pPr>
          </w:p>
        </w:tc>
        <w:tc>
          <w:tcPr>
            <w:tcW w:w="955" w:type="dxa"/>
            <w:noWrap w:val="0"/>
            <w:vAlign w:val="center"/>
          </w:tcPr>
          <w:p>
            <w:pPr>
              <w:widowControl/>
              <w:jc w:val="left"/>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1282" w:type="dxa"/>
            <w:noWrap w:val="0"/>
            <w:vAlign w:val="center"/>
          </w:tcPr>
          <w:p>
            <w:pPr>
              <w:widowControl/>
              <w:jc w:val="right"/>
              <w:rPr>
                <w:rFonts w:ascii="宋体" w:hAnsi="宋体" w:cs="宋体"/>
                <w:color w:val="000000"/>
                <w:kern w:val="0"/>
                <w:sz w:val="20"/>
                <w:szCs w:val="20"/>
              </w:rPr>
            </w:pPr>
          </w:p>
        </w:tc>
        <w:tc>
          <w:tcPr>
            <w:tcW w:w="1400" w:type="dxa"/>
            <w:noWrap w:val="0"/>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1142"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前六年度</w:t>
            </w:r>
          </w:p>
        </w:tc>
        <w:tc>
          <w:tcPr>
            <w:tcW w:w="657" w:type="dxa"/>
            <w:noWrap w:val="0"/>
            <w:vAlign w:val="center"/>
          </w:tcPr>
          <w:p>
            <w:pPr>
              <w:widowControl/>
              <w:jc w:val="center"/>
              <w:rPr>
                <w:rFonts w:ascii="宋体" w:hAnsi="宋体" w:cs="宋体"/>
                <w:color w:val="000000"/>
                <w:kern w:val="0"/>
                <w:sz w:val="20"/>
                <w:szCs w:val="20"/>
              </w:rPr>
            </w:pPr>
          </w:p>
        </w:tc>
        <w:tc>
          <w:tcPr>
            <w:tcW w:w="888" w:type="dxa"/>
            <w:noWrap w:val="0"/>
            <w:vAlign w:val="center"/>
          </w:tcPr>
          <w:p>
            <w:pPr>
              <w:widowControl/>
              <w:jc w:val="right"/>
              <w:rPr>
                <w:rFonts w:ascii="宋体" w:hAnsi="宋体" w:cs="宋体"/>
                <w:color w:val="000000"/>
                <w:kern w:val="0"/>
                <w:sz w:val="20"/>
                <w:szCs w:val="20"/>
              </w:rPr>
            </w:pPr>
          </w:p>
        </w:tc>
        <w:tc>
          <w:tcPr>
            <w:tcW w:w="1197" w:type="dxa"/>
            <w:noWrap w:val="0"/>
            <w:vAlign w:val="center"/>
          </w:tcPr>
          <w:p>
            <w:pPr>
              <w:widowControl/>
              <w:jc w:val="right"/>
              <w:rPr>
                <w:rFonts w:ascii="宋体" w:hAnsi="宋体" w:cs="宋体"/>
                <w:color w:val="000000"/>
                <w:kern w:val="0"/>
                <w:sz w:val="20"/>
                <w:szCs w:val="20"/>
              </w:rPr>
            </w:pPr>
          </w:p>
        </w:tc>
        <w:tc>
          <w:tcPr>
            <w:tcW w:w="1188" w:type="dxa"/>
            <w:noWrap w:val="0"/>
            <w:vAlign w:val="center"/>
          </w:tcPr>
          <w:p>
            <w:pPr>
              <w:widowControl/>
              <w:jc w:val="right"/>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957" w:type="dxa"/>
            <w:noWrap w:val="0"/>
            <w:vAlign w:val="center"/>
          </w:tcPr>
          <w:p>
            <w:pPr>
              <w:widowControl/>
              <w:jc w:val="left"/>
              <w:rPr>
                <w:rFonts w:ascii="宋体" w:hAnsi="宋体" w:cs="宋体"/>
                <w:color w:val="000000"/>
                <w:kern w:val="0"/>
                <w:sz w:val="20"/>
                <w:szCs w:val="20"/>
              </w:rPr>
            </w:pPr>
          </w:p>
        </w:tc>
        <w:tc>
          <w:tcPr>
            <w:tcW w:w="958" w:type="dxa"/>
            <w:noWrap w:val="0"/>
            <w:vAlign w:val="center"/>
          </w:tcPr>
          <w:p>
            <w:pPr>
              <w:widowControl/>
              <w:jc w:val="right"/>
              <w:rPr>
                <w:rFonts w:ascii="宋体" w:hAnsi="宋体" w:cs="宋体"/>
                <w:color w:val="000000"/>
                <w:kern w:val="0"/>
                <w:sz w:val="20"/>
                <w:szCs w:val="20"/>
              </w:rPr>
            </w:pPr>
          </w:p>
        </w:tc>
        <w:tc>
          <w:tcPr>
            <w:tcW w:w="955" w:type="dxa"/>
            <w:noWrap w:val="0"/>
            <w:vAlign w:val="center"/>
          </w:tcPr>
          <w:p>
            <w:pPr>
              <w:widowControl/>
              <w:jc w:val="left"/>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1282" w:type="dxa"/>
            <w:noWrap w:val="0"/>
            <w:vAlign w:val="center"/>
          </w:tcPr>
          <w:p>
            <w:pPr>
              <w:widowControl/>
              <w:jc w:val="right"/>
              <w:rPr>
                <w:rFonts w:ascii="宋体" w:hAnsi="宋体" w:cs="宋体"/>
                <w:color w:val="000000"/>
                <w:kern w:val="0"/>
                <w:sz w:val="20"/>
                <w:szCs w:val="20"/>
              </w:rPr>
            </w:pPr>
          </w:p>
        </w:tc>
        <w:tc>
          <w:tcPr>
            <w:tcW w:w="1400" w:type="dxa"/>
            <w:noWrap w:val="0"/>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1142"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前五年度</w:t>
            </w:r>
          </w:p>
        </w:tc>
        <w:tc>
          <w:tcPr>
            <w:tcW w:w="657" w:type="dxa"/>
            <w:noWrap w:val="0"/>
            <w:vAlign w:val="center"/>
          </w:tcPr>
          <w:p>
            <w:pPr>
              <w:widowControl/>
              <w:jc w:val="center"/>
              <w:rPr>
                <w:rFonts w:ascii="宋体" w:hAnsi="宋体" w:cs="宋体"/>
                <w:color w:val="000000"/>
                <w:kern w:val="0"/>
                <w:sz w:val="20"/>
                <w:szCs w:val="20"/>
              </w:rPr>
            </w:pPr>
          </w:p>
        </w:tc>
        <w:tc>
          <w:tcPr>
            <w:tcW w:w="888" w:type="dxa"/>
            <w:noWrap w:val="0"/>
            <w:vAlign w:val="center"/>
          </w:tcPr>
          <w:p>
            <w:pPr>
              <w:widowControl/>
              <w:jc w:val="right"/>
              <w:rPr>
                <w:rFonts w:ascii="宋体" w:hAnsi="宋体" w:cs="宋体"/>
                <w:color w:val="000000"/>
                <w:kern w:val="0"/>
                <w:sz w:val="20"/>
                <w:szCs w:val="20"/>
              </w:rPr>
            </w:pPr>
          </w:p>
        </w:tc>
        <w:tc>
          <w:tcPr>
            <w:tcW w:w="1197" w:type="dxa"/>
            <w:noWrap w:val="0"/>
            <w:vAlign w:val="center"/>
          </w:tcPr>
          <w:p>
            <w:pPr>
              <w:widowControl/>
              <w:jc w:val="right"/>
              <w:rPr>
                <w:rFonts w:ascii="宋体" w:hAnsi="宋体" w:cs="宋体"/>
                <w:color w:val="000000"/>
                <w:kern w:val="0"/>
                <w:sz w:val="20"/>
                <w:szCs w:val="20"/>
              </w:rPr>
            </w:pPr>
          </w:p>
        </w:tc>
        <w:tc>
          <w:tcPr>
            <w:tcW w:w="1188" w:type="dxa"/>
            <w:noWrap w:val="0"/>
            <w:vAlign w:val="center"/>
          </w:tcPr>
          <w:p>
            <w:pPr>
              <w:widowControl/>
              <w:jc w:val="right"/>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957" w:type="dxa"/>
            <w:noWrap w:val="0"/>
            <w:vAlign w:val="center"/>
          </w:tcPr>
          <w:p>
            <w:pPr>
              <w:widowControl/>
              <w:jc w:val="left"/>
              <w:rPr>
                <w:rFonts w:ascii="宋体" w:hAnsi="宋体" w:cs="宋体"/>
                <w:color w:val="000000"/>
                <w:kern w:val="0"/>
                <w:sz w:val="20"/>
                <w:szCs w:val="20"/>
              </w:rPr>
            </w:pPr>
          </w:p>
        </w:tc>
        <w:tc>
          <w:tcPr>
            <w:tcW w:w="958" w:type="dxa"/>
            <w:noWrap w:val="0"/>
            <w:vAlign w:val="center"/>
          </w:tcPr>
          <w:p>
            <w:pPr>
              <w:widowControl/>
              <w:jc w:val="right"/>
              <w:rPr>
                <w:rFonts w:ascii="宋体" w:hAnsi="宋体" w:cs="宋体"/>
                <w:color w:val="000000"/>
                <w:kern w:val="0"/>
                <w:sz w:val="20"/>
                <w:szCs w:val="20"/>
              </w:rPr>
            </w:pPr>
          </w:p>
        </w:tc>
        <w:tc>
          <w:tcPr>
            <w:tcW w:w="955" w:type="dxa"/>
            <w:noWrap w:val="0"/>
            <w:vAlign w:val="center"/>
          </w:tcPr>
          <w:p>
            <w:pPr>
              <w:widowControl/>
              <w:jc w:val="left"/>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1282" w:type="dxa"/>
            <w:noWrap w:val="0"/>
            <w:vAlign w:val="center"/>
          </w:tcPr>
          <w:p>
            <w:pPr>
              <w:widowControl/>
              <w:jc w:val="right"/>
              <w:rPr>
                <w:rFonts w:ascii="宋体" w:hAnsi="宋体" w:cs="宋体"/>
                <w:color w:val="000000"/>
                <w:kern w:val="0"/>
                <w:sz w:val="20"/>
                <w:szCs w:val="20"/>
              </w:rPr>
            </w:pPr>
          </w:p>
        </w:tc>
        <w:tc>
          <w:tcPr>
            <w:tcW w:w="1400" w:type="dxa"/>
            <w:noWrap w:val="0"/>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1142"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前四年度</w:t>
            </w:r>
          </w:p>
        </w:tc>
        <w:tc>
          <w:tcPr>
            <w:tcW w:w="657" w:type="dxa"/>
            <w:noWrap w:val="0"/>
            <w:vAlign w:val="center"/>
          </w:tcPr>
          <w:p>
            <w:pPr>
              <w:widowControl/>
              <w:jc w:val="center"/>
              <w:rPr>
                <w:rFonts w:ascii="宋体" w:hAnsi="宋体" w:cs="宋体"/>
                <w:color w:val="000000"/>
                <w:kern w:val="0"/>
                <w:sz w:val="20"/>
                <w:szCs w:val="20"/>
              </w:rPr>
            </w:pPr>
          </w:p>
        </w:tc>
        <w:tc>
          <w:tcPr>
            <w:tcW w:w="888" w:type="dxa"/>
            <w:noWrap w:val="0"/>
            <w:vAlign w:val="center"/>
          </w:tcPr>
          <w:p>
            <w:pPr>
              <w:widowControl/>
              <w:jc w:val="right"/>
              <w:rPr>
                <w:rFonts w:ascii="宋体" w:hAnsi="宋体" w:cs="宋体"/>
                <w:color w:val="000000"/>
                <w:kern w:val="0"/>
                <w:sz w:val="20"/>
                <w:szCs w:val="20"/>
              </w:rPr>
            </w:pPr>
          </w:p>
        </w:tc>
        <w:tc>
          <w:tcPr>
            <w:tcW w:w="1197" w:type="dxa"/>
            <w:noWrap w:val="0"/>
            <w:vAlign w:val="center"/>
          </w:tcPr>
          <w:p>
            <w:pPr>
              <w:widowControl/>
              <w:jc w:val="right"/>
              <w:rPr>
                <w:rFonts w:ascii="宋体" w:hAnsi="宋体" w:cs="宋体"/>
                <w:color w:val="000000"/>
                <w:kern w:val="0"/>
                <w:sz w:val="20"/>
                <w:szCs w:val="20"/>
              </w:rPr>
            </w:pPr>
          </w:p>
        </w:tc>
        <w:tc>
          <w:tcPr>
            <w:tcW w:w="1188" w:type="dxa"/>
            <w:noWrap w:val="0"/>
            <w:vAlign w:val="center"/>
          </w:tcPr>
          <w:p>
            <w:pPr>
              <w:widowControl/>
              <w:jc w:val="right"/>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957" w:type="dxa"/>
            <w:noWrap w:val="0"/>
            <w:vAlign w:val="center"/>
          </w:tcPr>
          <w:p>
            <w:pPr>
              <w:widowControl/>
              <w:jc w:val="left"/>
              <w:rPr>
                <w:rFonts w:ascii="宋体" w:hAnsi="宋体" w:cs="宋体"/>
                <w:color w:val="000000"/>
                <w:kern w:val="0"/>
                <w:sz w:val="20"/>
                <w:szCs w:val="20"/>
              </w:rPr>
            </w:pPr>
          </w:p>
        </w:tc>
        <w:tc>
          <w:tcPr>
            <w:tcW w:w="958" w:type="dxa"/>
            <w:noWrap w:val="0"/>
            <w:vAlign w:val="center"/>
          </w:tcPr>
          <w:p>
            <w:pPr>
              <w:widowControl/>
              <w:jc w:val="right"/>
              <w:rPr>
                <w:rFonts w:ascii="宋体" w:hAnsi="宋体" w:cs="宋体"/>
                <w:color w:val="000000"/>
                <w:kern w:val="0"/>
                <w:sz w:val="20"/>
                <w:szCs w:val="20"/>
              </w:rPr>
            </w:pPr>
          </w:p>
        </w:tc>
        <w:tc>
          <w:tcPr>
            <w:tcW w:w="955" w:type="dxa"/>
            <w:noWrap w:val="0"/>
            <w:vAlign w:val="center"/>
          </w:tcPr>
          <w:p>
            <w:pPr>
              <w:widowControl/>
              <w:jc w:val="left"/>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1282" w:type="dxa"/>
            <w:noWrap w:val="0"/>
            <w:vAlign w:val="center"/>
          </w:tcPr>
          <w:p>
            <w:pPr>
              <w:widowControl/>
              <w:jc w:val="right"/>
              <w:rPr>
                <w:rFonts w:ascii="宋体" w:hAnsi="宋体" w:cs="宋体"/>
                <w:color w:val="000000"/>
                <w:kern w:val="0"/>
                <w:sz w:val="20"/>
                <w:szCs w:val="20"/>
              </w:rPr>
            </w:pPr>
          </w:p>
        </w:tc>
        <w:tc>
          <w:tcPr>
            <w:tcW w:w="1400" w:type="dxa"/>
            <w:noWrap w:val="0"/>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w:t>
            </w:r>
          </w:p>
        </w:tc>
        <w:tc>
          <w:tcPr>
            <w:tcW w:w="1142"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前三年度</w:t>
            </w:r>
          </w:p>
        </w:tc>
        <w:tc>
          <w:tcPr>
            <w:tcW w:w="657" w:type="dxa"/>
            <w:noWrap w:val="0"/>
            <w:vAlign w:val="center"/>
          </w:tcPr>
          <w:p>
            <w:pPr>
              <w:widowControl/>
              <w:jc w:val="center"/>
              <w:rPr>
                <w:rFonts w:ascii="宋体" w:hAnsi="宋体" w:cs="宋体"/>
                <w:color w:val="000000"/>
                <w:kern w:val="0"/>
                <w:sz w:val="20"/>
                <w:szCs w:val="20"/>
              </w:rPr>
            </w:pPr>
          </w:p>
        </w:tc>
        <w:tc>
          <w:tcPr>
            <w:tcW w:w="888" w:type="dxa"/>
            <w:noWrap w:val="0"/>
            <w:vAlign w:val="center"/>
          </w:tcPr>
          <w:p>
            <w:pPr>
              <w:widowControl/>
              <w:jc w:val="right"/>
              <w:rPr>
                <w:rFonts w:ascii="宋体" w:hAnsi="宋体" w:cs="宋体"/>
                <w:color w:val="000000"/>
                <w:kern w:val="0"/>
                <w:sz w:val="20"/>
                <w:szCs w:val="20"/>
              </w:rPr>
            </w:pPr>
          </w:p>
        </w:tc>
        <w:tc>
          <w:tcPr>
            <w:tcW w:w="1197" w:type="dxa"/>
            <w:noWrap w:val="0"/>
            <w:vAlign w:val="center"/>
          </w:tcPr>
          <w:p>
            <w:pPr>
              <w:widowControl/>
              <w:jc w:val="right"/>
              <w:rPr>
                <w:rFonts w:ascii="宋体" w:hAnsi="宋体" w:cs="宋体"/>
                <w:color w:val="000000"/>
                <w:kern w:val="0"/>
                <w:sz w:val="20"/>
                <w:szCs w:val="20"/>
              </w:rPr>
            </w:pPr>
          </w:p>
        </w:tc>
        <w:tc>
          <w:tcPr>
            <w:tcW w:w="1188" w:type="dxa"/>
            <w:noWrap w:val="0"/>
            <w:vAlign w:val="center"/>
          </w:tcPr>
          <w:p>
            <w:pPr>
              <w:widowControl/>
              <w:jc w:val="right"/>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957" w:type="dxa"/>
            <w:noWrap w:val="0"/>
            <w:vAlign w:val="center"/>
          </w:tcPr>
          <w:p>
            <w:pPr>
              <w:widowControl/>
              <w:jc w:val="left"/>
              <w:rPr>
                <w:rFonts w:ascii="宋体" w:hAnsi="宋体" w:cs="宋体"/>
                <w:color w:val="000000"/>
                <w:kern w:val="0"/>
                <w:sz w:val="20"/>
                <w:szCs w:val="20"/>
              </w:rPr>
            </w:pPr>
          </w:p>
        </w:tc>
        <w:tc>
          <w:tcPr>
            <w:tcW w:w="958" w:type="dxa"/>
            <w:noWrap w:val="0"/>
            <w:vAlign w:val="center"/>
          </w:tcPr>
          <w:p>
            <w:pPr>
              <w:widowControl/>
              <w:jc w:val="right"/>
              <w:rPr>
                <w:rFonts w:ascii="宋体" w:hAnsi="宋体" w:cs="宋体"/>
                <w:color w:val="000000"/>
                <w:kern w:val="0"/>
                <w:sz w:val="20"/>
                <w:szCs w:val="20"/>
              </w:rPr>
            </w:pPr>
          </w:p>
        </w:tc>
        <w:tc>
          <w:tcPr>
            <w:tcW w:w="955" w:type="dxa"/>
            <w:noWrap w:val="0"/>
            <w:vAlign w:val="center"/>
          </w:tcPr>
          <w:p>
            <w:pPr>
              <w:widowControl/>
              <w:jc w:val="left"/>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1282" w:type="dxa"/>
            <w:noWrap w:val="0"/>
            <w:vAlign w:val="center"/>
          </w:tcPr>
          <w:p>
            <w:pPr>
              <w:widowControl/>
              <w:jc w:val="right"/>
              <w:rPr>
                <w:rFonts w:ascii="宋体" w:hAnsi="宋体" w:cs="宋体"/>
                <w:color w:val="000000"/>
                <w:kern w:val="0"/>
                <w:sz w:val="20"/>
                <w:szCs w:val="20"/>
              </w:rPr>
            </w:pPr>
          </w:p>
        </w:tc>
        <w:tc>
          <w:tcPr>
            <w:tcW w:w="1400" w:type="dxa"/>
            <w:noWrap w:val="0"/>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w:t>
            </w:r>
          </w:p>
        </w:tc>
        <w:tc>
          <w:tcPr>
            <w:tcW w:w="1142"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前二年度</w:t>
            </w:r>
          </w:p>
        </w:tc>
        <w:tc>
          <w:tcPr>
            <w:tcW w:w="657" w:type="dxa"/>
            <w:noWrap w:val="0"/>
            <w:vAlign w:val="center"/>
          </w:tcPr>
          <w:p>
            <w:pPr>
              <w:widowControl/>
              <w:jc w:val="center"/>
              <w:rPr>
                <w:rFonts w:ascii="宋体" w:hAnsi="宋体" w:cs="宋体"/>
                <w:color w:val="000000"/>
                <w:kern w:val="0"/>
                <w:sz w:val="20"/>
                <w:szCs w:val="20"/>
              </w:rPr>
            </w:pPr>
          </w:p>
        </w:tc>
        <w:tc>
          <w:tcPr>
            <w:tcW w:w="888" w:type="dxa"/>
            <w:noWrap w:val="0"/>
            <w:vAlign w:val="center"/>
          </w:tcPr>
          <w:p>
            <w:pPr>
              <w:widowControl/>
              <w:jc w:val="right"/>
              <w:rPr>
                <w:rFonts w:ascii="宋体" w:hAnsi="宋体" w:cs="宋体"/>
                <w:color w:val="000000"/>
                <w:kern w:val="0"/>
                <w:sz w:val="20"/>
                <w:szCs w:val="20"/>
              </w:rPr>
            </w:pPr>
          </w:p>
        </w:tc>
        <w:tc>
          <w:tcPr>
            <w:tcW w:w="1197" w:type="dxa"/>
            <w:noWrap w:val="0"/>
            <w:vAlign w:val="center"/>
          </w:tcPr>
          <w:p>
            <w:pPr>
              <w:widowControl/>
              <w:jc w:val="right"/>
              <w:rPr>
                <w:rFonts w:ascii="宋体" w:hAnsi="宋体" w:cs="宋体"/>
                <w:color w:val="000000"/>
                <w:kern w:val="0"/>
                <w:sz w:val="20"/>
                <w:szCs w:val="20"/>
              </w:rPr>
            </w:pPr>
          </w:p>
        </w:tc>
        <w:tc>
          <w:tcPr>
            <w:tcW w:w="1188" w:type="dxa"/>
            <w:noWrap w:val="0"/>
            <w:vAlign w:val="center"/>
          </w:tcPr>
          <w:p>
            <w:pPr>
              <w:widowControl/>
              <w:jc w:val="right"/>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957" w:type="dxa"/>
            <w:noWrap w:val="0"/>
            <w:vAlign w:val="center"/>
          </w:tcPr>
          <w:p>
            <w:pPr>
              <w:widowControl/>
              <w:jc w:val="left"/>
              <w:rPr>
                <w:rFonts w:ascii="宋体" w:hAnsi="宋体" w:cs="宋体"/>
                <w:color w:val="000000"/>
                <w:kern w:val="0"/>
                <w:sz w:val="20"/>
                <w:szCs w:val="20"/>
              </w:rPr>
            </w:pPr>
          </w:p>
        </w:tc>
        <w:tc>
          <w:tcPr>
            <w:tcW w:w="958" w:type="dxa"/>
            <w:noWrap w:val="0"/>
            <w:vAlign w:val="center"/>
          </w:tcPr>
          <w:p>
            <w:pPr>
              <w:widowControl/>
              <w:jc w:val="right"/>
              <w:rPr>
                <w:rFonts w:ascii="宋体" w:hAnsi="宋体" w:cs="宋体"/>
                <w:color w:val="000000"/>
                <w:kern w:val="0"/>
                <w:sz w:val="20"/>
                <w:szCs w:val="20"/>
              </w:rPr>
            </w:pPr>
          </w:p>
        </w:tc>
        <w:tc>
          <w:tcPr>
            <w:tcW w:w="955" w:type="dxa"/>
            <w:noWrap w:val="0"/>
            <w:vAlign w:val="center"/>
          </w:tcPr>
          <w:p>
            <w:pPr>
              <w:widowControl/>
              <w:jc w:val="left"/>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1282" w:type="dxa"/>
            <w:noWrap w:val="0"/>
            <w:vAlign w:val="center"/>
          </w:tcPr>
          <w:p>
            <w:pPr>
              <w:widowControl/>
              <w:jc w:val="right"/>
              <w:rPr>
                <w:rFonts w:ascii="宋体" w:hAnsi="宋体" w:cs="宋体"/>
                <w:color w:val="000000"/>
                <w:kern w:val="0"/>
                <w:sz w:val="20"/>
                <w:szCs w:val="20"/>
              </w:rPr>
            </w:pPr>
          </w:p>
        </w:tc>
        <w:tc>
          <w:tcPr>
            <w:tcW w:w="1400" w:type="dxa"/>
            <w:noWrap w:val="0"/>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w:t>
            </w:r>
          </w:p>
        </w:tc>
        <w:tc>
          <w:tcPr>
            <w:tcW w:w="1142"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前一年度</w:t>
            </w:r>
          </w:p>
        </w:tc>
        <w:tc>
          <w:tcPr>
            <w:tcW w:w="657" w:type="dxa"/>
            <w:noWrap w:val="0"/>
            <w:vAlign w:val="center"/>
          </w:tcPr>
          <w:p>
            <w:pPr>
              <w:widowControl/>
              <w:jc w:val="center"/>
              <w:rPr>
                <w:rFonts w:ascii="宋体" w:hAnsi="宋体" w:cs="宋体"/>
                <w:color w:val="000000"/>
                <w:kern w:val="0"/>
                <w:sz w:val="20"/>
                <w:szCs w:val="20"/>
              </w:rPr>
            </w:pPr>
          </w:p>
        </w:tc>
        <w:tc>
          <w:tcPr>
            <w:tcW w:w="888" w:type="dxa"/>
            <w:noWrap w:val="0"/>
            <w:vAlign w:val="center"/>
          </w:tcPr>
          <w:p>
            <w:pPr>
              <w:widowControl/>
              <w:jc w:val="right"/>
              <w:rPr>
                <w:rFonts w:ascii="宋体" w:hAnsi="宋体" w:cs="宋体"/>
                <w:color w:val="000000"/>
                <w:kern w:val="0"/>
                <w:sz w:val="20"/>
                <w:szCs w:val="20"/>
              </w:rPr>
            </w:pPr>
          </w:p>
        </w:tc>
        <w:tc>
          <w:tcPr>
            <w:tcW w:w="1197" w:type="dxa"/>
            <w:noWrap w:val="0"/>
            <w:vAlign w:val="center"/>
          </w:tcPr>
          <w:p>
            <w:pPr>
              <w:widowControl/>
              <w:jc w:val="right"/>
              <w:rPr>
                <w:rFonts w:ascii="宋体" w:hAnsi="宋体" w:cs="宋体"/>
                <w:color w:val="000000"/>
                <w:kern w:val="0"/>
                <w:sz w:val="20"/>
                <w:szCs w:val="20"/>
              </w:rPr>
            </w:pPr>
          </w:p>
        </w:tc>
        <w:tc>
          <w:tcPr>
            <w:tcW w:w="1188" w:type="dxa"/>
            <w:noWrap w:val="0"/>
            <w:vAlign w:val="center"/>
          </w:tcPr>
          <w:p>
            <w:pPr>
              <w:widowControl/>
              <w:jc w:val="right"/>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957" w:type="dxa"/>
            <w:noWrap w:val="0"/>
            <w:vAlign w:val="center"/>
          </w:tcPr>
          <w:p>
            <w:pPr>
              <w:widowControl/>
              <w:jc w:val="left"/>
              <w:rPr>
                <w:rFonts w:ascii="宋体" w:hAnsi="宋体" w:cs="宋体"/>
                <w:color w:val="000000"/>
                <w:kern w:val="0"/>
                <w:sz w:val="20"/>
                <w:szCs w:val="20"/>
              </w:rPr>
            </w:pPr>
          </w:p>
        </w:tc>
        <w:tc>
          <w:tcPr>
            <w:tcW w:w="958" w:type="dxa"/>
            <w:noWrap w:val="0"/>
            <w:vAlign w:val="center"/>
          </w:tcPr>
          <w:p>
            <w:pPr>
              <w:widowControl/>
              <w:jc w:val="right"/>
              <w:rPr>
                <w:rFonts w:ascii="宋体" w:hAnsi="宋体" w:cs="宋体"/>
                <w:color w:val="000000"/>
                <w:kern w:val="0"/>
                <w:sz w:val="20"/>
                <w:szCs w:val="20"/>
              </w:rPr>
            </w:pPr>
          </w:p>
        </w:tc>
        <w:tc>
          <w:tcPr>
            <w:tcW w:w="955" w:type="dxa"/>
            <w:noWrap w:val="0"/>
            <w:vAlign w:val="center"/>
          </w:tcPr>
          <w:p>
            <w:pPr>
              <w:widowControl/>
              <w:jc w:val="left"/>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1282" w:type="dxa"/>
            <w:noWrap w:val="0"/>
            <w:vAlign w:val="center"/>
          </w:tcPr>
          <w:p>
            <w:pPr>
              <w:widowControl/>
              <w:jc w:val="right"/>
              <w:rPr>
                <w:rFonts w:ascii="宋体" w:hAnsi="宋体" w:cs="宋体"/>
                <w:color w:val="000000"/>
                <w:kern w:val="0"/>
                <w:sz w:val="20"/>
                <w:szCs w:val="20"/>
              </w:rPr>
            </w:pPr>
          </w:p>
        </w:tc>
        <w:tc>
          <w:tcPr>
            <w:tcW w:w="1400" w:type="dxa"/>
            <w:noWrap w:val="0"/>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11</w:t>
            </w:r>
          </w:p>
        </w:tc>
        <w:tc>
          <w:tcPr>
            <w:tcW w:w="1142"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本年度</w:t>
            </w:r>
          </w:p>
        </w:tc>
        <w:tc>
          <w:tcPr>
            <w:tcW w:w="657" w:type="dxa"/>
            <w:noWrap w:val="0"/>
            <w:vAlign w:val="center"/>
          </w:tcPr>
          <w:p>
            <w:pPr>
              <w:widowControl/>
              <w:jc w:val="center"/>
              <w:rPr>
                <w:rFonts w:ascii="宋体" w:hAnsi="宋体" w:cs="宋体"/>
                <w:color w:val="000000"/>
                <w:kern w:val="0"/>
                <w:sz w:val="20"/>
                <w:szCs w:val="20"/>
              </w:rPr>
            </w:pPr>
          </w:p>
        </w:tc>
        <w:tc>
          <w:tcPr>
            <w:tcW w:w="888" w:type="dxa"/>
            <w:noWrap w:val="0"/>
            <w:vAlign w:val="center"/>
          </w:tcPr>
          <w:p>
            <w:pPr>
              <w:widowControl/>
              <w:jc w:val="right"/>
              <w:rPr>
                <w:rFonts w:ascii="宋体" w:hAnsi="宋体" w:cs="宋体"/>
                <w:color w:val="000000"/>
                <w:kern w:val="0"/>
                <w:sz w:val="20"/>
                <w:szCs w:val="20"/>
              </w:rPr>
            </w:pPr>
          </w:p>
        </w:tc>
        <w:tc>
          <w:tcPr>
            <w:tcW w:w="1197" w:type="dxa"/>
            <w:noWrap w:val="0"/>
            <w:vAlign w:val="center"/>
          </w:tcPr>
          <w:p>
            <w:pPr>
              <w:widowControl/>
              <w:jc w:val="right"/>
              <w:rPr>
                <w:rFonts w:ascii="宋体" w:hAnsi="宋体" w:cs="宋体"/>
                <w:color w:val="000000"/>
                <w:kern w:val="0"/>
                <w:sz w:val="20"/>
                <w:szCs w:val="20"/>
              </w:rPr>
            </w:pPr>
          </w:p>
        </w:tc>
        <w:tc>
          <w:tcPr>
            <w:tcW w:w="1188" w:type="dxa"/>
            <w:noWrap w:val="0"/>
            <w:vAlign w:val="center"/>
          </w:tcPr>
          <w:p>
            <w:pPr>
              <w:widowControl/>
              <w:jc w:val="right"/>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957" w:type="dxa"/>
            <w:noWrap w:val="0"/>
            <w:vAlign w:val="center"/>
          </w:tcPr>
          <w:p>
            <w:pPr>
              <w:widowControl/>
              <w:jc w:val="left"/>
              <w:rPr>
                <w:rFonts w:ascii="宋体" w:hAnsi="宋体" w:cs="宋体"/>
                <w:color w:val="000000"/>
                <w:kern w:val="0"/>
                <w:sz w:val="20"/>
                <w:szCs w:val="20"/>
              </w:rPr>
            </w:pPr>
          </w:p>
        </w:tc>
        <w:tc>
          <w:tcPr>
            <w:tcW w:w="958" w:type="dxa"/>
            <w:noWrap w:val="0"/>
            <w:vAlign w:val="center"/>
          </w:tcPr>
          <w:p>
            <w:pPr>
              <w:widowControl/>
              <w:jc w:val="center"/>
              <w:rPr>
                <w:rFonts w:ascii="宋体" w:hAnsi="宋体" w:cs="宋体"/>
                <w:color w:val="000000"/>
                <w:kern w:val="0"/>
                <w:sz w:val="20"/>
                <w:szCs w:val="20"/>
              </w:rPr>
            </w:pPr>
          </w:p>
        </w:tc>
        <w:tc>
          <w:tcPr>
            <w:tcW w:w="955" w:type="dxa"/>
            <w:noWrap w:val="0"/>
            <w:vAlign w:val="center"/>
          </w:tcPr>
          <w:p>
            <w:pPr>
              <w:widowControl/>
              <w:jc w:val="center"/>
              <w:rPr>
                <w:rFonts w:ascii="宋体" w:hAnsi="宋体" w:cs="宋体"/>
                <w:color w:val="000000"/>
                <w:kern w:val="0"/>
                <w:sz w:val="20"/>
                <w:szCs w:val="20"/>
              </w:rPr>
            </w:pPr>
          </w:p>
        </w:tc>
        <w:tc>
          <w:tcPr>
            <w:tcW w:w="1209" w:type="dxa"/>
            <w:noWrap w:val="0"/>
            <w:vAlign w:val="center"/>
          </w:tcPr>
          <w:p>
            <w:pPr>
              <w:widowControl/>
              <w:jc w:val="right"/>
              <w:rPr>
                <w:rFonts w:ascii="宋体" w:hAnsi="宋体" w:cs="宋体"/>
                <w:color w:val="000000"/>
                <w:kern w:val="0"/>
                <w:sz w:val="20"/>
                <w:szCs w:val="20"/>
              </w:rPr>
            </w:pPr>
          </w:p>
        </w:tc>
        <w:tc>
          <w:tcPr>
            <w:tcW w:w="1282" w:type="dxa"/>
            <w:noWrap w:val="0"/>
            <w:vAlign w:val="center"/>
          </w:tcPr>
          <w:p>
            <w:pPr>
              <w:widowControl/>
              <w:jc w:val="right"/>
              <w:rPr>
                <w:rFonts w:ascii="宋体" w:hAnsi="宋体" w:cs="宋体"/>
                <w:color w:val="000000"/>
                <w:kern w:val="0"/>
                <w:sz w:val="20"/>
                <w:szCs w:val="20"/>
              </w:rPr>
            </w:pPr>
          </w:p>
        </w:tc>
        <w:tc>
          <w:tcPr>
            <w:tcW w:w="1400" w:type="dxa"/>
            <w:noWrap w:val="0"/>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38" w:hRule="atLeast"/>
        </w:trPr>
        <w:tc>
          <w:tcPr>
            <w:tcW w:w="671"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12</w:t>
            </w:r>
          </w:p>
        </w:tc>
        <w:tc>
          <w:tcPr>
            <w:tcW w:w="11642" w:type="dxa"/>
            <w:gridSpan w:val="11"/>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可结转以后年度弥补的亏损额合计</w:t>
            </w:r>
          </w:p>
        </w:tc>
        <w:tc>
          <w:tcPr>
            <w:tcW w:w="1400" w:type="dxa"/>
            <w:noWrap w:val="0"/>
            <w:vAlign w:val="center"/>
          </w:tcPr>
          <w:p>
            <w:pPr>
              <w:widowControl/>
              <w:jc w:val="left"/>
              <w:rPr>
                <w:rFonts w:ascii="宋体" w:hAnsi="宋体" w:cs="宋体"/>
                <w:color w:val="000000"/>
                <w:kern w:val="0"/>
                <w:sz w:val="20"/>
                <w:szCs w:val="20"/>
              </w:rPr>
            </w:pPr>
          </w:p>
        </w:tc>
      </w:tr>
    </w:tbl>
    <w:p>
      <w:pPr>
        <w:pStyle w:val="8"/>
        <w:ind w:right="300" w:firstLine="400"/>
        <w:jc w:val="right"/>
        <w:rPr>
          <w:sz w:val="20"/>
          <w:szCs w:val="20"/>
        </w:rPr>
      </w:pPr>
      <w:r>
        <w:rPr>
          <w:rFonts w:hint="eastAsia"/>
          <w:sz w:val="20"/>
          <w:szCs w:val="20"/>
        </w:rPr>
        <w:t>国家税务总局监制</w:t>
      </w:r>
    </w:p>
    <w:p>
      <w:pPr>
        <w:adjustRightInd w:val="0"/>
        <w:snapToGrid w:val="0"/>
        <w:ind w:firstLine="422" w:firstLineChars="200"/>
        <w:rPr>
          <w:rFonts w:hint="eastAsia" w:ascii="宋体" w:hAnsi="宋体"/>
          <w:b/>
        </w:rPr>
      </w:pPr>
      <w:r>
        <w:rPr>
          <w:rFonts w:hint="eastAsia" w:ascii="宋体" w:hAnsi="宋体"/>
          <w:b/>
        </w:rPr>
        <w:t>【表单说明】</w:t>
      </w:r>
    </w:p>
    <w:p>
      <w:pPr>
        <w:adjustRightInd w:val="0"/>
        <w:snapToGrid w:val="0"/>
        <w:ind w:firstLine="420" w:firstLineChars="200"/>
        <w:rPr>
          <w:rFonts w:hint="eastAsia" w:ascii="宋体" w:hAnsi="宋体"/>
        </w:rPr>
      </w:pPr>
      <w:r>
        <w:rPr>
          <w:rFonts w:hint="eastAsia" w:ascii="宋体" w:hAnsi="宋体"/>
        </w:rPr>
        <w:t>一、适用范围</w:t>
      </w:r>
    </w:p>
    <w:p>
      <w:pPr>
        <w:adjustRightInd w:val="0"/>
        <w:snapToGrid w:val="0"/>
        <w:ind w:firstLine="420" w:firstLineChars="200"/>
        <w:rPr>
          <w:rFonts w:hint="eastAsia" w:ascii="宋体" w:hAnsi="宋体"/>
        </w:rPr>
      </w:pPr>
      <w:r>
        <w:rPr>
          <w:rFonts w:hint="eastAsia" w:ascii="宋体" w:hAnsi="宋体"/>
        </w:rPr>
        <w:t>本表为《中华人民共和国非居民企业所得税年度纳税申报表（2019年版）》(表F200)的附表，按照税法、相关税收规定填报纳税人年度亏损结转和弥补情况。</w:t>
      </w:r>
    </w:p>
    <w:p>
      <w:pPr>
        <w:adjustRightInd w:val="0"/>
        <w:snapToGrid w:val="0"/>
        <w:ind w:firstLine="420" w:firstLineChars="200"/>
        <w:rPr>
          <w:rFonts w:hint="eastAsia" w:ascii="宋体" w:hAnsi="宋体"/>
        </w:rPr>
      </w:pPr>
      <w:r>
        <w:rPr>
          <w:rFonts w:hint="eastAsia" w:ascii="宋体" w:hAnsi="宋体"/>
        </w:rPr>
        <w:t>二、有关项目填报说明</w:t>
      </w:r>
    </w:p>
    <w:p>
      <w:pPr>
        <w:adjustRightInd w:val="0"/>
        <w:snapToGrid w:val="0"/>
        <w:ind w:firstLine="420" w:firstLineChars="200"/>
        <w:rPr>
          <w:rFonts w:hint="eastAsia" w:ascii="宋体" w:hAnsi="宋体"/>
        </w:rPr>
      </w:pPr>
      <w:r>
        <w:rPr>
          <w:rFonts w:hint="eastAsia" w:ascii="宋体" w:hAnsi="宋体"/>
        </w:rPr>
        <w:t>纳税人弥补以前年度亏损时，应按照“先到期亏损先弥补、同时到期亏损先发生的先弥补”的原则处理。</w:t>
      </w:r>
    </w:p>
    <w:p>
      <w:pPr>
        <w:adjustRightInd w:val="0"/>
        <w:snapToGrid w:val="0"/>
        <w:ind w:firstLine="420" w:firstLineChars="200"/>
        <w:rPr>
          <w:rFonts w:hint="eastAsia" w:ascii="宋体" w:hAnsi="宋体"/>
        </w:rPr>
      </w:pPr>
      <w:r>
        <w:rPr>
          <w:rFonts w:hint="eastAsia" w:ascii="宋体" w:hAnsi="宋体"/>
        </w:rPr>
        <w:t>1.第1列“年度”：填报公历年度。纳税人应首先填报第11行“本年度”对应的公历年度，再依次从第10行往第1行倒推填报以前年度。纳税人发生政策性搬迁事项，如停止生产经营活动年度可以从法定亏损结转弥补年限中减除，则按可弥补亏损年度进行填报。本年度是指申报所属期年度，如：纳税人在2019年5月10日进行2018年度企业所得税年度纳税申报时，本年度（申报所属期年度）为2018年。</w:t>
      </w:r>
    </w:p>
    <w:p>
      <w:pPr>
        <w:adjustRightInd w:val="0"/>
        <w:snapToGrid w:val="0"/>
        <w:ind w:firstLine="420" w:firstLineChars="200"/>
        <w:rPr>
          <w:rFonts w:hint="eastAsia" w:ascii="宋体" w:hAnsi="宋体"/>
        </w:rPr>
      </w:pPr>
      <w:r>
        <w:rPr>
          <w:rFonts w:hint="eastAsia" w:ascii="宋体" w:hAnsi="宋体"/>
        </w:rPr>
        <w:t>2.第2列“当年境内所得额”：第11行填报本年度表F200第12-13行金额。第1行至第10行填报前一年度表F220第11行第2列对应年度的金额（亏损以“-”号填列）。需要在首次使用本版申报表年度填报所属年度为首次使用本版申报表年度以前年度本项数额的，填报当年度经过纳税调整后的境内所得额。发生查补以前年度应纳税所得额、追补以前年度未能税前扣除的实际资产损失等情况的，按照相应调整后的金额填报。</w:t>
      </w:r>
    </w:p>
    <w:p>
      <w:pPr>
        <w:adjustRightInd w:val="0"/>
        <w:snapToGrid w:val="0"/>
        <w:ind w:firstLine="420" w:firstLineChars="200"/>
        <w:rPr>
          <w:rFonts w:hint="eastAsia" w:ascii="宋体" w:hAnsi="宋体"/>
        </w:rPr>
      </w:pPr>
      <w:r>
        <w:rPr>
          <w:rFonts w:hint="eastAsia" w:ascii="宋体" w:hAnsi="宋体"/>
        </w:rPr>
        <w:t>3.第3列“分立转出的亏损额”： 填报本年度企业分立按照企业重组特殊性税务处理规定转出的符合条件的亏损额。分立转出的亏损额按亏损所属年度填报，转出亏损的亏损额以正数表示。</w:t>
      </w:r>
    </w:p>
    <w:p>
      <w:pPr>
        <w:adjustRightInd w:val="0"/>
        <w:snapToGrid w:val="0"/>
        <w:ind w:firstLine="420" w:firstLineChars="200"/>
        <w:rPr>
          <w:rFonts w:hint="eastAsia" w:ascii="宋体" w:hAnsi="宋体"/>
        </w:rPr>
      </w:pPr>
      <w:r>
        <w:rPr>
          <w:rFonts w:hint="eastAsia" w:ascii="宋体" w:hAnsi="宋体"/>
        </w:rPr>
        <w:t>4.第4列“合并、分立转入的亏损额-可弥补年限5年”：填报企业符合企业重组特殊性税务处理规定，因合并或分立本年度转入的不超过5年亏损弥补年限规定的亏损额。合并、分立转入的亏损额按亏损所属年度填报，转入亏损以负数表示。</w:t>
      </w:r>
    </w:p>
    <w:p>
      <w:pPr>
        <w:adjustRightInd w:val="0"/>
        <w:snapToGrid w:val="0"/>
        <w:ind w:firstLine="420" w:firstLineChars="200"/>
        <w:rPr>
          <w:rFonts w:hint="eastAsia" w:ascii="宋体" w:hAnsi="宋体"/>
        </w:rPr>
      </w:pPr>
      <w:r>
        <w:rPr>
          <w:rFonts w:hint="eastAsia" w:ascii="宋体" w:hAnsi="宋体"/>
        </w:rPr>
        <w:t>5.第5列“合并、分立转入的亏损额-可弥补年限10年”：填报企业符合企业重组特殊性税务处理规定，因合并或分立本年度转入的不超过10年亏损弥补年限规定的亏损额。合并、分立转入的亏损额按亏损所属年度填报，转入亏损以负数表示。</w:t>
      </w:r>
    </w:p>
    <w:p>
      <w:pPr>
        <w:adjustRightInd w:val="0"/>
        <w:snapToGrid w:val="0"/>
        <w:ind w:firstLine="420" w:firstLineChars="200"/>
        <w:rPr>
          <w:rFonts w:hint="eastAsia" w:ascii="宋体" w:hAnsi="宋体"/>
        </w:rPr>
      </w:pPr>
      <w:r>
        <w:rPr>
          <w:rFonts w:hint="eastAsia" w:ascii="宋体" w:hAnsi="宋体"/>
        </w:rPr>
        <w:t>6.第6列“弥补亏损企业类型”：纳税人根据不同年度情况从《弥补亏损企业类型代码表》中选择相应的代码填入本项。不同类型纳税人的亏损结转年限不同，纳税人选择 “一般企业”是指亏损结转年限为5年的纳税人；“符合条件的高新技术企业”“符合条件的科技型中小企业”是指符合《财政部 税务总局关于延长高新技术企业和科技型中小企业亏损结转年限的通知》（财税〔2018〕76号）、《国家税务总局关于延长高新技术企业和科技型中小企业亏损结转弥补年限有关企业所得税处理问题的公告》（国家税务总局公告2018年第45号）等文件规定的，亏损结转年限为10年的纳税人。</w:t>
      </w:r>
    </w:p>
    <w:p>
      <w:pPr>
        <w:adjustRightInd w:val="0"/>
        <w:snapToGrid w:val="0"/>
        <w:ind w:firstLine="422" w:firstLineChars="200"/>
        <w:jc w:val="center"/>
        <w:rPr>
          <w:rFonts w:hint="eastAsia" w:ascii="宋体" w:hAnsi="宋体"/>
          <w:b/>
        </w:rPr>
      </w:pPr>
      <w:r>
        <w:rPr>
          <w:rFonts w:hint="eastAsia" w:ascii="宋体" w:hAnsi="宋体"/>
          <w:b/>
        </w:rPr>
        <w:t>弥补亏损企业类型代码表</w:t>
      </w:r>
    </w:p>
    <w:tbl>
      <w:tblPr>
        <w:tblStyle w:val="2"/>
        <w:tblW w:w="8208"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96"/>
        <w:gridCol w:w="711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3" w:hRule="atLeast"/>
          <w:jc w:val="center"/>
        </w:trPr>
        <w:tc>
          <w:tcPr>
            <w:tcW w:w="1096" w:type="dxa"/>
            <w:noWrap w:val="0"/>
            <w:vAlign w:val="center"/>
          </w:tcPr>
          <w:p>
            <w:pPr>
              <w:widowControl/>
              <w:jc w:val="center"/>
              <w:rPr>
                <w:rFonts w:ascii="宋体"/>
                <w:b/>
                <w:kern w:val="0"/>
                <w:sz w:val="20"/>
                <w:szCs w:val="20"/>
              </w:rPr>
            </w:pPr>
            <w:r>
              <w:rPr>
                <w:rFonts w:hint="eastAsia" w:ascii="宋体" w:hAnsi="宋体" w:cs="宋体"/>
                <w:b/>
                <w:kern w:val="0"/>
                <w:sz w:val="20"/>
                <w:szCs w:val="20"/>
              </w:rPr>
              <w:t>代码</w:t>
            </w:r>
          </w:p>
        </w:tc>
        <w:tc>
          <w:tcPr>
            <w:tcW w:w="7112" w:type="dxa"/>
            <w:noWrap w:val="0"/>
            <w:vAlign w:val="top"/>
          </w:tcPr>
          <w:p>
            <w:pPr>
              <w:widowControl/>
              <w:jc w:val="center"/>
              <w:rPr>
                <w:rFonts w:ascii="宋体"/>
                <w:b/>
                <w:kern w:val="0"/>
                <w:sz w:val="20"/>
                <w:szCs w:val="20"/>
              </w:rPr>
            </w:pPr>
            <w:r>
              <w:rPr>
                <w:rFonts w:hint="eastAsia" w:ascii="宋体" w:hAnsi="宋体" w:cs="宋体"/>
                <w:b/>
                <w:kern w:val="0"/>
                <w:sz w:val="20"/>
                <w:szCs w:val="20"/>
              </w:rPr>
              <w:t>类型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3" w:hRule="atLeast"/>
          <w:jc w:val="center"/>
        </w:trPr>
        <w:tc>
          <w:tcPr>
            <w:tcW w:w="1096" w:type="dxa"/>
            <w:noWrap w:val="0"/>
            <w:vAlign w:val="center"/>
          </w:tcPr>
          <w:p>
            <w:pPr>
              <w:widowControl/>
              <w:jc w:val="center"/>
              <w:rPr>
                <w:rFonts w:ascii="宋体"/>
                <w:kern w:val="0"/>
                <w:sz w:val="20"/>
                <w:szCs w:val="20"/>
              </w:rPr>
            </w:pPr>
            <w:r>
              <w:rPr>
                <w:rFonts w:ascii="宋体" w:hAnsi="宋体" w:cs="宋体"/>
                <w:kern w:val="0"/>
                <w:sz w:val="20"/>
                <w:szCs w:val="20"/>
              </w:rPr>
              <w:t>100</w:t>
            </w:r>
          </w:p>
        </w:tc>
        <w:tc>
          <w:tcPr>
            <w:tcW w:w="7112" w:type="dxa"/>
            <w:noWrap w:val="0"/>
            <w:vAlign w:val="top"/>
          </w:tcPr>
          <w:p>
            <w:pPr>
              <w:widowControl/>
              <w:jc w:val="center"/>
              <w:rPr>
                <w:rFonts w:ascii="宋体"/>
                <w:kern w:val="0"/>
                <w:sz w:val="20"/>
                <w:szCs w:val="20"/>
              </w:rPr>
            </w:pPr>
            <w:r>
              <w:rPr>
                <w:rFonts w:hint="eastAsia" w:ascii="宋体" w:hAnsi="宋体" w:cs="宋体"/>
                <w:kern w:val="0"/>
                <w:sz w:val="20"/>
                <w:szCs w:val="20"/>
              </w:rPr>
              <w:t>一般企业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3" w:hRule="atLeast"/>
          <w:jc w:val="center"/>
        </w:trPr>
        <w:tc>
          <w:tcPr>
            <w:tcW w:w="1096" w:type="dxa"/>
            <w:noWrap w:val="0"/>
            <w:vAlign w:val="center"/>
          </w:tcPr>
          <w:p>
            <w:pPr>
              <w:widowControl/>
              <w:jc w:val="center"/>
              <w:rPr>
                <w:rFonts w:ascii="宋体"/>
                <w:kern w:val="0"/>
                <w:sz w:val="20"/>
                <w:szCs w:val="20"/>
              </w:rPr>
            </w:pPr>
            <w:r>
              <w:rPr>
                <w:rFonts w:ascii="宋体" w:hAnsi="宋体" w:cs="宋体"/>
                <w:kern w:val="0"/>
                <w:sz w:val="20"/>
                <w:szCs w:val="20"/>
              </w:rPr>
              <w:t>200</w:t>
            </w:r>
          </w:p>
        </w:tc>
        <w:tc>
          <w:tcPr>
            <w:tcW w:w="7112" w:type="dxa"/>
            <w:noWrap w:val="0"/>
            <w:vAlign w:val="top"/>
          </w:tcPr>
          <w:p>
            <w:pPr>
              <w:widowControl/>
              <w:jc w:val="center"/>
              <w:rPr>
                <w:rFonts w:ascii="宋体"/>
                <w:kern w:val="0"/>
                <w:sz w:val="20"/>
                <w:szCs w:val="20"/>
              </w:rPr>
            </w:pPr>
            <w:r>
              <w:rPr>
                <w:rFonts w:hint="eastAsia" w:ascii="宋体" w:hAnsi="宋体" w:cs="宋体"/>
                <w:kern w:val="0"/>
                <w:sz w:val="20"/>
                <w:szCs w:val="20"/>
              </w:rPr>
              <w:t>符合条件的高新技术企业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3" w:hRule="atLeast"/>
          <w:jc w:val="center"/>
        </w:trPr>
        <w:tc>
          <w:tcPr>
            <w:tcW w:w="1096" w:type="dxa"/>
            <w:noWrap w:val="0"/>
            <w:vAlign w:val="center"/>
          </w:tcPr>
          <w:p>
            <w:pPr>
              <w:widowControl/>
              <w:jc w:val="center"/>
              <w:rPr>
                <w:rFonts w:ascii="宋体"/>
                <w:kern w:val="0"/>
                <w:sz w:val="20"/>
                <w:szCs w:val="20"/>
              </w:rPr>
            </w:pPr>
            <w:r>
              <w:rPr>
                <w:rFonts w:ascii="宋体" w:hAnsi="宋体" w:cs="宋体"/>
                <w:kern w:val="0"/>
                <w:sz w:val="20"/>
                <w:szCs w:val="20"/>
              </w:rPr>
              <w:t>300</w:t>
            </w:r>
          </w:p>
        </w:tc>
        <w:tc>
          <w:tcPr>
            <w:tcW w:w="7112" w:type="dxa"/>
            <w:noWrap w:val="0"/>
            <w:vAlign w:val="top"/>
          </w:tcPr>
          <w:p>
            <w:pPr>
              <w:widowControl/>
              <w:jc w:val="center"/>
              <w:rPr>
                <w:rFonts w:ascii="宋体"/>
                <w:kern w:val="0"/>
                <w:sz w:val="20"/>
                <w:szCs w:val="20"/>
              </w:rPr>
            </w:pPr>
            <w:r>
              <w:rPr>
                <w:rFonts w:hint="eastAsia" w:ascii="宋体" w:hAnsi="宋体" w:cs="宋体"/>
                <w:kern w:val="0"/>
                <w:sz w:val="20"/>
                <w:szCs w:val="20"/>
              </w:rPr>
              <w:t>符合条件的科技型中小企业</w:t>
            </w:r>
          </w:p>
        </w:tc>
      </w:tr>
    </w:tbl>
    <w:p>
      <w:pPr>
        <w:adjustRightInd w:val="0"/>
        <w:snapToGrid w:val="0"/>
        <w:ind w:firstLine="420" w:firstLineChars="200"/>
        <w:rPr>
          <w:rFonts w:hint="eastAsia" w:ascii="宋体" w:hAnsi="宋体"/>
        </w:rPr>
      </w:pPr>
      <w:r>
        <w:rPr>
          <w:rFonts w:hint="eastAsia" w:ascii="宋体" w:hAnsi="宋体"/>
        </w:rPr>
        <w:t>7. 第7列“上年及本年结转的可弥补亏损额”：第1行至第10行填报由上年结转至本年度（申报所属期年度）可用于本年度（申报所属期年度）及以后年度弥补的当年度亏损额。当第2列第11行＜0时，本列第11行填报第2列第11行的数额；当第2列第11行≥0时，本列第11行填0。</w:t>
      </w:r>
    </w:p>
    <w:p>
      <w:pPr>
        <w:adjustRightInd w:val="0"/>
        <w:snapToGrid w:val="0"/>
        <w:ind w:firstLine="420" w:firstLineChars="200"/>
        <w:rPr>
          <w:rFonts w:hint="eastAsia" w:ascii="宋体" w:hAnsi="宋体"/>
        </w:rPr>
      </w:pPr>
      <w:r>
        <w:rPr>
          <w:rFonts w:hint="eastAsia" w:ascii="宋体" w:hAnsi="宋体"/>
        </w:rPr>
        <w:t>8.第8列“当年待弥补的亏损额”：填报在用本年度（申报所属期年度）所得额弥补亏损前，当年度尚未被弥补的亏损额，亏损额以负数表示，等于第3列+4列+5列+7列的数额。</w:t>
      </w:r>
    </w:p>
    <w:p>
      <w:pPr>
        <w:adjustRightInd w:val="0"/>
        <w:snapToGrid w:val="0"/>
        <w:ind w:firstLine="420" w:firstLineChars="200"/>
        <w:rPr>
          <w:rFonts w:hint="eastAsia" w:ascii="宋体" w:hAnsi="宋体"/>
        </w:rPr>
      </w:pPr>
      <w:r>
        <w:rPr>
          <w:rFonts w:hint="eastAsia" w:ascii="宋体" w:hAnsi="宋体"/>
        </w:rPr>
        <w:t>9.第9列“用本年度所得额弥补的以前年度亏损额-使用境内所得弥补”：第1行至第10行，当第11行第2列本年度（申报所属期年度）的“当年境内所得额”＞0时，填报各年度被本年度（申报所属期年度）境内所得依次弥补的亏损额，以负数表示。本列第11行，填报本列第1行至第10行的合计金额，表F200第16行填报本项金额的绝对值。</w:t>
      </w:r>
    </w:p>
    <w:p>
      <w:pPr>
        <w:adjustRightInd w:val="0"/>
        <w:snapToGrid w:val="0"/>
        <w:ind w:firstLine="420" w:firstLineChars="200"/>
        <w:rPr>
          <w:rFonts w:hint="eastAsia" w:ascii="宋体" w:hAnsi="宋体"/>
        </w:rPr>
      </w:pPr>
      <w:r>
        <w:rPr>
          <w:rFonts w:hint="eastAsia" w:ascii="宋体" w:hAnsi="宋体"/>
        </w:rPr>
        <w:t>10.第10列“用本年度所得额弥补的以前年度亏损额-使用境外所得弥补”：第1行至第10行，当纳税人选择用境外所得弥补境内以前年度亏损的，填报各年度被本年度（申报所属期年度）境外所得依次弥补的亏损额，以负数表示。本列第11行，填报本列第1行至第10行的合计金额。</w:t>
      </w:r>
    </w:p>
    <w:p>
      <w:pPr>
        <w:adjustRightInd w:val="0"/>
        <w:snapToGrid w:val="0"/>
        <w:ind w:firstLine="420" w:firstLineChars="200"/>
        <w:rPr>
          <w:rFonts w:hint="eastAsia" w:ascii="宋体" w:hAnsi="宋体"/>
        </w:rPr>
      </w:pPr>
      <w:r>
        <w:rPr>
          <w:rFonts w:hint="eastAsia" w:ascii="宋体" w:hAnsi="宋体"/>
        </w:rPr>
        <w:t>11.第11列“当年可结转以后年度弥补的亏损额”：第2行至第11行，填报各年度尚未弥补完的且按照有关规定准予结转以后年度弥补的亏损额。本列第12行，填报本列第2行至第11行的合计金额。</w:t>
      </w:r>
    </w:p>
    <w:p>
      <w:pPr>
        <w:adjustRightInd w:val="0"/>
        <w:snapToGrid w:val="0"/>
        <w:ind w:firstLine="420" w:firstLineChars="200"/>
        <w:rPr>
          <w:rFonts w:hint="eastAsia" w:ascii="宋体" w:hAnsi="宋体"/>
        </w:rPr>
      </w:pPr>
      <w:r>
        <w:rPr>
          <w:rFonts w:hint="eastAsia" w:ascii="宋体" w:hAnsi="宋体"/>
        </w:rPr>
        <w:t>三、表内、表间关系</w:t>
      </w:r>
    </w:p>
    <w:p>
      <w:pPr>
        <w:adjustRightInd w:val="0"/>
        <w:snapToGrid w:val="0"/>
        <w:ind w:firstLine="420" w:firstLineChars="200"/>
        <w:rPr>
          <w:rFonts w:hint="eastAsia" w:ascii="宋体" w:hAnsi="宋体"/>
        </w:rPr>
      </w:pPr>
      <w:r>
        <w:rPr>
          <w:rFonts w:hint="eastAsia" w:ascii="宋体" w:hAnsi="宋体"/>
        </w:rPr>
        <w:t>（一）表内关系</w:t>
      </w:r>
    </w:p>
    <w:p>
      <w:pPr>
        <w:adjustRightInd w:val="0"/>
        <w:snapToGrid w:val="0"/>
        <w:ind w:firstLine="420" w:firstLineChars="200"/>
        <w:rPr>
          <w:rFonts w:hint="eastAsia" w:ascii="宋体" w:hAnsi="宋体"/>
        </w:rPr>
      </w:pPr>
      <w:r>
        <w:rPr>
          <w:rFonts w:hint="eastAsia" w:ascii="宋体" w:hAnsi="宋体"/>
        </w:rPr>
        <w:t>1.当第2列＜0且第3列＞0时，第3列＜第2列的绝对值；当第2列≥0时，则第3列＝0。</w:t>
      </w:r>
    </w:p>
    <w:p>
      <w:pPr>
        <w:adjustRightInd w:val="0"/>
        <w:snapToGrid w:val="0"/>
        <w:ind w:firstLine="420" w:firstLineChars="200"/>
        <w:rPr>
          <w:rFonts w:hint="eastAsia" w:ascii="宋体" w:hAnsi="宋体"/>
        </w:rPr>
      </w:pPr>
      <w:r>
        <w:rPr>
          <w:rFonts w:hint="eastAsia" w:ascii="宋体" w:hAnsi="宋体"/>
        </w:rPr>
        <w:t>2. 当第2列第11行＜0时，第7列第11行＝第2列第11行；当第2列第11行≥0时，第7列第11行＝0。</w:t>
      </w:r>
    </w:p>
    <w:p>
      <w:pPr>
        <w:adjustRightInd w:val="0"/>
        <w:snapToGrid w:val="0"/>
        <w:ind w:firstLine="420" w:firstLineChars="200"/>
        <w:rPr>
          <w:rFonts w:hint="eastAsia" w:ascii="宋体" w:hAnsi="宋体"/>
        </w:rPr>
      </w:pPr>
      <w:r>
        <w:rPr>
          <w:rFonts w:hint="eastAsia" w:ascii="宋体" w:hAnsi="宋体"/>
        </w:rPr>
        <w:t>3.第9列第11行＝第9列第1+2+3+4+5+6+7+8+9+10行；当第2列第11行≤0时，第9列第1行至第11行＝0；当第2列第11行＞0时，第9列第11行≤第2列第11行。</w:t>
      </w:r>
    </w:p>
    <w:p>
      <w:pPr>
        <w:adjustRightInd w:val="0"/>
        <w:snapToGrid w:val="0"/>
        <w:ind w:firstLine="420" w:firstLineChars="200"/>
        <w:rPr>
          <w:rFonts w:hint="eastAsia" w:ascii="宋体" w:hAnsi="宋体"/>
        </w:rPr>
      </w:pPr>
      <w:r>
        <w:rPr>
          <w:rFonts w:hint="eastAsia" w:ascii="宋体" w:hAnsi="宋体"/>
        </w:rPr>
        <w:t>4.第10列第11行＝第10列第1+2+3+4+5+6+7+8+9+10行。</w:t>
      </w:r>
    </w:p>
    <w:p>
      <w:pPr>
        <w:adjustRightInd w:val="0"/>
        <w:snapToGrid w:val="0"/>
        <w:ind w:firstLine="420" w:firstLineChars="200"/>
        <w:rPr>
          <w:rFonts w:hint="eastAsia" w:ascii="宋体" w:hAnsi="宋体"/>
        </w:rPr>
      </w:pPr>
      <w:r>
        <w:rPr>
          <w:rFonts w:hint="eastAsia" w:ascii="宋体" w:hAnsi="宋体"/>
        </w:rPr>
        <w:t>5.第11列第12行＝第11列第2+3+4+5+6+7+8+9+10+11行。</w:t>
      </w:r>
    </w:p>
    <w:p>
      <w:pPr>
        <w:adjustRightInd w:val="0"/>
        <w:snapToGrid w:val="0"/>
        <w:ind w:firstLine="420" w:firstLineChars="200"/>
        <w:rPr>
          <w:rFonts w:hint="eastAsia" w:ascii="宋体" w:hAnsi="宋体"/>
        </w:rPr>
      </w:pPr>
      <w:r>
        <w:rPr>
          <w:rFonts w:hint="eastAsia" w:ascii="宋体" w:hAnsi="宋体"/>
        </w:rPr>
        <w:t>6.第2至10行第11列＝第8-9-10列，当年亏损按照有关规定不准予结转以后年度弥补的，相应年度第11列＝0；第11行第11列＝第11行第8列。</w:t>
      </w:r>
    </w:p>
    <w:p>
      <w:pPr>
        <w:adjustRightInd w:val="0"/>
        <w:snapToGrid w:val="0"/>
        <w:ind w:firstLine="420" w:firstLineChars="200"/>
        <w:rPr>
          <w:rFonts w:hint="eastAsia" w:ascii="宋体" w:hAnsi="宋体"/>
        </w:rPr>
      </w:pPr>
      <w:r>
        <w:rPr>
          <w:rFonts w:hint="eastAsia" w:ascii="宋体" w:hAnsi="宋体"/>
        </w:rPr>
        <w:t>7.第8列＝第3+4+5+7列。</w:t>
      </w:r>
    </w:p>
    <w:p>
      <w:pPr>
        <w:adjustRightInd w:val="0"/>
        <w:snapToGrid w:val="0"/>
        <w:ind w:firstLine="420" w:firstLineChars="200"/>
        <w:rPr>
          <w:rFonts w:hint="eastAsia" w:ascii="宋体" w:hAnsi="宋体"/>
        </w:rPr>
      </w:pPr>
      <w:r>
        <w:rPr>
          <w:rFonts w:hint="eastAsia" w:ascii="宋体" w:hAnsi="宋体"/>
        </w:rPr>
        <w:t>（二）表间关系</w:t>
      </w:r>
    </w:p>
    <w:p>
      <w:pPr>
        <w:adjustRightInd w:val="0"/>
        <w:snapToGrid w:val="0"/>
        <w:ind w:firstLine="420" w:firstLineChars="200"/>
        <w:rPr>
          <w:rFonts w:hint="eastAsia" w:ascii="宋体" w:hAnsi="宋体"/>
        </w:rPr>
      </w:pPr>
      <w:r>
        <w:rPr>
          <w:rFonts w:hint="eastAsia" w:ascii="宋体" w:hAnsi="宋体"/>
        </w:rPr>
        <w:t>1.第11行第2列＝表F200第12-13行。</w:t>
      </w:r>
    </w:p>
    <w:p>
      <w:pPr>
        <w:adjustRightInd w:val="0"/>
        <w:snapToGrid w:val="0"/>
        <w:ind w:firstLine="420" w:firstLineChars="200"/>
        <w:rPr>
          <w:rFonts w:ascii="宋体" w:hAnsi="宋体"/>
        </w:rPr>
        <w:sectPr>
          <w:pgSz w:w="16838" w:h="11906" w:orient="landscape"/>
          <w:pgMar w:top="1797" w:right="1440" w:bottom="1797" w:left="1440" w:header="851" w:footer="992" w:gutter="0"/>
          <w:cols w:space="720" w:num="1"/>
          <w:docGrid w:type="lines" w:linePitch="326" w:charSpace="0"/>
        </w:sectPr>
      </w:pPr>
      <w:r>
        <w:rPr>
          <w:rFonts w:hint="eastAsia" w:ascii="宋体" w:hAnsi="宋体"/>
        </w:rPr>
        <w:t>2.第11行第9列的绝对值＝表F200第16行。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D1F31"/>
    <w:rsid w:val="22CD1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6">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7">
    <w:name w:val="需求正文_0"/>
    <w:basedOn w:val="1"/>
    <w:qFormat/>
    <w:uiPriority w:val="0"/>
    <w:pPr>
      <w:widowControl/>
      <w:ind w:firstLine="420"/>
      <w:jc w:val="left"/>
    </w:pPr>
    <w:rPr>
      <w:rFonts w:ascii="Arial" w:hAnsi="Arial"/>
      <w:szCs w:val="24"/>
    </w:rPr>
  </w:style>
  <w:style w:type="paragraph" w:customStyle="1" w:styleId="8">
    <w:name w:val="SBBZW"/>
    <w:basedOn w:val="9"/>
    <w:qFormat/>
    <w:uiPriority w:val="0"/>
    <w:pPr>
      <w:spacing w:line="360" w:lineRule="auto"/>
      <w:ind w:firstLine="480"/>
    </w:pPr>
    <w:rPr>
      <w:rFonts w:ascii="宋体" w:hAnsi="宋体"/>
      <w:sz w:val="24"/>
      <w:szCs w:val="24"/>
    </w:rPr>
  </w:style>
  <w:style w:type="paragraph" w:customStyle="1" w:styleId="9">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2019-10-31T07:37:00Z</dcterms:created>
  <dc:creator>陈莉佳</dc:creator>
  <cp:lastModifiedBy>陈莉佳</cp:lastModifiedBy>
  <dcterms:modified xsi:type="dcterms:W3CDTF">2019-10-31T07:38:07Z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