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sz w:val="28"/>
          <w:szCs w:val="28"/>
        </w:rPr>
      </w:pPr>
    </w:p>
    <w:p/>
    <w:p>
      <w:pPr>
        <w:tabs>
          <w:tab w:val="left" w:pos="420"/>
          <w:tab w:val="left" w:pos="6660"/>
        </w:tabs>
        <w:spacing w:line="1600" w:lineRule="atLeast"/>
        <w:jc w:val="center"/>
        <w:rPr>
          <w:rFonts w:ascii="仿宋_GB2312" w:hAnsi="仿宋" w:eastAsia="仿宋_GB2312"/>
          <w:b/>
          <w:sz w:val="72"/>
          <w:szCs w:val="72"/>
        </w:rPr>
      </w:pPr>
      <w:r>
        <w:rPr>
          <w:rFonts w:hint="eastAsia" w:ascii="仿宋_GB2312" w:hAnsi="仿宋" w:eastAsia="仿宋_GB2312"/>
          <w:b/>
          <w:sz w:val="72"/>
          <w:szCs w:val="72"/>
        </w:rPr>
        <w:t xml:space="preserve">公开招标文件                                       </w:t>
      </w:r>
    </w:p>
    <w:p>
      <w:pPr>
        <w:spacing w:line="500" w:lineRule="exact"/>
        <w:ind w:firstLine="560" w:firstLineChars="200"/>
        <w:rPr>
          <w:rFonts w:ascii="仿宋_GB2312" w:hAnsi="仿宋" w:eastAsia="仿宋_GB2312"/>
          <w:bCs/>
          <w:sz w:val="28"/>
          <w:szCs w:val="28"/>
        </w:rPr>
      </w:pPr>
    </w:p>
    <w:p>
      <w:pPr>
        <w:spacing w:line="500" w:lineRule="exact"/>
        <w:jc w:val="center"/>
        <w:rPr>
          <w:rFonts w:ascii="仿宋_GB2312" w:hAnsi="仿宋" w:eastAsia="仿宋_GB2312"/>
          <w:bCs/>
          <w:sz w:val="28"/>
          <w:szCs w:val="28"/>
        </w:rPr>
      </w:pPr>
    </w:p>
    <w:p>
      <w:pPr>
        <w:rPr>
          <w:rFonts w:ascii="仿宋_GB2312" w:hAnsi="仿宋" w:eastAsia="仿宋_GB2312"/>
          <w:sz w:val="28"/>
          <w:szCs w:val="28"/>
        </w:rPr>
      </w:pPr>
    </w:p>
    <w:p>
      <w:pPr>
        <w:rPr>
          <w:rFonts w:ascii="仿宋_GB2312" w:hAnsi="仿宋" w:eastAsia="仿宋_GB2312"/>
          <w:bCs/>
          <w:sz w:val="28"/>
          <w:szCs w:val="28"/>
        </w:rPr>
      </w:pPr>
    </w:p>
    <w:p>
      <w:pPr>
        <w:spacing w:line="500" w:lineRule="exact"/>
        <w:rPr>
          <w:rFonts w:ascii="仿宋_GB2312" w:hAnsi="仿宋" w:eastAsia="仿宋_GB2312"/>
          <w:bCs/>
          <w:sz w:val="28"/>
          <w:szCs w:val="28"/>
        </w:rPr>
      </w:pPr>
    </w:p>
    <w:p>
      <w:pPr>
        <w:spacing w:line="500" w:lineRule="exact"/>
        <w:jc w:val="center"/>
        <w:rPr>
          <w:rFonts w:ascii="仿宋_GB2312" w:hAnsi="仿宋" w:eastAsia="仿宋_GB2312"/>
          <w:bCs/>
          <w:sz w:val="28"/>
          <w:szCs w:val="28"/>
        </w:rPr>
      </w:pPr>
    </w:p>
    <w:p>
      <w:pPr>
        <w:spacing w:line="500" w:lineRule="exact"/>
        <w:jc w:val="center"/>
        <w:rPr>
          <w:rFonts w:ascii="仿宋_GB2312" w:hAnsi="仿宋" w:eastAsia="仿宋_GB2312"/>
          <w:b/>
          <w:bCs/>
          <w:sz w:val="28"/>
          <w:szCs w:val="28"/>
        </w:rPr>
      </w:pPr>
      <w:r>
        <w:rPr>
          <w:rFonts w:hint="eastAsia" w:ascii="仿宋_GB2312" w:hAnsi="仿宋" w:eastAsia="仿宋_GB2312"/>
          <w:b/>
          <w:bCs/>
          <w:sz w:val="28"/>
          <w:szCs w:val="28"/>
        </w:rPr>
        <w:t>项目编号：YJGD-20231017-011</w:t>
      </w:r>
    </w:p>
    <w:p>
      <w:pPr>
        <w:spacing w:line="500" w:lineRule="exact"/>
        <w:jc w:val="center"/>
        <w:rPr>
          <w:rFonts w:ascii="仿宋_GB2312" w:hAnsi="仿宋" w:eastAsia="仿宋_GB2312"/>
          <w:b/>
          <w:bCs/>
          <w:sz w:val="28"/>
          <w:szCs w:val="28"/>
        </w:rPr>
      </w:pPr>
      <w:r>
        <w:rPr>
          <w:rFonts w:hint="eastAsia" w:ascii="仿宋_GB2312" w:hAnsi="仿宋" w:eastAsia="仿宋_GB2312"/>
          <w:b/>
          <w:bCs/>
          <w:sz w:val="28"/>
          <w:szCs w:val="28"/>
        </w:rPr>
        <w:t>项目名称：国家税务总局阳江高新技术产业开发区税务局物业管理服务项目</w:t>
      </w:r>
    </w:p>
    <w:p>
      <w:pPr>
        <w:spacing w:line="500" w:lineRule="exact"/>
        <w:ind w:firstLine="562" w:firstLineChars="200"/>
        <w:jc w:val="center"/>
        <w:rPr>
          <w:rFonts w:ascii="仿宋_GB2312" w:hAnsi="仿宋" w:eastAsia="仿宋_GB2312"/>
          <w:b/>
          <w:bCs/>
          <w:sz w:val="28"/>
          <w:szCs w:val="28"/>
        </w:rPr>
      </w:pPr>
    </w:p>
    <w:p>
      <w:pPr>
        <w:spacing w:line="500" w:lineRule="exact"/>
        <w:ind w:firstLine="562" w:firstLineChars="200"/>
        <w:rPr>
          <w:rFonts w:ascii="仿宋_GB2312" w:hAnsi="仿宋" w:eastAsia="仿宋_GB2312"/>
          <w:b/>
          <w:bCs/>
          <w:sz w:val="28"/>
          <w:szCs w:val="28"/>
        </w:rPr>
      </w:pPr>
    </w:p>
    <w:p>
      <w:pPr>
        <w:spacing w:line="500" w:lineRule="exact"/>
        <w:ind w:firstLine="562" w:firstLineChars="200"/>
        <w:rPr>
          <w:rFonts w:ascii="仿宋_GB2312" w:hAnsi="仿宋" w:eastAsia="仿宋_GB2312"/>
          <w:b/>
          <w:bCs/>
          <w:sz w:val="28"/>
          <w:szCs w:val="28"/>
        </w:rPr>
      </w:pPr>
    </w:p>
    <w:p>
      <w:pPr>
        <w:rPr>
          <w:rFonts w:ascii="仿宋_GB2312" w:hAnsi="仿宋" w:eastAsia="仿宋_GB2312"/>
          <w:sz w:val="28"/>
          <w:szCs w:val="28"/>
        </w:rPr>
      </w:pPr>
    </w:p>
    <w:p/>
    <w:p>
      <w:pPr>
        <w:spacing w:line="500" w:lineRule="exact"/>
        <w:ind w:firstLine="562" w:firstLineChars="200"/>
        <w:rPr>
          <w:rFonts w:ascii="仿宋_GB2312" w:hAnsi="仿宋" w:eastAsia="仿宋_GB2312"/>
          <w:b/>
          <w:bCs/>
          <w:sz w:val="28"/>
          <w:szCs w:val="28"/>
        </w:rPr>
      </w:pPr>
    </w:p>
    <w:p/>
    <w:p>
      <w:pPr>
        <w:spacing w:line="500" w:lineRule="exact"/>
        <w:ind w:firstLine="562" w:firstLineChars="200"/>
        <w:jc w:val="center"/>
        <w:rPr>
          <w:rFonts w:ascii="仿宋_GB2312" w:hAnsi="仿宋" w:eastAsia="仿宋_GB2312"/>
          <w:b/>
          <w:bCs/>
          <w:sz w:val="28"/>
          <w:szCs w:val="28"/>
        </w:rPr>
      </w:pPr>
    </w:p>
    <w:p>
      <w:pPr>
        <w:spacing w:line="500" w:lineRule="exact"/>
        <w:ind w:firstLine="1687" w:firstLineChars="600"/>
        <w:jc w:val="left"/>
        <w:rPr>
          <w:rFonts w:ascii="仿宋_GB2312" w:hAnsi="仿宋" w:eastAsia="仿宋_GB2312"/>
          <w:b/>
          <w:bCs/>
          <w:sz w:val="28"/>
          <w:szCs w:val="28"/>
        </w:rPr>
      </w:pPr>
      <w:r>
        <w:rPr>
          <w:rFonts w:hint="eastAsia" w:ascii="仿宋_GB2312" w:hAnsi="仿宋" w:eastAsia="仿宋_GB2312"/>
          <w:b/>
          <w:bCs/>
          <w:sz w:val="28"/>
          <w:szCs w:val="28"/>
        </w:rPr>
        <w:t>招标人：国家税务总局阳江高新技术产业开发区税务局</w:t>
      </w:r>
    </w:p>
    <w:p>
      <w:pPr>
        <w:spacing w:line="500" w:lineRule="exact"/>
        <w:ind w:firstLine="1687" w:firstLineChars="600"/>
        <w:jc w:val="left"/>
        <w:rPr>
          <w:rFonts w:ascii="仿宋_GB2312" w:hAnsi="仿宋" w:eastAsia="仿宋_GB2312"/>
          <w:b/>
          <w:bCs/>
          <w:sz w:val="28"/>
          <w:szCs w:val="28"/>
        </w:rPr>
      </w:pPr>
      <w:r>
        <w:rPr>
          <w:rFonts w:hint="eastAsia" w:ascii="仿宋_GB2312" w:hAnsi="仿宋" w:eastAsia="仿宋_GB2312"/>
          <w:b/>
          <w:bCs/>
          <w:sz w:val="28"/>
          <w:szCs w:val="28"/>
        </w:rPr>
        <w:t>招标代理机构：广东国达工程项目咨询有限公司</w:t>
      </w:r>
    </w:p>
    <w:p>
      <w:pPr>
        <w:spacing w:line="500" w:lineRule="exact"/>
        <w:ind w:firstLine="1687" w:firstLineChars="600"/>
        <w:jc w:val="left"/>
        <w:rPr>
          <w:rFonts w:ascii="仿宋_GB2312" w:hAnsi="仿宋" w:eastAsia="仿宋_GB2312"/>
          <w:b/>
          <w:bCs/>
          <w:sz w:val="28"/>
          <w:szCs w:val="28"/>
        </w:rPr>
      </w:pPr>
      <w:r>
        <w:rPr>
          <w:rFonts w:hint="eastAsia" w:ascii="仿宋_GB2312" w:hAnsi="仿宋" w:eastAsia="仿宋_GB2312"/>
          <w:b/>
          <w:bCs/>
          <w:sz w:val="28"/>
          <w:szCs w:val="28"/>
        </w:rPr>
        <w:t>编制日期：2023年10月</w:t>
      </w:r>
    </w:p>
    <w:p>
      <w:p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567" w:footer="567" w:gutter="0"/>
          <w:cols w:space="720" w:num="1"/>
          <w:titlePg/>
          <w:docGrid w:type="lines" w:linePitch="312" w:charSpace="0"/>
        </w:sectPr>
      </w:pPr>
    </w:p>
    <w:p>
      <w:pPr>
        <w:jc w:val="center"/>
        <w:rPr>
          <w:rFonts w:ascii="宋体" w:hAnsi="宋体" w:cs="宋体"/>
          <w:b/>
          <w:bCs/>
          <w:sz w:val="44"/>
          <w:szCs w:val="44"/>
          <w:lang w:val="zh-CN"/>
        </w:rPr>
      </w:pPr>
      <w:r>
        <w:rPr>
          <w:rFonts w:hint="eastAsia" w:ascii="宋体" w:hAnsi="宋体" w:cs="宋体"/>
          <w:b/>
          <w:bCs/>
          <w:sz w:val="44"/>
          <w:szCs w:val="44"/>
          <w:lang w:val="zh-CN"/>
        </w:rPr>
        <w:t>温馨提示</w:t>
      </w:r>
    </w:p>
    <w:p>
      <w:pPr>
        <w:numPr>
          <w:ilvl w:val="0"/>
          <w:numId w:val="2"/>
        </w:numPr>
        <w:tabs>
          <w:tab w:val="left" w:pos="0"/>
          <w:tab w:val="left" w:pos="1080"/>
        </w:tabs>
        <w:spacing w:line="480" w:lineRule="auto"/>
        <w:ind w:left="0" w:firstLine="435"/>
        <w:rPr>
          <w:rFonts w:ascii="宋体" w:hAnsi="宋体"/>
          <w:sz w:val="24"/>
        </w:rPr>
      </w:pPr>
      <w:r>
        <w:rPr>
          <w:rFonts w:hint="eastAsia" w:ascii="宋体" w:hAnsi="宋体" w:cs="宋体"/>
          <w:sz w:val="24"/>
          <w:lang w:val="zh-CN"/>
        </w:rPr>
        <w:t>请投标人特别留意招标文件上注明的投标截止和开标时间，逾期送达或邮寄送达的投标文件本单位恕不接收，请投标人适当提前到达会议室。</w:t>
      </w:r>
    </w:p>
    <w:p>
      <w:pPr>
        <w:numPr>
          <w:ilvl w:val="0"/>
          <w:numId w:val="2"/>
        </w:numPr>
        <w:tabs>
          <w:tab w:val="left" w:pos="0"/>
          <w:tab w:val="left" w:pos="1080"/>
        </w:tabs>
        <w:spacing w:line="520" w:lineRule="exact"/>
        <w:ind w:left="0" w:firstLine="435"/>
        <w:rPr>
          <w:rFonts w:ascii="宋体" w:hAnsi="宋体"/>
          <w:sz w:val="24"/>
        </w:rPr>
      </w:pPr>
      <w:r>
        <w:rPr>
          <w:rFonts w:hint="eastAsia" w:ascii="宋体" w:hAnsi="宋体"/>
          <w:sz w:val="24"/>
        </w:rPr>
        <w:t>关于开标地点：本单位位于</w:t>
      </w:r>
      <w:r>
        <w:rPr>
          <w:rFonts w:hint="eastAsia" w:ascii="宋体" w:hAnsi="宋体"/>
          <w:bCs/>
          <w:sz w:val="24"/>
        </w:rPr>
        <w:t>阳江市江城区城北街道创业北路御景豪园36幢246号三楼</w:t>
      </w:r>
      <w:r>
        <w:rPr>
          <w:rFonts w:hint="eastAsia" w:ascii="宋体" w:hAnsi="宋体"/>
          <w:sz w:val="24"/>
        </w:rPr>
        <w:t>，本区域面积辽阔，为保证顺利投标，建议投标人应事先查好路线、提前出发。</w:t>
      </w:r>
    </w:p>
    <w:p>
      <w:pPr>
        <w:numPr>
          <w:ilvl w:val="0"/>
          <w:numId w:val="2"/>
        </w:numPr>
        <w:tabs>
          <w:tab w:val="left" w:pos="0"/>
          <w:tab w:val="left" w:pos="1080"/>
        </w:tabs>
        <w:spacing w:line="520" w:lineRule="exact"/>
        <w:ind w:left="0" w:firstLine="435"/>
        <w:rPr>
          <w:rStyle w:val="40"/>
          <w:rFonts w:ascii="宋体" w:hAnsi="宋体"/>
          <w:sz w:val="24"/>
        </w:rPr>
      </w:pPr>
      <w:r>
        <w:rPr>
          <w:rFonts w:hint="eastAsia" w:ascii="宋体" w:hAnsi="宋体" w:cs="宋体"/>
          <w:sz w:val="24"/>
          <w:lang w:val="zh-CN"/>
        </w:rPr>
        <w:t>招标文件</w:t>
      </w:r>
      <w:r>
        <w:rPr>
          <w:rFonts w:hint="eastAsia" w:ascii="宋体" w:hAnsi="宋体" w:cs="Arial"/>
          <w:bCs/>
          <w:sz w:val="24"/>
        </w:rPr>
        <w:t>中标有“★”的地方均被视为重要的指标要求，</w:t>
      </w:r>
      <w:r>
        <w:rPr>
          <w:rFonts w:hint="eastAsia" w:ascii="宋体" w:hAnsi="宋体"/>
          <w:sz w:val="24"/>
        </w:rPr>
        <w:t>必须一一响应。</w:t>
      </w:r>
      <w:r>
        <w:rPr>
          <w:rFonts w:hint="eastAsia" w:ascii="宋体" w:hAnsi="宋体" w:cs="Arial"/>
          <w:bCs/>
          <w:sz w:val="24"/>
        </w:rPr>
        <w:t>若有一项带“★”的指标要求未响应或不满足，将按投标无效处理</w:t>
      </w:r>
      <w:r>
        <w:rPr>
          <w:rFonts w:hint="eastAsia" w:ascii="宋体" w:hAnsi="宋体" w:cs="Arial"/>
          <w:sz w:val="24"/>
        </w:rPr>
        <w:t>。</w:t>
      </w:r>
    </w:p>
    <w:p>
      <w:pPr>
        <w:numPr>
          <w:ilvl w:val="0"/>
          <w:numId w:val="2"/>
        </w:numPr>
        <w:tabs>
          <w:tab w:val="left" w:pos="0"/>
          <w:tab w:val="left" w:pos="1080"/>
        </w:tabs>
        <w:spacing w:line="520" w:lineRule="exact"/>
        <w:ind w:left="0" w:firstLine="435"/>
        <w:rPr>
          <w:rFonts w:ascii="宋体" w:hAnsi="宋体"/>
          <w:sz w:val="24"/>
        </w:rPr>
      </w:pPr>
      <w:r>
        <w:rPr>
          <w:rFonts w:hint="eastAsia" w:ascii="宋体" w:hAnsi="宋体"/>
          <w:sz w:val="24"/>
        </w:rPr>
        <w:t>投标文件应由投标人的授权代表送达开标现场（携带身份证原件核对，授权代表必须与投标文件所授权的人员一致。）</w:t>
      </w:r>
    </w:p>
    <w:p>
      <w:pPr>
        <w:numPr>
          <w:ilvl w:val="0"/>
          <w:numId w:val="2"/>
        </w:numPr>
        <w:tabs>
          <w:tab w:val="left" w:pos="0"/>
          <w:tab w:val="left" w:pos="1080"/>
        </w:tabs>
        <w:spacing w:line="520" w:lineRule="exact"/>
        <w:ind w:left="0" w:firstLine="435"/>
        <w:rPr>
          <w:rFonts w:ascii="宋体" w:hAnsi="宋体"/>
          <w:sz w:val="24"/>
        </w:rPr>
      </w:pPr>
      <w:r>
        <w:rPr>
          <w:rFonts w:hint="eastAsia" w:ascii="宋体" w:hAnsi="宋体"/>
          <w:sz w:val="24"/>
        </w:rPr>
        <w:t>为保证投标人的切身利益，避免评委小组在评审过程中遗漏，建议将投标文件按</w:t>
      </w:r>
      <w:r>
        <w:rPr>
          <w:rFonts w:hint="eastAsia" w:ascii="宋体" w:hAnsi="宋体" w:cs="宋体"/>
          <w:sz w:val="24"/>
          <w:lang w:val="zh-CN"/>
        </w:rPr>
        <w:t>招标文件</w:t>
      </w:r>
      <w:r>
        <w:rPr>
          <w:rFonts w:hint="eastAsia" w:ascii="宋体" w:hAnsi="宋体"/>
          <w:sz w:val="24"/>
        </w:rPr>
        <w:t>描述的顺序编制页码。</w:t>
      </w:r>
    </w:p>
    <w:p>
      <w:pPr>
        <w:numPr>
          <w:ilvl w:val="0"/>
          <w:numId w:val="2"/>
        </w:numPr>
        <w:tabs>
          <w:tab w:val="left" w:pos="0"/>
          <w:tab w:val="left" w:pos="1080"/>
        </w:tabs>
        <w:spacing w:line="520" w:lineRule="exact"/>
        <w:ind w:left="0" w:firstLine="435"/>
        <w:rPr>
          <w:rFonts w:ascii="宋体" w:hAnsi="宋体"/>
          <w:sz w:val="32"/>
          <w:szCs w:val="32"/>
        </w:rPr>
      </w:pPr>
      <w:r>
        <w:rPr>
          <w:rStyle w:val="40"/>
          <w:rFonts w:hint="eastAsia" w:ascii="宋体" w:hAnsi="宋体"/>
          <w:sz w:val="24"/>
        </w:rPr>
        <w:t>我单位为采购代理机构，不对投标人投标报名登记时提交的相关资料的真伪做出判断，如投标人发现相关资料被盗用或复制，建议遵循法律途径解决，追究侵权者责任。</w:t>
      </w:r>
    </w:p>
    <w:p>
      <w:pPr>
        <w:numPr>
          <w:ilvl w:val="0"/>
          <w:numId w:val="2"/>
        </w:numPr>
        <w:tabs>
          <w:tab w:val="left" w:pos="0"/>
          <w:tab w:val="left" w:pos="1080"/>
        </w:tabs>
        <w:spacing w:line="520" w:lineRule="exact"/>
        <w:ind w:left="0" w:firstLine="435"/>
        <w:rPr>
          <w:rStyle w:val="40"/>
          <w:sz w:val="24"/>
        </w:rPr>
      </w:pPr>
      <w:r>
        <w:rPr>
          <w:rStyle w:val="40"/>
          <w:sz w:val="24"/>
        </w:rPr>
        <w:t>首次参与政府采购项目投标的供应商，应在报名成功后登录广东省政府采购网进行注册</w:t>
      </w:r>
      <w:r>
        <w:rPr>
          <w:rStyle w:val="40"/>
          <w:rFonts w:hint="eastAsia"/>
          <w:sz w:val="24"/>
        </w:rPr>
        <w:t>，详见办事指南连接：https://gdgpo.czt.gd.gov.cn/</w:t>
      </w:r>
    </w:p>
    <w:p>
      <w:pPr>
        <w:tabs>
          <w:tab w:val="left" w:pos="1080"/>
        </w:tabs>
        <w:spacing w:line="520" w:lineRule="exact"/>
        <w:rPr>
          <w:rFonts w:ascii="宋体" w:hAnsi="宋体"/>
          <w:sz w:val="24"/>
        </w:rPr>
      </w:pPr>
    </w:p>
    <w:p>
      <w:pPr>
        <w:spacing w:line="360" w:lineRule="auto"/>
        <w:rPr>
          <w:rFonts w:ascii="宋体" w:hAnsi="宋体" w:cs="仿宋_GB2312"/>
          <w:sz w:val="24"/>
          <w:lang w:val="zh-CN"/>
        </w:rPr>
      </w:pPr>
      <w:r>
        <w:rPr>
          <w:rFonts w:hint="eastAsia" w:ascii="宋体" w:hAnsi="宋体" w:cs="仿宋_GB2312"/>
          <w:sz w:val="24"/>
          <w:lang w:val="zh-CN"/>
        </w:rPr>
        <w:t>（本注意事项非</w:t>
      </w:r>
      <w:r>
        <w:rPr>
          <w:rFonts w:hint="eastAsia" w:ascii="宋体" w:hAnsi="宋体" w:cs="宋体"/>
          <w:sz w:val="24"/>
          <w:lang w:val="zh-CN"/>
        </w:rPr>
        <w:t>招标文件</w:t>
      </w:r>
      <w:r>
        <w:rPr>
          <w:rFonts w:hint="eastAsia" w:ascii="宋体" w:hAnsi="宋体" w:cs="仿宋_GB2312"/>
          <w:sz w:val="24"/>
          <w:lang w:val="zh-CN"/>
        </w:rPr>
        <w:t>的组成部分，仅作善意提醒。若有不同，均以</w:t>
      </w:r>
      <w:r>
        <w:rPr>
          <w:rFonts w:hint="eastAsia" w:ascii="宋体" w:hAnsi="宋体" w:cs="宋体"/>
          <w:sz w:val="24"/>
          <w:lang w:val="zh-CN"/>
        </w:rPr>
        <w:t>招标文件</w:t>
      </w:r>
      <w:r>
        <w:rPr>
          <w:rFonts w:hint="eastAsia" w:ascii="宋体" w:hAnsi="宋体" w:cs="仿宋_GB2312"/>
          <w:sz w:val="24"/>
          <w:lang w:val="zh-CN"/>
        </w:rPr>
        <w:t>为准。）</w:t>
      </w:r>
    </w:p>
    <w:p/>
    <w:p/>
    <w:p>
      <w:r>
        <w:rPr>
          <w:rFonts w:hint="eastAsia"/>
        </w:rPr>
        <w:br w:type="page"/>
      </w:r>
    </w:p>
    <w:p>
      <w:pPr>
        <w:spacing w:line="288" w:lineRule="auto"/>
        <w:jc w:val="center"/>
        <w:rPr>
          <w:b/>
          <w:bCs/>
          <w:sz w:val="52"/>
          <w:szCs w:val="52"/>
        </w:rPr>
      </w:pPr>
      <w:r>
        <w:rPr>
          <w:rFonts w:hint="eastAsia"/>
          <w:b/>
          <w:bCs/>
          <w:sz w:val="52"/>
          <w:szCs w:val="52"/>
        </w:rPr>
        <w:t>目 录</w:t>
      </w:r>
    </w:p>
    <w:sdt>
      <w:sdtPr>
        <w:rPr>
          <w:rFonts w:ascii="宋体" w:hAnsi="宋体"/>
          <w:b/>
          <w:bCs/>
          <w:kern w:val="2"/>
          <w:sz w:val="21"/>
          <w:szCs w:val="24"/>
        </w:rPr>
        <w:id w:val="147468750"/>
        <w:docPartObj>
          <w:docPartGallery w:val="Table of Contents"/>
          <w:docPartUnique/>
        </w:docPartObj>
      </w:sdtPr>
      <w:sdtEndPr>
        <w:rPr>
          <w:rFonts w:ascii="宋体" w:hAnsi="宋体"/>
          <w:b/>
          <w:bCs/>
          <w:kern w:val="2"/>
          <w:sz w:val="48"/>
          <w:szCs w:val="24"/>
        </w:rPr>
      </w:sdtEndPr>
      <w:sdtContent>
        <w:p>
          <w:pPr>
            <w:pStyle w:val="43"/>
            <w:tabs>
              <w:tab w:val="right" w:leader="dot" w:pos="9752"/>
            </w:tabs>
            <w:rPr>
              <w:b/>
              <w:bCs/>
              <w:sz w:val="24"/>
              <w:szCs w:val="24"/>
            </w:rPr>
          </w:pPr>
          <w:r>
            <w:rPr>
              <w:b/>
              <w:bCs/>
            </w:rPr>
            <w:fldChar w:fldCharType="begin"/>
          </w:r>
          <w:r>
            <w:rPr>
              <w:b/>
              <w:bCs/>
            </w:rPr>
            <w:instrText xml:space="preserve">TOC \o "1-1" \h \u </w:instrText>
          </w:r>
          <w:r>
            <w:rPr>
              <w:b/>
              <w:bCs/>
            </w:rPr>
            <w:fldChar w:fldCharType="separate"/>
          </w:r>
          <w:r>
            <w:fldChar w:fldCharType="begin"/>
          </w:r>
          <w:r>
            <w:instrText xml:space="preserve"> HYPERLINK \l "_Toc22490" </w:instrText>
          </w:r>
          <w:r>
            <w:fldChar w:fldCharType="separate"/>
          </w:r>
          <w:r>
            <w:rPr>
              <w:rFonts w:hint="eastAsia"/>
              <w:b/>
              <w:bCs/>
              <w:sz w:val="24"/>
              <w:szCs w:val="24"/>
            </w:rPr>
            <w:t>第一章 投标邀请</w:t>
          </w:r>
          <w:r>
            <w:rPr>
              <w:b/>
              <w:bCs/>
              <w:sz w:val="24"/>
              <w:szCs w:val="24"/>
            </w:rPr>
            <w:tab/>
          </w:r>
          <w:r>
            <w:rPr>
              <w:b/>
              <w:bCs/>
              <w:sz w:val="24"/>
              <w:szCs w:val="24"/>
            </w:rPr>
            <w:fldChar w:fldCharType="begin"/>
          </w:r>
          <w:r>
            <w:rPr>
              <w:b/>
              <w:bCs/>
              <w:sz w:val="24"/>
              <w:szCs w:val="24"/>
            </w:rPr>
            <w:instrText xml:space="preserve"> PAGEREF _Toc22490 </w:instrText>
          </w:r>
          <w:r>
            <w:rPr>
              <w:b/>
              <w:bCs/>
              <w:sz w:val="24"/>
              <w:szCs w:val="24"/>
            </w:rPr>
            <w:fldChar w:fldCharType="separate"/>
          </w:r>
          <w:r>
            <w:rPr>
              <w:b/>
              <w:bCs/>
              <w:sz w:val="24"/>
              <w:szCs w:val="24"/>
            </w:rPr>
            <w:t>1</w:t>
          </w:r>
          <w:r>
            <w:rPr>
              <w:b/>
              <w:bCs/>
              <w:sz w:val="24"/>
              <w:szCs w:val="24"/>
            </w:rPr>
            <w:fldChar w:fldCharType="end"/>
          </w:r>
          <w:r>
            <w:rPr>
              <w:b/>
              <w:bCs/>
              <w:sz w:val="24"/>
              <w:szCs w:val="24"/>
            </w:rPr>
            <w:fldChar w:fldCharType="end"/>
          </w:r>
        </w:p>
        <w:p>
          <w:pPr>
            <w:pStyle w:val="43"/>
            <w:tabs>
              <w:tab w:val="right" w:leader="dot" w:pos="9752"/>
            </w:tabs>
            <w:rPr>
              <w:b/>
              <w:bCs/>
              <w:sz w:val="24"/>
              <w:szCs w:val="24"/>
            </w:rPr>
          </w:pPr>
        </w:p>
        <w:p>
          <w:pPr>
            <w:pStyle w:val="43"/>
            <w:tabs>
              <w:tab w:val="right" w:leader="dot" w:pos="9752"/>
            </w:tabs>
            <w:rPr>
              <w:b/>
              <w:bCs/>
              <w:sz w:val="24"/>
              <w:szCs w:val="24"/>
            </w:rPr>
          </w:pPr>
          <w:r>
            <w:fldChar w:fldCharType="begin"/>
          </w:r>
          <w:r>
            <w:instrText xml:space="preserve"> HYPERLINK \l "_Toc31961" </w:instrText>
          </w:r>
          <w:r>
            <w:fldChar w:fldCharType="separate"/>
          </w:r>
          <w:r>
            <w:rPr>
              <w:rFonts w:hint="eastAsia"/>
              <w:b/>
              <w:bCs/>
              <w:sz w:val="24"/>
              <w:szCs w:val="24"/>
            </w:rPr>
            <w:t>第二章 投标人须知</w:t>
          </w:r>
          <w:r>
            <w:rPr>
              <w:b/>
              <w:bCs/>
              <w:sz w:val="24"/>
              <w:szCs w:val="24"/>
            </w:rPr>
            <w:tab/>
          </w:r>
          <w:r>
            <w:rPr>
              <w:b/>
              <w:bCs/>
              <w:sz w:val="24"/>
              <w:szCs w:val="24"/>
            </w:rPr>
            <w:fldChar w:fldCharType="begin"/>
          </w:r>
          <w:r>
            <w:rPr>
              <w:b/>
              <w:bCs/>
              <w:sz w:val="24"/>
              <w:szCs w:val="24"/>
            </w:rPr>
            <w:instrText xml:space="preserve"> PAGEREF _Toc31961 </w:instrText>
          </w:r>
          <w:r>
            <w:rPr>
              <w:b/>
              <w:bCs/>
              <w:sz w:val="24"/>
              <w:szCs w:val="24"/>
            </w:rPr>
            <w:fldChar w:fldCharType="separate"/>
          </w:r>
          <w:r>
            <w:rPr>
              <w:b/>
              <w:bCs/>
              <w:sz w:val="24"/>
              <w:szCs w:val="24"/>
            </w:rPr>
            <w:t>6</w:t>
          </w:r>
          <w:r>
            <w:rPr>
              <w:b/>
              <w:bCs/>
              <w:sz w:val="24"/>
              <w:szCs w:val="24"/>
            </w:rPr>
            <w:fldChar w:fldCharType="end"/>
          </w:r>
          <w:r>
            <w:rPr>
              <w:b/>
              <w:bCs/>
              <w:sz w:val="24"/>
              <w:szCs w:val="24"/>
            </w:rPr>
            <w:fldChar w:fldCharType="end"/>
          </w:r>
        </w:p>
        <w:p>
          <w:pPr>
            <w:pStyle w:val="43"/>
            <w:tabs>
              <w:tab w:val="right" w:leader="dot" w:pos="9752"/>
            </w:tabs>
            <w:rPr>
              <w:b/>
              <w:bCs/>
              <w:sz w:val="24"/>
              <w:szCs w:val="24"/>
            </w:rPr>
          </w:pPr>
        </w:p>
        <w:p>
          <w:pPr>
            <w:pStyle w:val="43"/>
            <w:tabs>
              <w:tab w:val="right" w:leader="dot" w:pos="9752"/>
            </w:tabs>
            <w:rPr>
              <w:b/>
              <w:bCs/>
              <w:sz w:val="24"/>
              <w:szCs w:val="24"/>
            </w:rPr>
          </w:pPr>
          <w:r>
            <w:fldChar w:fldCharType="begin"/>
          </w:r>
          <w:r>
            <w:instrText xml:space="preserve"> HYPERLINK \l "_Toc3001" </w:instrText>
          </w:r>
          <w:r>
            <w:fldChar w:fldCharType="separate"/>
          </w:r>
          <w:r>
            <w:rPr>
              <w:rFonts w:hint="eastAsia"/>
              <w:b/>
              <w:bCs/>
              <w:sz w:val="24"/>
              <w:szCs w:val="24"/>
            </w:rPr>
            <w:t>第三章 招标人需求书</w:t>
          </w:r>
          <w:r>
            <w:rPr>
              <w:b/>
              <w:bCs/>
              <w:sz w:val="24"/>
              <w:szCs w:val="24"/>
            </w:rPr>
            <w:tab/>
          </w:r>
          <w:r>
            <w:rPr>
              <w:b/>
              <w:bCs/>
              <w:sz w:val="24"/>
              <w:szCs w:val="24"/>
            </w:rPr>
            <w:fldChar w:fldCharType="begin"/>
          </w:r>
          <w:r>
            <w:rPr>
              <w:b/>
              <w:bCs/>
              <w:sz w:val="24"/>
              <w:szCs w:val="24"/>
            </w:rPr>
            <w:instrText xml:space="preserve"> PAGEREF _Toc3001 </w:instrText>
          </w:r>
          <w:r>
            <w:rPr>
              <w:b/>
              <w:bCs/>
              <w:sz w:val="24"/>
              <w:szCs w:val="24"/>
            </w:rPr>
            <w:fldChar w:fldCharType="separate"/>
          </w:r>
          <w:r>
            <w:rPr>
              <w:b/>
              <w:bCs/>
              <w:sz w:val="24"/>
              <w:szCs w:val="24"/>
            </w:rPr>
            <w:t>19</w:t>
          </w:r>
          <w:r>
            <w:rPr>
              <w:b/>
              <w:bCs/>
              <w:sz w:val="24"/>
              <w:szCs w:val="24"/>
            </w:rPr>
            <w:fldChar w:fldCharType="end"/>
          </w:r>
          <w:r>
            <w:rPr>
              <w:b/>
              <w:bCs/>
              <w:sz w:val="24"/>
              <w:szCs w:val="24"/>
            </w:rPr>
            <w:fldChar w:fldCharType="end"/>
          </w:r>
        </w:p>
        <w:p>
          <w:pPr>
            <w:pStyle w:val="43"/>
            <w:tabs>
              <w:tab w:val="right" w:leader="dot" w:pos="9752"/>
            </w:tabs>
            <w:rPr>
              <w:b/>
              <w:bCs/>
              <w:sz w:val="24"/>
              <w:szCs w:val="24"/>
            </w:rPr>
          </w:pPr>
        </w:p>
        <w:p>
          <w:pPr>
            <w:pStyle w:val="43"/>
            <w:tabs>
              <w:tab w:val="right" w:leader="dot" w:pos="9752"/>
            </w:tabs>
            <w:rPr>
              <w:b/>
              <w:bCs/>
              <w:sz w:val="24"/>
              <w:szCs w:val="24"/>
            </w:rPr>
          </w:pPr>
          <w:r>
            <w:fldChar w:fldCharType="begin"/>
          </w:r>
          <w:r>
            <w:instrText xml:space="preserve"> HYPERLINK \l "_Toc19948" </w:instrText>
          </w:r>
          <w:r>
            <w:fldChar w:fldCharType="separate"/>
          </w:r>
          <w:r>
            <w:rPr>
              <w:rFonts w:hint="eastAsia"/>
              <w:b/>
              <w:bCs/>
              <w:sz w:val="24"/>
              <w:szCs w:val="24"/>
            </w:rPr>
            <w:t>第四章 合同文本</w:t>
          </w:r>
          <w:r>
            <w:rPr>
              <w:b/>
              <w:bCs/>
              <w:sz w:val="24"/>
              <w:szCs w:val="24"/>
            </w:rPr>
            <w:tab/>
          </w:r>
          <w:r>
            <w:rPr>
              <w:rFonts w:hint="eastAsia"/>
              <w:b/>
              <w:bCs/>
              <w:sz w:val="24"/>
              <w:szCs w:val="24"/>
            </w:rPr>
            <w:t>4</w:t>
          </w:r>
          <w:r>
            <w:rPr>
              <w:rFonts w:hint="eastAsia"/>
              <w:b/>
              <w:bCs/>
              <w:sz w:val="24"/>
              <w:szCs w:val="24"/>
            </w:rPr>
            <w:fldChar w:fldCharType="end"/>
          </w:r>
          <w:r>
            <w:rPr>
              <w:rFonts w:hint="eastAsia"/>
              <w:b/>
              <w:bCs/>
              <w:sz w:val="24"/>
              <w:szCs w:val="24"/>
            </w:rPr>
            <w:t>1</w:t>
          </w:r>
        </w:p>
        <w:p>
          <w:pPr>
            <w:pStyle w:val="43"/>
            <w:tabs>
              <w:tab w:val="right" w:leader="dot" w:pos="9752"/>
            </w:tabs>
            <w:rPr>
              <w:b/>
              <w:bCs/>
              <w:sz w:val="24"/>
              <w:szCs w:val="24"/>
            </w:rPr>
          </w:pPr>
        </w:p>
        <w:p>
          <w:pPr>
            <w:pStyle w:val="43"/>
            <w:tabs>
              <w:tab w:val="right" w:leader="dot" w:pos="9752"/>
            </w:tabs>
            <w:rPr>
              <w:b/>
              <w:bCs/>
              <w:sz w:val="24"/>
              <w:szCs w:val="24"/>
            </w:rPr>
          </w:pPr>
          <w:r>
            <w:fldChar w:fldCharType="begin"/>
          </w:r>
          <w:r>
            <w:instrText xml:space="preserve"> HYPERLINK \l "_Toc25575" </w:instrText>
          </w:r>
          <w:r>
            <w:fldChar w:fldCharType="separate"/>
          </w:r>
          <w:r>
            <w:rPr>
              <w:rFonts w:hint="eastAsia"/>
              <w:b/>
              <w:bCs/>
              <w:sz w:val="24"/>
              <w:szCs w:val="24"/>
            </w:rPr>
            <w:t>第五章  投标文件（格式）</w:t>
          </w:r>
          <w:r>
            <w:rPr>
              <w:b/>
              <w:bCs/>
              <w:sz w:val="24"/>
              <w:szCs w:val="24"/>
            </w:rPr>
            <w:tab/>
          </w:r>
          <w:r>
            <w:rPr>
              <w:b/>
              <w:bCs/>
              <w:sz w:val="24"/>
              <w:szCs w:val="24"/>
            </w:rPr>
            <w:fldChar w:fldCharType="begin"/>
          </w:r>
          <w:r>
            <w:rPr>
              <w:b/>
              <w:bCs/>
              <w:sz w:val="24"/>
              <w:szCs w:val="24"/>
            </w:rPr>
            <w:instrText xml:space="preserve"> PAGEREF _Toc25575 </w:instrText>
          </w:r>
          <w:r>
            <w:rPr>
              <w:b/>
              <w:bCs/>
              <w:sz w:val="24"/>
              <w:szCs w:val="24"/>
            </w:rPr>
            <w:fldChar w:fldCharType="separate"/>
          </w:r>
          <w:r>
            <w:rPr>
              <w:b/>
              <w:bCs/>
              <w:sz w:val="24"/>
              <w:szCs w:val="24"/>
            </w:rPr>
            <w:t>63</w:t>
          </w:r>
          <w:r>
            <w:rPr>
              <w:b/>
              <w:bCs/>
              <w:sz w:val="24"/>
              <w:szCs w:val="24"/>
            </w:rPr>
            <w:fldChar w:fldCharType="end"/>
          </w:r>
          <w:r>
            <w:rPr>
              <w:b/>
              <w:bCs/>
              <w:sz w:val="24"/>
              <w:szCs w:val="24"/>
            </w:rPr>
            <w:fldChar w:fldCharType="end"/>
          </w:r>
        </w:p>
        <w:p>
          <w:pPr>
            <w:pStyle w:val="3"/>
          </w:pPr>
          <w:r>
            <w:fldChar w:fldCharType="end"/>
          </w:r>
        </w:p>
      </w:sdtContent>
    </w:sdt>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3"/>
        <w:rPr>
          <w:sz w:val="28"/>
        </w:rPr>
      </w:pPr>
    </w:p>
    <w:p>
      <w:pPr>
        <w:rPr>
          <w:rFonts w:ascii="宋体" w:hAnsi="宋体"/>
          <w:sz w:val="28"/>
        </w:rPr>
      </w:pPr>
    </w:p>
    <w:p>
      <w:pPr>
        <w:pStyle w:val="3"/>
      </w:pPr>
    </w:p>
    <w:p/>
    <w:p>
      <w:pPr>
        <w:pStyle w:val="3"/>
      </w:pPr>
    </w:p>
    <w:p>
      <w:pPr>
        <w:pStyle w:val="3"/>
      </w:pPr>
    </w:p>
    <w:p/>
    <w:p>
      <w:pPr>
        <w:pStyle w:val="3"/>
      </w:pPr>
    </w:p>
    <w:p/>
    <w:p>
      <w:pPr>
        <w:pStyle w:val="3"/>
      </w:pPr>
    </w:p>
    <w:p>
      <w:pPr>
        <w:rPr>
          <w:rFonts w:ascii="宋体" w:hAnsi="宋体"/>
          <w:sz w:val="28"/>
        </w:rPr>
      </w:pPr>
    </w:p>
    <w:p/>
    <w:p>
      <w:pPr>
        <w:pStyle w:val="3"/>
        <w:rPr>
          <w:sz w:val="44"/>
        </w:rPr>
        <w:sectPr>
          <w:headerReference r:id="rId9" w:type="default"/>
          <w:footerReference r:id="rId10" w:type="default"/>
          <w:pgSz w:w="11906" w:h="16838"/>
          <w:pgMar w:top="567" w:right="907" w:bottom="295" w:left="1247" w:header="567" w:footer="567" w:gutter="0"/>
          <w:pgNumType w:start="1"/>
          <w:cols w:space="720" w:num="1"/>
          <w:docGrid w:type="lines" w:linePitch="312" w:charSpace="0"/>
        </w:sectPr>
      </w:pPr>
      <w:bookmarkStart w:id="0" w:name="_Toc14876"/>
      <w:bookmarkStart w:id="1" w:name="_Toc7146"/>
      <w:bookmarkStart w:id="2" w:name="_Toc4222"/>
      <w:bookmarkStart w:id="3" w:name="_Toc14941"/>
      <w:bookmarkStart w:id="4" w:name="_Toc18494"/>
      <w:bookmarkStart w:id="5" w:name="_Toc29130"/>
      <w:bookmarkStart w:id="6" w:name="_Toc5683"/>
      <w:bookmarkStart w:id="7" w:name="_Toc20983"/>
      <w:bookmarkStart w:id="8" w:name="_Toc23410"/>
      <w:bookmarkStart w:id="9" w:name="_Toc17140"/>
      <w:bookmarkStart w:id="10" w:name="_Toc458795995"/>
      <w:bookmarkStart w:id="11" w:name="_Toc3611"/>
      <w:bookmarkStart w:id="12" w:name="_Toc22490"/>
    </w:p>
    <w:p/>
    <w:p>
      <w:pPr>
        <w:pStyle w:val="3"/>
        <w:rPr>
          <w:sz w:val="44"/>
        </w:rPr>
      </w:pPr>
    </w:p>
    <w:p>
      <w:pPr>
        <w:pStyle w:val="3"/>
        <w:rPr>
          <w:sz w:val="44"/>
        </w:rPr>
      </w:pPr>
    </w:p>
    <w:p>
      <w:pPr>
        <w:pStyle w:val="3"/>
        <w:rPr>
          <w:sz w:val="44"/>
        </w:rPr>
      </w:pPr>
    </w:p>
    <w:p>
      <w:pPr>
        <w:pStyle w:val="3"/>
        <w:rPr>
          <w:sz w:val="44"/>
        </w:rPr>
      </w:pPr>
    </w:p>
    <w:p>
      <w:pPr>
        <w:pStyle w:val="3"/>
        <w:rPr>
          <w:sz w:val="44"/>
        </w:rPr>
      </w:pPr>
    </w:p>
    <w:p>
      <w:pPr>
        <w:pStyle w:val="3"/>
        <w:rPr>
          <w:sz w:val="44"/>
        </w:rPr>
      </w:pPr>
    </w:p>
    <w:p>
      <w:pPr>
        <w:pStyle w:val="3"/>
        <w:rPr>
          <w:sz w:val="44"/>
        </w:rPr>
      </w:pPr>
    </w:p>
    <w:p>
      <w:pPr>
        <w:pStyle w:val="3"/>
        <w:rPr>
          <w:sz w:val="44"/>
        </w:rPr>
      </w:pPr>
    </w:p>
    <w:p>
      <w:pPr>
        <w:pStyle w:val="3"/>
        <w:rPr>
          <w:sz w:val="44"/>
        </w:rPr>
      </w:pPr>
    </w:p>
    <w:p>
      <w:pPr>
        <w:pStyle w:val="3"/>
        <w:rPr>
          <w:sz w:val="44"/>
        </w:rPr>
      </w:pPr>
      <w:r>
        <w:rPr>
          <w:rFonts w:hint="eastAsia"/>
          <w:sz w:val="44"/>
        </w:rPr>
        <w:t>第一章</w:t>
      </w:r>
      <w:bookmarkStart w:id="13" w:name="_Toc10525513"/>
      <w:r>
        <w:rPr>
          <w:rFonts w:hint="eastAsia"/>
          <w:sz w:val="44"/>
        </w:rPr>
        <w:t xml:space="preserve"> 投标邀请</w:t>
      </w:r>
      <w:bookmarkEnd w:id="0"/>
      <w:bookmarkEnd w:id="1"/>
      <w:bookmarkEnd w:id="2"/>
      <w:bookmarkEnd w:id="3"/>
      <w:bookmarkEnd w:id="4"/>
      <w:bookmarkEnd w:id="5"/>
      <w:bookmarkEnd w:id="6"/>
      <w:bookmarkEnd w:id="7"/>
      <w:bookmarkEnd w:id="8"/>
      <w:bookmarkEnd w:id="9"/>
      <w:bookmarkEnd w:id="10"/>
      <w:bookmarkEnd w:id="11"/>
      <w:bookmarkEnd w:id="12"/>
      <w:bookmarkEnd w:id="13"/>
    </w:p>
    <w:p>
      <w:pPr>
        <w:spacing w:line="360" w:lineRule="auto"/>
      </w:pPr>
    </w:p>
    <w:p/>
    <w:p>
      <w:pPr>
        <w:jc w:val="center"/>
        <w:outlineLvl w:val="1"/>
        <w:rPr>
          <w:rFonts w:ascii="宋体" w:hAnsi="宋体"/>
          <w:b/>
          <w:sz w:val="32"/>
        </w:rPr>
      </w:pPr>
      <w:r>
        <w:rPr>
          <w:rFonts w:hint="eastAsia"/>
        </w:rPr>
        <w:br w:type="page"/>
      </w:r>
      <w:bookmarkStart w:id="14" w:name="_Toc32273"/>
      <w:r>
        <w:rPr>
          <w:rFonts w:hint="eastAsia" w:ascii="宋体" w:hAnsi="宋体"/>
          <w:b/>
          <w:sz w:val="32"/>
        </w:rPr>
        <w:t>投标邀请函</w:t>
      </w:r>
      <w:bookmarkEnd w:id="14"/>
    </w:p>
    <w:p>
      <w:pPr>
        <w:spacing w:line="360" w:lineRule="auto"/>
        <w:ind w:firstLine="480" w:firstLineChars="200"/>
        <w:rPr>
          <w:rFonts w:ascii="宋体" w:hAnsi="宋体"/>
          <w:sz w:val="24"/>
        </w:rPr>
      </w:pPr>
      <w:r>
        <w:rPr>
          <w:rFonts w:hint="eastAsia" w:ascii="宋体" w:hAnsi="宋体"/>
          <w:sz w:val="24"/>
        </w:rPr>
        <w:t>广东国达工程项目咨询有限公司受国家税务总局阳江高新技术产业开发区税务局的委托，对国家税务总局阳江高新技术产业开发区税务局物业管理服务项目 (项目编号:YJGD-20231017-011)进行公开招标采购，欢迎符合资格条件的供应商投标。</w:t>
      </w:r>
    </w:p>
    <w:p>
      <w:pPr>
        <w:spacing w:line="360" w:lineRule="auto"/>
        <w:ind w:firstLine="600" w:firstLineChars="250"/>
        <w:rPr>
          <w:rFonts w:ascii="宋体" w:hAnsi="宋体"/>
          <w:sz w:val="24"/>
        </w:rPr>
      </w:pPr>
      <w:r>
        <w:rPr>
          <w:rFonts w:hint="eastAsia" w:ascii="宋体" w:hAnsi="宋体"/>
          <w:sz w:val="24"/>
        </w:rPr>
        <w:t>一、采购项目编号：YJGD-20231017-011</w:t>
      </w:r>
    </w:p>
    <w:p>
      <w:pPr>
        <w:spacing w:line="360" w:lineRule="auto"/>
        <w:ind w:firstLine="600" w:firstLineChars="250"/>
        <w:rPr>
          <w:rFonts w:ascii="宋体" w:hAnsi="宋体"/>
          <w:sz w:val="24"/>
        </w:rPr>
      </w:pPr>
      <w:r>
        <w:rPr>
          <w:rFonts w:hint="eastAsia" w:ascii="宋体" w:hAnsi="宋体"/>
          <w:sz w:val="24"/>
        </w:rPr>
        <w:t>二、采购项目名称:国家税务总局阳江高新技术产业开发区税务局物业管理服务项目</w:t>
      </w:r>
    </w:p>
    <w:p>
      <w:pPr>
        <w:spacing w:line="360" w:lineRule="auto"/>
        <w:ind w:firstLine="600" w:firstLineChars="250"/>
        <w:rPr>
          <w:rFonts w:ascii="宋体" w:hAnsi="宋体"/>
          <w:sz w:val="24"/>
        </w:rPr>
      </w:pPr>
      <w:r>
        <w:rPr>
          <w:rFonts w:hint="eastAsia" w:ascii="宋体" w:hAnsi="宋体"/>
          <w:sz w:val="24"/>
        </w:rPr>
        <w:t xml:space="preserve">    项目编号：YJGD-20231017-011</w:t>
      </w:r>
    </w:p>
    <w:p>
      <w:pPr>
        <w:numPr>
          <w:ilvl w:val="0"/>
          <w:numId w:val="3"/>
        </w:numPr>
        <w:spacing w:line="360" w:lineRule="auto"/>
        <w:ind w:firstLine="480" w:firstLineChars="200"/>
        <w:rPr>
          <w:rFonts w:ascii="宋体" w:hAnsi="宋体"/>
          <w:sz w:val="24"/>
        </w:rPr>
      </w:pPr>
      <w:r>
        <w:rPr>
          <w:rFonts w:hint="eastAsia" w:ascii="宋体" w:hAnsi="宋体"/>
          <w:sz w:val="24"/>
        </w:rPr>
        <w:t>采购预算金额： 236.25万元</w:t>
      </w:r>
    </w:p>
    <w:p>
      <w:pPr>
        <w:spacing w:line="360" w:lineRule="auto"/>
        <w:ind w:firstLine="480" w:firstLineChars="200"/>
        <w:rPr>
          <w:rFonts w:ascii="宋体" w:hAnsi="宋体"/>
          <w:sz w:val="24"/>
        </w:rPr>
      </w:pPr>
      <w:r>
        <w:rPr>
          <w:rFonts w:hint="eastAsia" w:ascii="宋体" w:hAnsi="宋体"/>
          <w:sz w:val="24"/>
        </w:rPr>
        <w:t>四、招标人的具体采购需求：详见招标文件中的“招标人需求书”。</w:t>
      </w:r>
    </w:p>
    <w:tbl>
      <w:tblPr>
        <w:tblStyle w:val="21"/>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851"/>
        <w:gridCol w:w="2551"/>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1976" w:type="dxa"/>
            <w:shd w:val="clear" w:color="auto" w:fill="EEECE1"/>
            <w:vAlign w:val="center"/>
          </w:tcPr>
          <w:p>
            <w:pPr>
              <w:jc w:val="center"/>
              <w:rPr>
                <w:rFonts w:ascii="宋体" w:hAnsi="宋体"/>
                <w:b/>
                <w:sz w:val="24"/>
              </w:rPr>
            </w:pPr>
            <w:r>
              <w:rPr>
                <w:rFonts w:hint="eastAsia" w:ascii="宋体" w:hAnsi="宋体"/>
                <w:b/>
                <w:sz w:val="24"/>
              </w:rPr>
              <w:t>服务内容</w:t>
            </w:r>
          </w:p>
        </w:tc>
        <w:tc>
          <w:tcPr>
            <w:tcW w:w="851" w:type="dxa"/>
            <w:shd w:val="clear" w:color="auto" w:fill="EEECE1"/>
            <w:vAlign w:val="center"/>
          </w:tcPr>
          <w:p>
            <w:pPr>
              <w:jc w:val="center"/>
              <w:rPr>
                <w:rFonts w:ascii="宋体" w:hAnsi="宋体"/>
                <w:b/>
                <w:sz w:val="24"/>
              </w:rPr>
            </w:pPr>
            <w:r>
              <w:rPr>
                <w:rFonts w:hint="eastAsia" w:ascii="宋体" w:hAnsi="宋体"/>
                <w:b/>
                <w:sz w:val="24"/>
              </w:rPr>
              <w:t>数量</w:t>
            </w:r>
          </w:p>
        </w:tc>
        <w:tc>
          <w:tcPr>
            <w:tcW w:w="2551" w:type="dxa"/>
            <w:shd w:val="clear" w:color="auto" w:fill="EEECE1"/>
            <w:vAlign w:val="center"/>
          </w:tcPr>
          <w:p>
            <w:pPr>
              <w:snapToGrid w:val="0"/>
              <w:jc w:val="center"/>
              <w:rPr>
                <w:rFonts w:ascii="宋体"/>
                <w:b/>
                <w:sz w:val="24"/>
              </w:rPr>
            </w:pPr>
            <w:r>
              <w:rPr>
                <w:rFonts w:hint="eastAsia" w:ascii="宋体"/>
                <w:b/>
                <w:sz w:val="24"/>
              </w:rPr>
              <w:t>最高限价</w:t>
            </w:r>
          </w:p>
          <w:p>
            <w:pPr>
              <w:jc w:val="center"/>
              <w:rPr>
                <w:rFonts w:ascii="宋体" w:hAnsi="宋体"/>
                <w:b/>
                <w:sz w:val="24"/>
              </w:rPr>
            </w:pPr>
            <w:r>
              <w:rPr>
                <w:rFonts w:hint="eastAsia" w:ascii="宋体"/>
                <w:b/>
                <w:sz w:val="24"/>
              </w:rPr>
              <w:t>（人民币元）</w:t>
            </w:r>
          </w:p>
        </w:tc>
        <w:tc>
          <w:tcPr>
            <w:tcW w:w="3600" w:type="dxa"/>
            <w:shd w:val="clear" w:color="auto" w:fill="EEECE1"/>
            <w:vAlign w:val="center"/>
          </w:tcPr>
          <w:p>
            <w:pPr>
              <w:jc w:val="center"/>
              <w:rPr>
                <w:rFonts w:ascii="宋体" w:hAnsi="宋体"/>
                <w:b/>
                <w:sz w:val="24"/>
              </w:rPr>
            </w:pPr>
            <w:r>
              <w:rPr>
                <w:rFonts w:hint="eastAsia" w:ascii="宋体" w:hAnsi="宋体"/>
                <w:b/>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976" w:type="dxa"/>
            <w:vAlign w:val="center"/>
          </w:tcPr>
          <w:p>
            <w:pPr>
              <w:jc w:val="center"/>
              <w:rPr>
                <w:rFonts w:ascii="宋体" w:hAnsi="宋体"/>
                <w:bCs/>
                <w:sz w:val="24"/>
              </w:rPr>
            </w:pPr>
            <w:r>
              <w:rPr>
                <w:rFonts w:hint="eastAsia" w:ascii="宋体" w:hAnsi="宋体"/>
                <w:sz w:val="24"/>
              </w:rPr>
              <w:t>本项目内容包括安全保卫、清洁卫生、绿化养护、物业设施设备维护和管理、停车场管理、大院环境美容美化及整理等</w:t>
            </w:r>
          </w:p>
        </w:tc>
        <w:tc>
          <w:tcPr>
            <w:tcW w:w="851" w:type="dxa"/>
            <w:vAlign w:val="center"/>
          </w:tcPr>
          <w:p>
            <w:pPr>
              <w:jc w:val="center"/>
              <w:rPr>
                <w:rFonts w:ascii="宋体" w:hAnsi="宋体"/>
                <w:bCs/>
                <w:sz w:val="24"/>
              </w:rPr>
            </w:pPr>
            <w:r>
              <w:rPr>
                <w:rFonts w:hint="eastAsia" w:ascii="宋体" w:hAnsi="宋体" w:cs="宋体"/>
                <w:bCs/>
                <w:sz w:val="24"/>
              </w:rPr>
              <w:t>1项</w:t>
            </w:r>
          </w:p>
        </w:tc>
        <w:tc>
          <w:tcPr>
            <w:tcW w:w="2551" w:type="dxa"/>
            <w:vAlign w:val="center"/>
          </w:tcPr>
          <w:p>
            <w:pPr>
              <w:keepNext/>
              <w:spacing w:before="60" w:after="60"/>
              <w:ind w:hanging="67"/>
              <w:jc w:val="center"/>
              <w:textAlignment w:val="center"/>
              <w:rPr>
                <w:rFonts w:ascii="宋体" w:hAnsi="宋体"/>
                <w:sz w:val="24"/>
              </w:rPr>
            </w:pPr>
            <w:r>
              <w:rPr>
                <w:rFonts w:hint="eastAsia" w:ascii="宋体" w:hAnsi="宋体"/>
                <w:sz w:val="24"/>
                <w:highlight w:val="red"/>
              </w:rPr>
              <w:t>￥2362500.00</w:t>
            </w:r>
          </w:p>
        </w:tc>
        <w:tc>
          <w:tcPr>
            <w:tcW w:w="3600" w:type="dxa"/>
            <w:vAlign w:val="center"/>
          </w:tcPr>
          <w:p>
            <w:pPr>
              <w:keepNext/>
              <w:spacing w:before="60" w:after="60"/>
              <w:ind w:hanging="67"/>
              <w:jc w:val="center"/>
              <w:textAlignment w:val="center"/>
              <w:rPr>
                <w:rFonts w:ascii="宋体" w:hAnsi="宋体"/>
                <w:sz w:val="24"/>
              </w:rPr>
            </w:pPr>
            <w:r>
              <w:rPr>
                <w:rFonts w:hint="eastAsia" w:ascii="宋体" w:hAnsi="宋体" w:cs="宋体"/>
                <w:sz w:val="24"/>
                <w:highlight w:val="red"/>
              </w:rPr>
              <w:t>自合同签订之日起至2025年12月31日。</w:t>
            </w:r>
            <w:r>
              <w:rPr>
                <w:rFonts w:hint="eastAsia" w:ascii="宋体" w:hAnsi="宋体" w:cs="宋体"/>
                <w:sz w:val="24"/>
              </w:rPr>
              <w:t>若中标人年度内累计2个月以上服务质量及综合指标考核不合格(考核标准详见附件)，采购人可向中标人送达《终止合同通知书》，并终止合同。</w:t>
            </w:r>
          </w:p>
        </w:tc>
      </w:tr>
    </w:tbl>
    <w:p>
      <w:pPr>
        <w:spacing w:line="360" w:lineRule="auto"/>
        <w:ind w:firstLine="600" w:firstLineChars="250"/>
        <w:rPr>
          <w:rFonts w:ascii="宋体" w:hAnsi="宋体"/>
          <w:sz w:val="24"/>
        </w:rPr>
      </w:pPr>
    </w:p>
    <w:p>
      <w:pPr>
        <w:widowControl/>
        <w:tabs>
          <w:tab w:val="left" w:pos="0"/>
        </w:tabs>
        <w:adjustRightInd w:val="0"/>
        <w:snapToGrid w:val="0"/>
        <w:spacing w:line="360" w:lineRule="auto"/>
        <w:rPr>
          <w:rFonts w:ascii="宋体"/>
          <w:bCs/>
          <w:sz w:val="24"/>
        </w:rPr>
      </w:pPr>
      <w:r>
        <w:rPr>
          <w:rFonts w:hint="eastAsia" w:ascii="宋体"/>
          <w:bCs/>
          <w:sz w:val="24"/>
        </w:rPr>
        <w:t xml:space="preserve">五、供应商资格： </w:t>
      </w:r>
    </w:p>
    <w:p>
      <w:pPr>
        <w:widowControl/>
        <w:numPr>
          <w:ilvl w:val="0"/>
          <w:numId w:val="4"/>
        </w:numPr>
        <w:tabs>
          <w:tab w:val="left" w:pos="360"/>
          <w:tab w:val="left" w:pos="735"/>
        </w:tabs>
        <w:adjustRightInd w:val="0"/>
        <w:snapToGrid w:val="0"/>
        <w:spacing w:line="360" w:lineRule="auto"/>
        <w:rPr>
          <w:rFonts w:ascii="宋体" w:hAnsi="宋体"/>
          <w:sz w:val="24"/>
          <w:szCs w:val="28"/>
        </w:rPr>
      </w:pPr>
      <w:r>
        <w:rPr>
          <w:rFonts w:hint="eastAsia" w:ascii="宋体" w:hAnsi="宋体"/>
          <w:sz w:val="24"/>
          <w:szCs w:val="28"/>
        </w:rPr>
        <w:t>供应商须符合《中华人民共和国政府采购法》第二十二条规定的条件：</w:t>
      </w:r>
    </w:p>
    <w:p>
      <w:pPr>
        <w:spacing w:line="360" w:lineRule="auto"/>
        <w:ind w:firstLine="480" w:firstLineChars="200"/>
        <w:rPr>
          <w:rFonts w:ascii="宋体" w:hAnsi="宋体"/>
          <w:sz w:val="24"/>
          <w:szCs w:val="28"/>
        </w:rPr>
      </w:pPr>
      <w:r>
        <w:rPr>
          <w:rFonts w:hint="eastAsia" w:ascii="宋体" w:hAnsi="宋体"/>
          <w:sz w:val="24"/>
          <w:szCs w:val="28"/>
        </w:rPr>
        <w:t>1.具有独立承担民事责任的能力（提供《关于资格的声明函》）；</w:t>
      </w:r>
    </w:p>
    <w:p>
      <w:pPr>
        <w:spacing w:line="360" w:lineRule="auto"/>
        <w:ind w:firstLine="480" w:firstLineChars="200"/>
        <w:rPr>
          <w:rFonts w:ascii="宋体" w:hAnsi="宋体"/>
          <w:sz w:val="24"/>
          <w:szCs w:val="28"/>
        </w:rPr>
      </w:pPr>
      <w:r>
        <w:rPr>
          <w:rFonts w:hint="eastAsia" w:ascii="宋体" w:hAnsi="宋体"/>
          <w:sz w:val="24"/>
          <w:szCs w:val="28"/>
        </w:rPr>
        <w:t>2.具有良好的商业信誉和健全的财务会计制度（提供《关于资格的声明函》）；</w:t>
      </w:r>
    </w:p>
    <w:p>
      <w:pPr>
        <w:spacing w:line="360" w:lineRule="auto"/>
        <w:ind w:firstLine="480" w:firstLineChars="200"/>
        <w:rPr>
          <w:rFonts w:ascii="宋体" w:hAnsi="宋体"/>
          <w:sz w:val="24"/>
          <w:szCs w:val="28"/>
        </w:rPr>
      </w:pPr>
      <w:r>
        <w:rPr>
          <w:rFonts w:hint="eastAsia" w:ascii="宋体" w:hAnsi="宋体"/>
          <w:sz w:val="24"/>
          <w:szCs w:val="28"/>
        </w:rPr>
        <w:t>3.具有履行合同所必需的设备和专业技术能力（提供《关于资格的声明函》）；</w:t>
      </w:r>
    </w:p>
    <w:p>
      <w:pPr>
        <w:spacing w:line="360" w:lineRule="auto"/>
        <w:ind w:firstLine="480" w:firstLineChars="200"/>
        <w:rPr>
          <w:rFonts w:ascii="宋体" w:hAnsi="宋体"/>
          <w:sz w:val="24"/>
          <w:szCs w:val="28"/>
        </w:rPr>
      </w:pPr>
      <w:r>
        <w:rPr>
          <w:rFonts w:hint="eastAsia" w:ascii="宋体" w:hAnsi="宋体"/>
          <w:sz w:val="24"/>
          <w:szCs w:val="28"/>
        </w:rPr>
        <w:t>4.有依法缴纳税收和社会保障资金的良好记录（提供《关于资格的声明函》）；</w:t>
      </w:r>
    </w:p>
    <w:p>
      <w:pPr>
        <w:spacing w:line="360" w:lineRule="auto"/>
        <w:ind w:firstLine="480" w:firstLineChars="200"/>
        <w:rPr>
          <w:rFonts w:ascii="宋体" w:hAnsi="宋体"/>
          <w:sz w:val="24"/>
          <w:szCs w:val="28"/>
        </w:rPr>
      </w:pPr>
      <w:r>
        <w:rPr>
          <w:rFonts w:hint="eastAsia" w:ascii="宋体" w:hAnsi="宋体"/>
          <w:sz w:val="24"/>
          <w:szCs w:val="28"/>
        </w:rPr>
        <w:t>5.参加政府采购活动前三年内，在经营活动中没有重大违法记录（提供《关于资格的声明函》）；</w:t>
      </w:r>
    </w:p>
    <w:p>
      <w:pPr>
        <w:spacing w:line="360" w:lineRule="auto"/>
        <w:ind w:firstLine="480" w:firstLineChars="200"/>
        <w:rPr>
          <w:rFonts w:ascii="宋体" w:hAnsi="宋体"/>
          <w:sz w:val="24"/>
          <w:szCs w:val="28"/>
        </w:rPr>
      </w:pPr>
      <w:r>
        <w:rPr>
          <w:rFonts w:hint="eastAsia" w:ascii="宋体" w:hAnsi="宋体"/>
          <w:sz w:val="24"/>
          <w:szCs w:val="28"/>
        </w:rPr>
        <w:t>6.法律、行政法规规定的其他条件（提供《关于资格的声明函》）。</w:t>
      </w:r>
    </w:p>
    <w:p>
      <w:pPr>
        <w:widowControl/>
        <w:numPr>
          <w:ilvl w:val="0"/>
          <w:numId w:val="4"/>
        </w:numPr>
        <w:tabs>
          <w:tab w:val="left" w:pos="360"/>
          <w:tab w:val="left" w:pos="735"/>
        </w:tabs>
        <w:adjustRightInd w:val="0"/>
        <w:snapToGrid w:val="0"/>
        <w:spacing w:line="360" w:lineRule="auto"/>
        <w:rPr>
          <w:rFonts w:ascii="宋体" w:hAnsi="宋体"/>
          <w:sz w:val="24"/>
          <w:szCs w:val="28"/>
        </w:rPr>
      </w:pPr>
      <w:r>
        <w:rPr>
          <w:rFonts w:hint="eastAsia" w:ascii="宋体" w:hAnsi="宋体"/>
          <w:sz w:val="24"/>
          <w:szCs w:val="28"/>
        </w:rPr>
        <w:t>落实政府采购政策需满足的资格要求：</w:t>
      </w:r>
    </w:p>
    <w:p>
      <w:pPr>
        <w:shd w:val="clear" w:color="auto" w:fill="FFFFFF"/>
        <w:spacing w:line="360" w:lineRule="auto"/>
        <w:ind w:firstLine="420" w:firstLineChars="200"/>
        <w:jc w:val="left"/>
        <w:rPr>
          <w:rFonts w:ascii="宋体" w:hAnsi="宋体" w:cs="Futura-Heavy"/>
          <w:szCs w:val="21"/>
          <w:shd w:val="clear" w:color="auto" w:fill="FFFFFF"/>
        </w:rPr>
      </w:pPr>
      <w:r>
        <w:rPr>
          <w:rFonts w:hint="eastAsia" w:ascii="宋体" w:hAnsi="宋体" w:cs="Futura-Heavy"/>
          <w:szCs w:val="21"/>
          <w:shd w:val="clear" w:color="auto" w:fill="FFFFFF"/>
        </w:rPr>
        <w:t>本项目属于专门面向中小企业采购。</w:t>
      </w:r>
    </w:p>
    <w:p>
      <w:pPr>
        <w:widowControl/>
        <w:numPr>
          <w:ilvl w:val="0"/>
          <w:numId w:val="4"/>
        </w:numPr>
        <w:tabs>
          <w:tab w:val="left" w:pos="360"/>
          <w:tab w:val="left" w:pos="735"/>
        </w:tabs>
        <w:adjustRightInd w:val="0"/>
        <w:snapToGrid w:val="0"/>
        <w:spacing w:line="360" w:lineRule="auto"/>
        <w:rPr>
          <w:rFonts w:ascii="宋体" w:hAnsi="宋体"/>
          <w:sz w:val="24"/>
          <w:szCs w:val="28"/>
        </w:rPr>
      </w:pPr>
      <w:r>
        <w:rPr>
          <w:rFonts w:hint="eastAsia" w:ascii="宋体" w:hAnsi="宋体"/>
          <w:sz w:val="24"/>
          <w:szCs w:val="28"/>
        </w:rPr>
        <w:t>本项目的特定资格要求：</w:t>
      </w:r>
    </w:p>
    <w:p>
      <w:pPr>
        <w:shd w:val="clear" w:color="auto" w:fill="FFFFFF"/>
        <w:spacing w:line="360" w:lineRule="auto"/>
        <w:ind w:firstLine="336"/>
        <w:jc w:val="left"/>
        <w:rPr>
          <w:rFonts w:ascii="宋体" w:hAnsi="宋体" w:cs="Futura-Heavy"/>
          <w:szCs w:val="21"/>
          <w:shd w:val="clear" w:color="auto" w:fill="FFFFFF"/>
        </w:rPr>
      </w:pPr>
      <w:r>
        <w:rPr>
          <w:rFonts w:ascii="宋体" w:hAnsi="宋体" w:cs="Futura-Heavy"/>
          <w:szCs w:val="21"/>
          <w:shd w:val="clear" w:color="auto" w:fill="FFFFFF"/>
        </w:rPr>
        <w:t>1.为采购项目提供整体设计、规范编制或者项目管理、监理、检测等服务的供应商，不再参加该采购项目的其他采购活动。（提供《关于资格的声明函》）</w:t>
      </w:r>
    </w:p>
    <w:p>
      <w:pPr>
        <w:shd w:val="clear" w:color="auto" w:fill="FFFFFF"/>
        <w:spacing w:line="360" w:lineRule="auto"/>
        <w:ind w:firstLine="336"/>
        <w:jc w:val="left"/>
        <w:rPr>
          <w:rFonts w:ascii="宋体" w:hAnsi="宋体" w:cs="Futura-Heavy"/>
          <w:szCs w:val="21"/>
          <w:shd w:val="clear" w:color="auto" w:fill="FFFFFF"/>
        </w:rPr>
      </w:pPr>
      <w:r>
        <w:rPr>
          <w:rFonts w:ascii="宋体" w:hAnsi="宋体" w:cs="Futura-Heavy"/>
          <w:szCs w:val="21"/>
          <w:shd w:val="clear" w:color="auto" w:fill="FFFFFF"/>
        </w:rPr>
        <w:t>2.单位负责人为同一人或者存在直接控股、管理关系的不同供应商，不得参加同一合同项下的政府采购活动。（提供《关于资格的声明函》）</w:t>
      </w:r>
    </w:p>
    <w:p>
      <w:pPr>
        <w:shd w:val="clear" w:color="auto" w:fill="FFFFFF"/>
        <w:spacing w:line="360" w:lineRule="auto"/>
        <w:ind w:firstLine="336"/>
        <w:jc w:val="left"/>
        <w:rPr>
          <w:rFonts w:ascii="宋体" w:hAnsi="宋体" w:cs="Futura-Heavy"/>
          <w:szCs w:val="21"/>
          <w:shd w:val="clear" w:color="auto" w:fill="FFFFFF"/>
        </w:rPr>
      </w:pPr>
      <w:r>
        <w:rPr>
          <w:rFonts w:ascii="宋体" w:hAnsi="宋体" w:cs="Futura-Heavy"/>
          <w:szCs w:val="21"/>
          <w:shd w:val="clear" w:color="auto" w:fill="FFFFFF"/>
        </w:rPr>
        <w:t>3.投标人未被列入“信用中国”网站(</w:t>
      </w:r>
      <w:r>
        <w:fldChar w:fldCharType="begin"/>
      </w:r>
      <w:r>
        <w:instrText xml:space="preserve"> HYPERLINK "http://www.creditchina.gov.cn" </w:instrText>
      </w:r>
      <w:r>
        <w:fldChar w:fldCharType="separate"/>
      </w:r>
      <w:r>
        <w:rPr>
          <w:rStyle w:val="24"/>
          <w:rFonts w:hAnsi="宋体" w:cs="Futura-Heavy"/>
          <w:szCs w:val="21"/>
          <w:shd w:val="clear" w:color="auto" w:fill="FFFFFF"/>
        </w:rPr>
        <w:t>www.creditchina.gov.cn</w:t>
      </w:r>
      <w:r>
        <w:rPr>
          <w:rStyle w:val="24"/>
          <w:rFonts w:hAnsi="宋体" w:cs="Futura-Heavy"/>
          <w:szCs w:val="21"/>
          <w:shd w:val="clear" w:color="auto" w:fill="FFFFFF"/>
        </w:rPr>
        <w:fldChar w:fldCharType="end"/>
      </w:r>
      <w:r>
        <w:rPr>
          <w:rFonts w:ascii="宋体" w:hAnsi="宋体" w:cs="Futura-Heavy"/>
          <w:szCs w:val="21"/>
          <w:shd w:val="clear" w:color="auto" w:fill="FFFFFF"/>
        </w:rPr>
        <w:t xml:space="preserve">)以下任意名单之一：①失信被执行人名单；②重大税收违法案件当事人名单；③政府采购严重违法失信名单。同时，不处于中国政府采购网（www.ccgp.gov.cn </w:t>
      </w:r>
      <w:r>
        <w:rPr>
          <w:rFonts w:hint="eastAsia" w:ascii="宋体" w:hAnsi="宋体" w:cs="Futura-Heavy"/>
          <w:szCs w:val="21"/>
          <w:shd w:val="clear" w:color="auto" w:fill="FFFFFF"/>
        </w:rPr>
        <w:t>）“政府采购严重违法失信行为信息记录”中的禁止参加政府采购活动期间。（以采购代理机构于评审当天在上述网站查询结果为准，如在上述网站查询结果均显示没有相关记录，视为没有上述不良信用记录。同时对信用信息查询记录和证据截图存档。如相关失信记录已失效，供应商须提供相关证明资料。）</w:t>
      </w:r>
    </w:p>
    <w:p>
      <w:pPr>
        <w:spacing w:line="360" w:lineRule="auto"/>
        <w:ind w:firstLine="422" w:firstLineChars="200"/>
        <w:rPr>
          <w:rFonts w:ascii="宋体" w:hAnsi="宋体" w:cs="Futura-Heavy"/>
          <w:b/>
          <w:bCs/>
          <w:szCs w:val="21"/>
          <w:shd w:val="clear" w:color="auto" w:fill="FFFFFF"/>
        </w:rPr>
      </w:pPr>
      <w:r>
        <w:rPr>
          <w:rFonts w:hint="eastAsia" w:ascii="宋体" w:hAnsi="宋体" w:cs="Futura-Heavy"/>
          <w:b/>
          <w:bCs/>
          <w:szCs w:val="21"/>
          <w:shd w:val="clear" w:color="auto" w:fill="FFFFFF"/>
        </w:rPr>
        <w:t>注：需要落实的政府采购政策：</w:t>
      </w:r>
    </w:p>
    <w:p>
      <w:pPr>
        <w:shd w:val="clear" w:color="auto" w:fill="FFFFFF"/>
        <w:spacing w:beforeLines="50" w:line="360" w:lineRule="auto"/>
        <w:ind w:firstLine="840" w:firstLineChars="400"/>
        <w:rPr>
          <w:rFonts w:ascii="宋体" w:hAnsi="宋体" w:cs="Futura-Heavy"/>
          <w:szCs w:val="21"/>
          <w:shd w:val="clear" w:color="auto" w:fill="FFFFFF"/>
        </w:rPr>
      </w:pPr>
      <w:r>
        <w:rPr>
          <w:rFonts w:hint="eastAsia" w:ascii="宋体" w:hAnsi="宋体" w:cs="Futura-Heavy"/>
          <w:szCs w:val="21"/>
          <w:shd w:val="clear" w:color="auto" w:fill="FFFFFF"/>
        </w:rPr>
        <w:t>（</w:t>
      </w:r>
      <w:r>
        <w:rPr>
          <w:rFonts w:ascii="宋体" w:hAnsi="宋体" w:cs="Futura-Heavy"/>
          <w:szCs w:val="21"/>
          <w:shd w:val="clear" w:color="auto" w:fill="FFFFFF"/>
        </w:rPr>
        <w:t>1）《政府采购促进中小企业发展管理办法》的通知(财库[2020]46号)；</w:t>
      </w:r>
    </w:p>
    <w:p>
      <w:pPr>
        <w:shd w:val="clear" w:color="auto" w:fill="FFFFFF"/>
        <w:spacing w:beforeLines="50" w:line="360" w:lineRule="auto"/>
        <w:ind w:firstLine="840" w:firstLineChars="400"/>
        <w:rPr>
          <w:rFonts w:ascii="宋体" w:hAnsi="宋体" w:cs="Futura-Heavy"/>
          <w:szCs w:val="21"/>
          <w:shd w:val="clear" w:color="auto" w:fill="FFFFFF"/>
        </w:rPr>
      </w:pPr>
      <w:r>
        <w:rPr>
          <w:rFonts w:hint="eastAsia" w:ascii="宋体" w:hAnsi="宋体" w:cs="Futura-Heavy"/>
          <w:szCs w:val="21"/>
          <w:shd w:val="clear" w:color="auto" w:fill="FFFFFF"/>
        </w:rPr>
        <w:t>（</w:t>
      </w:r>
      <w:r>
        <w:rPr>
          <w:rFonts w:ascii="宋体" w:hAnsi="宋体" w:cs="Futura-Heavy"/>
          <w:szCs w:val="21"/>
          <w:shd w:val="clear" w:color="auto" w:fill="FFFFFF"/>
        </w:rPr>
        <w:t>2）《关于政府采购支持监狱企业发展有关问题的通知》(财库(2014)68号)；</w:t>
      </w:r>
    </w:p>
    <w:p>
      <w:pPr>
        <w:shd w:val="clear" w:color="auto" w:fill="FFFFFF"/>
        <w:spacing w:beforeLines="50" w:line="360" w:lineRule="auto"/>
        <w:ind w:firstLine="840" w:firstLineChars="400"/>
        <w:rPr>
          <w:rFonts w:ascii="宋体" w:hAnsi="宋体" w:cs="Futura-Heavy"/>
          <w:szCs w:val="21"/>
          <w:shd w:val="clear" w:color="auto" w:fill="FFFFFF"/>
        </w:rPr>
      </w:pPr>
      <w:r>
        <w:rPr>
          <w:rFonts w:hint="eastAsia" w:ascii="宋体" w:hAnsi="宋体" w:cs="Futura-Heavy"/>
          <w:szCs w:val="21"/>
          <w:shd w:val="clear" w:color="auto" w:fill="FFFFFF"/>
        </w:rPr>
        <w:t>（3）《关于促进残疾人就业政府采购政策的通知》(财库(2017)141号)；</w:t>
      </w:r>
    </w:p>
    <w:p>
      <w:pPr>
        <w:shd w:val="clear" w:color="auto" w:fill="FFFFFF"/>
        <w:spacing w:beforeLines="50" w:line="360" w:lineRule="auto"/>
        <w:ind w:firstLine="840" w:firstLineChars="400"/>
        <w:rPr>
          <w:rFonts w:ascii="宋体" w:hAnsi="宋体" w:cs="Futura-Heavy"/>
          <w:szCs w:val="21"/>
          <w:shd w:val="clear" w:color="auto" w:fill="FFFFFF"/>
        </w:rPr>
      </w:pPr>
      <w:r>
        <w:rPr>
          <w:rFonts w:hint="eastAsia" w:ascii="宋体" w:hAnsi="宋体" w:cs="Futura-Heavy"/>
          <w:szCs w:val="21"/>
          <w:shd w:val="clear" w:color="auto" w:fill="FFFFFF"/>
        </w:rPr>
        <w:t>（4）《关于运用政府采购政策支持乡村产业振兴的通知》(财库(2021)19号)等。</w:t>
      </w:r>
    </w:p>
    <w:p>
      <w:pPr>
        <w:widowControl/>
        <w:numPr>
          <w:ilvl w:val="0"/>
          <w:numId w:val="4"/>
        </w:numPr>
        <w:tabs>
          <w:tab w:val="left" w:pos="360"/>
          <w:tab w:val="left" w:pos="735"/>
        </w:tabs>
        <w:adjustRightInd w:val="0"/>
        <w:snapToGrid w:val="0"/>
        <w:spacing w:line="360" w:lineRule="auto"/>
        <w:rPr>
          <w:rFonts w:ascii="宋体" w:hAnsi="宋体"/>
          <w:sz w:val="24"/>
          <w:szCs w:val="28"/>
        </w:rPr>
      </w:pPr>
      <w:r>
        <w:rPr>
          <w:rFonts w:hint="eastAsia" w:ascii="宋体" w:hAnsi="宋体"/>
          <w:sz w:val="24"/>
          <w:szCs w:val="28"/>
        </w:rPr>
        <w:t>本项目不接受联合体投标。</w:t>
      </w:r>
    </w:p>
    <w:p>
      <w:pPr>
        <w:widowControl/>
        <w:numPr>
          <w:ilvl w:val="0"/>
          <w:numId w:val="4"/>
        </w:numPr>
        <w:tabs>
          <w:tab w:val="left" w:pos="502"/>
        </w:tabs>
        <w:adjustRightInd w:val="0"/>
        <w:snapToGrid w:val="0"/>
        <w:spacing w:line="360" w:lineRule="auto"/>
        <w:rPr>
          <w:rFonts w:ascii="宋体" w:hAnsi="宋体" w:cs="宋体"/>
          <w:sz w:val="24"/>
        </w:rPr>
      </w:pPr>
      <w:r>
        <w:rPr>
          <w:rFonts w:hint="eastAsia" w:ascii="宋体" w:hAnsi="宋体"/>
          <w:sz w:val="24"/>
          <w:szCs w:val="28"/>
        </w:rPr>
        <w:t>须在采购代理机构处报名登记</w:t>
      </w:r>
      <w:r>
        <w:rPr>
          <w:rFonts w:hint="eastAsia" w:ascii="宋体" w:hAnsi="宋体" w:cs="宋体"/>
          <w:sz w:val="24"/>
        </w:rPr>
        <w:t>。</w:t>
      </w:r>
    </w:p>
    <w:p>
      <w:pPr>
        <w:pStyle w:val="9"/>
        <w:snapToGrid w:val="0"/>
        <w:spacing w:line="360" w:lineRule="auto"/>
        <w:ind w:firstLine="527"/>
        <w:rPr>
          <w:rFonts w:ascii="宋体"/>
          <w:sz w:val="24"/>
        </w:rPr>
      </w:pPr>
      <w:r>
        <w:rPr>
          <w:rFonts w:hint="eastAsia" w:ascii="宋体"/>
          <w:b/>
          <w:bCs/>
          <w:sz w:val="24"/>
        </w:rPr>
        <w:t>说明：</w:t>
      </w:r>
      <w:r>
        <w:rPr>
          <w:rFonts w:hint="eastAsia" w:ascii="宋体" w:hAnsi="宋体" w:cs="宋体"/>
          <w:szCs w:val="21"/>
        </w:rPr>
        <w:t>报名时必须携带以下资料：1）</w:t>
      </w:r>
      <w:r>
        <w:rPr>
          <w:rFonts w:hint="eastAsia"/>
          <w:bCs/>
          <w:sz w:val="22"/>
          <w:szCs w:val="22"/>
        </w:rPr>
        <w:t>经办人（报名人）身份证复印件</w:t>
      </w:r>
      <w:r>
        <w:rPr>
          <w:rFonts w:hint="eastAsia" w:ascii="宋体" w:hAnsi="宋体" w:cs="宋体"/>
          <w:szCs w:val="21"/>
        </w:rPr>
        <w:t>、2）请按要求认真填写“附件：投标报名申请表”加盖公章。</w:t>
      </w:r>
      <w:r>
        <w:rPr>
          <w:rFonts w:hint="eastAsia" w:ascii="宋体" w:hAnsi="宋体" w:cs="宋体"/>
          <w:b/>
          <w:bCs/>
          <w:szCs w:val="21"/>
        </w:rPr>
        <w:t>供应商的资料复印件必须加盖公章提交到指定地址报名登记，报名时供应商的资料与以上报名条件不符合、不齐全、复印件不清晰或未盖红色公章的不予受理。</w:t>
      </w:r>
    </w:p>
    <w:p>
      <w:pPr>
        <w:pStyle w:val="9"/>
        <w:snapToGrid w:val="0"/>
        <w:spacing w:line="360" w:lineRule="auto"/>
        <w:ind w:firstLine="480" w:firstLineChars="200"/>
        <w:rPr>
          <w:sz w:val="24"/>
        </w:rPr>
      </w:pPr>
      <w:r>
        <w:rPr>
          <w:rFonts w:hint="eastAsia"/>
          <w:sz w:val="24"/>
        </w:rPr>
        <w:t>9、所有澄清修改和更正内容均在“中国政府采购网”、“广东国达工程项目咨询有限公司官网”公告。</w:t>
      </w:r>
    </w:p>
    <w:p>
      <w:pPr>
        <w:pStyle w:val="9"/>
        <w:snapToGrid w:val="0"/>
        <w:spacing w:line="360" w:lineRule="auto"/>
        <w:ind w:firstLine="527"/>
        <w:rPr>
          <w:rFonts w:ascii="宋体"/>
          <w:bCs/>
          <w:sz w:val="24"/>
        </w:rPr>
      </w:pPr>
      <w:r>
        <w:rPr>
          <w:rFonts w:hint="eastAsia" w:ascii="宋体"/>
          <w:bCs/>
          <w:sz w:val="24"/>
        </w:rPr>
        <w:t>六、符合资格的供应商应当在2023年10月31日至2023年11月6日期间（上午09:00至12:00,下午15:00至17:00，周末法定节假日除外）到</w:t>
      </w:r>
      <w:r>
        <w:rPr>
          <w:rFonts w:hint="eastAsia" w:ascii="宋体"/>
          <w:b/>
          <w:sz w:val="24"/>
        </w:rPr>
        <w:t>详细地址：阳江市江城区城北街道创业北路御景豪园36幢246号</w:t>
      </w:r>
      <w:r>
        <w:rPr>
          <w:rFonts w:hint="eastAsia" w:ascii="宋体"/>
          <w:bCs/>
          <w:sz w:val="24"/>
        </w:rPr>
        <w:t>报名登记。</w:t>
      </w:r>
    </w:p>
    <w:p>
      <w:pPr>
        <w:pStyle w:val="9"/>
        <w:snapToGrid w:val="0"/>
        <w:spacing w:line="360" w:lineRule="auto"/>
        <w:ind w:firstLine="527"/>
        <w:rPr>
          <w:rFonts w:ascii="宋体"/>
          <w:bCs/>
          <w:sz w:val="24"/>
        </w:rPr>
      </w:pPr>
      <w:r>
        <w:rPr>
          <w:rFonts w:hint="eastAsia" w:ascii="宋体"/>
          <w:bCs/>
          <w:sz w:val="24"/>
        </w:rPr>
        <w:t>七、投标截止时间：2023年11月20日9时00分。</w:t>
      </w:r>
    </w:p>
    <w:p>
      <w:pPr>
        <w:pStyle w:val="9"/>
        <w:snapToGrid w:val="0"/>
        <w:spacing w:line="360" w:lineRule="auto"/>
        <w:ind w:firstLine="1080" w:firstLineChars="450"/>
        <w:rPr>
          <w:rFonts w:ascii="宋体"/>
          <w:bCs/>
          <w:sz w:val="24"/>
        </w:rPr>
      </w:pPr>
      <w:r>
        <w:rPr>
          <w:rFonts w:hint="eastAsia" w:ascii="宋体"/>
          <w:bCs/>
          <w:sz w:val="24"/>
        </w:rPr>
        <w:t>提交投标文件地点：阳江市江城区城北街道创业北路御景豪园36幢246号三楼。</w:t>
      </w:r>
    </w:p>
    <w:p>
      <w:pPr>
        <w:pStyle w:val="9"/>
        <w:snapToGrid w:val="0"/>
        <w:spacing w:line="360" w:lineRule="auto"/>
        <w:ind w:firstLine="527"/>
        <w:rPr>
          <w:rFonts w:ascii="宋体"/>
          <w:bCs/>
          <w:sz w:val="24"/>
        </w:rPr>
      </w:pPr>
      <w:r>
        <w:rPr>
          <w:rFonts w:hint="eastAsia" w:ascii="宋体"/>
          <w:bCs/>
          <w:sz w:val="24"/>
        </w:rPr>
        <w:t>八、开标时间：2023年11月20日9时00分(开标前30分钟开始递交)</w:t>
      </w:r>
    </w:p>
    <w:p>
      <w:pPr>
        <w:pStyle w:val="9"/>
        <w:snapToGrid w:val="0"/>
        <w:spacing w:line="360" w:lineRule="auto"/>
        <w:ind w:firstLine="527"/>
        <w:rPr>
          <w:rFonts w:ascii="宋体"/>
          <w:bCs/>
          <w:sz w:val="24"/>
        </w:rPr>
      </w:pPr>
      <w:r>
        <w:rPr>
          <w:rFonts w:hint="eastAsia" w:ascii="宋体"/>
          <w:bCs/>
          <w:sz w:val="24"/>
        </w:rPr>
        <w:t>九、开标地点：阳江市江城区城北街道创业北路御景豪园36幢246号三楼。</w:t>
      </w:r>
    </w:p>
    <w:p>
      <w:pPr>
        <w:pStyle w:val="9"/>
        <w:snapToGrid w:val="0"/>
        <w:spacing w:line="360" w:lineRule="auto"/>
        <w:ind w:firstLine="527"/>
        <w:rPr>
          <w:rFonts w:ascii="宋体"/>
          <w:bCs/>
          <w:sz w:val="24"/>
        </w:rPr>
      </w:pPr>
      <w:r>
        <w:rPr>
          <w:rFonts w:hint="eastAsia" w:ascii="宋体"/>
          <w:bCs/>
          <w:sz w:val="24"/>
        </w:rPr>
        <w:t>十、本公告期限：自本公告发布之日起</w:t>
      </w:r>
      <w:r>
        <w:rPr>
          <w:rFonts w:hint="eastAsia" w:ascii="宋体"/>
          <w:bCs/>
          <w:sz w:val="24"/>
          <w:highlight w:val="red"/>
        </w:rPr>
        <w:t>5个工作日</w:t>
      </w:r>
      <w:r>
        <w:rPr>
          <w:rFonts w:hint="eastAsia" w:ascii="宋体"/>
          <w:bCs/>
          <w:sz w:val="24"/>
        </w:rPr>
        <w:t>。</w:t>
      </w:r>
    </w:p>
    <w:p>
      <w:pPr>
        <w:pStyle w:val="9"/>
        <w:snapToGrid w:val="0"/>
        <w:spacing w:line="360" w:lineRule="auto"/>
        <w:ind w:firstLine="527"/>
        <w:rPr>
          <w:rFonts w:ascii="宋体"/>
          <w:bCs/>
          <w:sz w:val="24"/>
        </w:rPr>
      </w:pPr>
      <w:r>
        <w:rPr>
          <w:rFonts w:hint="eastAsia" w:ascii="宋体"/>
          <w:bCs/>
          <w:sz w:val="24"/>
        </w:rPr>
        <w:t>十一、联系事项</w:t>
      </w:r>
    </w:p>
    <w:p>
      <w:pPr>
        <w:pStyle w:val="9"/>
        <w:snapToGrid w:val="0"/>
        <w:spacing w:line="360" w:lineRule="auto"/>
        <w:ind w:firstLine="527"/>
        <w:outlineLvl w:val="1"/>
        <w:rPr>
          <w:rFonts w:ascii="宋体" w:hAnsi="宋体"/>
          <w:sz w:val="24"/>
        </w:rPr>
      </w:pPr>
      <w:r>
        <w:rPr>
          <w:rFonts w:hint="eastAsia" w:ascii="宋体" w:hAnsi="宋体"/>
          <w:sz w:val="24"/>
        </w:rPr>
        <w:t>（一）采购代理机构 ：广东国达工程项目咨询有限公司</w:t>
      </w:r>
    </w:p>
    <w:p>
      <w:pPr>
        <w:pStyle w:val="9"/>
        <w:snapToGrid w:val="0"/>
        <w:spacing w:line="360" w:lineRule="auto"/>
        <w:ind w:firstLine="527"/>
        <w:rPr>
          <w:rFonts w:ascii="宋体" w:hAnsi="宋体"/>
          <w:bCs/>
          <w:sz w:val="24"/>
        </w:rPr>
      </w:pPr>
      <w:r>
        <w:rPr>
          <w:rFonts w:hint="eastAsia" w:ascii="宋体" w:hAnsi="宋体"/>
          <w:sz w:val="24"/>
        </w:rPr>
        <w:t>地址：</w:t>
      </w:r>
      <w:r>
        <w:rPr>
          <w:rFonts w:hint="eastAsia" w:ascii="宋体" w:hAnsi="宋体"/>
          <w:bCs/>
          <w:sz w:val="24"/>
        </w:rPr>
        <w:t>阳江市江城区城北街道创业北路御景豪园36幢246号</w:t>
      </w:r>
    </w:p>
    <w:p>
      <w:pPr>
        <w:pStyle w:val="9"/>
        <w:snapToGrid w:val="0"/>
        <w:spacing w:line="360" w:lineRule="auto"/>
        <w:ind w:firstLine="527"/>
        <w:rPr>
          <w:rFonts w:ascii="宋体" w:hAnsi="宋体"/>
          <w:sz w:val="24"/>
        </w:rPr>
      </w:pPr>
      <w:r>
        <w:rPr>
          <w:rFonts w:hint="eastAsia" w:ascii="宋体" w:hAnsi="宋体"/>
          <w:sz w:val="24"/>
        </w:rPr>
        <w:t>联系人：林工</w:t>
      </w:r>
      <w:r>
        <w:rPr>
          <w:rFonts w:hint="eastAsia" w:ascii="宋体" w:hAnsi="宋体"/>
          <w:sz w:val="24"/>
        </w:rPr>
        <w:tab/>
      </w:r>
      <w:r>
        <w:rPr>
          <w:rFonts w:hint="eastAsia" w:ascii="宋体" w:hAnsi="宋体"/>
          <w:sz w:val="24"/>
        </w:rPr>
        <w:t xml:space="preserve">        联系电话：0662-6636022</w:t>
      </w:r>
    </w:p>
    <w:p>
      <w:pPr>
        <w:pStyle w:val="9"/>
        <w:snapToGrid w:val="0"/>
        <w:spacing w:line="360" w:lineRule="auto"/>
        <w:ind w:firstLine="720" w:firstLineChars="300"/>
        <w:rPr>
          <w:rFonts w:ascii="宋体" w:hAnsi="宋体"/>
          <w:sz w:val="24"/>
        </w:rPr>
      </w:pPr>
      <w:r>
        <w:rPr>
          <w:rFonts w:hint="eastAsia" w:ascii="宋体" w:hAnsi="宋体"/>
          <w:sz w:val="24"/>
        </w:rPr>
        <w:t>（二）招标人：国家税务总局阳江高新技术产业开发区税务局</w:t>
      </w:r>
    </w:p>
    <w:p>
      <w:pPr>
        <w:pStyle w:val="9"/>
        <w:snapToGrid w:val="0"/>
        <w:spacing w:line="360" w:lineRule="auto"/>
        <w:ind w:firstLine="720" w:firstLineChars="300"/>
        <w:rPr>
          <w:rFonts w:ascii="宋体" w:hAnsi="宋体"/>
          <w:sz w:val="24"/>
        </w:rPr>
      </w:pPr>
      <w:r>
        <w:rPr>
          <w:rFonts w:hint="eastAsia" w:ascii="宋体" w:hAnsi="宋体"/>
          <w:sz w:val="24"/>
        </w:rPr>
        <w:t>地址：广东省阳江高新技术产业开发区政德路西2号</w:t>
      </w:r>
    </w:p>
    <w:p>
      <w:pPr>
        <w:pStyle w:val="9"/>
        <w:snapToGrid w:val="0"/>
        <w:spacing w:line="360" w:lineRule="auto"/>
        <w:ind w:firstLine="720" w:firstLineChars="300"/>
        <w:rPr>
          <w:rFonts w:ascii="宋体" w:hAnsi="宋体"/>
          <w:bCs/>
          <w:sz w:val="24"/>
        </w:rPr>
      </w:pPr>
      <w:r>
        <w:rPr>
          <w:rFonts w:hint="eastAsia" w:ascii="宋体" w:hAnsi="宋体"/>
          <w:sz w:val="24"/>
        </w:rPr>
        <w:t>联系人：陈主任        联系电话：0662-3831370</w:t>
      </w:r>
    </w:p>
    <w:p>
      <w:pPr>
        <w:pStyle w:val="9"/>
        <w:snapToGrid w:val="0"/>
        <w:spacing w:line="360" w:lineRule="auto"/>
        <w:ind w:firstLine="527"/>
        <w:rPr>
          <w:rFonts w:ascii="宋体"/>
          <w:bCs/>
          <w:sz w:val="24"/>
        </w:rPr>
      </w:pPr>
      <w:r>
        <w:rPr>
          <w:rFonts w:hint="eastAsia" w:ascii="宋体"/>
          <w:bCs/>
          <w:sz w:val="24"/>
        </w:rPr>
        <w:t>1、委托代理协议</w:t>
      </w:r>
    </w:p>
    <w:p>
      <w:pPr>
        <w:pStyle w:val="9"/>
        <w:snapToGrid w:val="0"/>
        <w:spacing w:line="360" w:lineRule="auto"/>
        <w:ind w:firstLine="527"/>
        <w:rPr>
          <w:rFonts w:ascii="宋体"/>
          <w:bCs/>
          <w:sz w:val="24"/>
        </w:rPr>
      </w:pPr>
      <w:r>
        <w:rPr>
          <w:rFonts w:hint="eastAsia" w:ascii="宋体"/>
          <w:bCs/>
          <w:sz w:val="24"/>
        </w:rPr>
        <w:t>2、招标文件</w:t>
      </w:r>
    </w:p>
    <w:p>
      <w:pPr>
        <w:pStyle w:val="9"/>
        <w:snapToGrid w:val="0"/>
        <w:spacing w:line="360" w:lineRule="auto"/>
        <w:ind w:right="92" w:firstLine="0"/>
        <w:rPr>
          <w:rFonts w:ascii="宋体"/>
          <w:bCs/>
          <w:sz w:val="24"/>
        </w:rPr>
      </w:pPr>
    </w:p>
    <w:p>
      <w:pPr>
        <w:pStyle w:val="9"/>
        <w:snapToGrid w:val="0"/>
        <w:spacing w:line="360" w:lineRule="auto"/>
        <w:ind w:right="92"/>
        <w:jc w:val="center"/>
        <w:outlineLvl w:val="1"/>
        <w:rPr>
          <w:rFonts w:ascii="宋体" w:hAnsi="宋体"/>
          <w:bCs/>
          <w:sz w:val="24"/>
        </w:rPr>
      </w:pPr>
      <w:r>
        <w:rPr>
          <w:rFonts w:hint="eastAsia" w:ascii="宋体"/>
          <w:bCs/>
          <w:sz w:val="24"/>
        </w:rPr>
        <w:t xml:space="preserve">                                         发布人：</w:t>
      </w:r>
      <w:r>
        <w:rPr>
          <w:rFonts w:hint="eastAsia" w:ascii="宋体" w:hAnsi="宋体"/>
          <w:bCs/>
          <w:sz w:val="24"/>
        </w:rPr>
        <w:t>广东国达工程项目咨询有限公司</w:t>
      </w:r>
    </w:p>
    <w:p>
      <w:pPr>
        <w:pStyle w:val="9"/>
        <w:wordWrap w:val="0"/>
        <w:snapToGrid w:val="0"/>
        <w:spacing w:line="360" w:lineRule="auto"/>
        <w:ind w:right="735" w:firstLine="527"/>
        <w:jc w:val="center"/>
        <w:outlineLvl w:val="1"/>
        <w:rPr>
          <w:rFonts w:ascii="宋体"/>
          <w:bCs/>
          <w:sz w:val="24"/>
        </w:rPr>
      </w:pPr>
      <w:r>
        <w:rPr>
          <w:rFonts w:hint="eastAsia" w:ascii="宋体" w:hAnsi="宋体"/>
          <w:bCs/>
          <w:sz w:val="24"/>
        </w:rPr>
        <w:t xml:space="preserve">                                            发布时间：</w:t>
      </w:r>
      <w:r>
        <w:rPr>
          <w:rFonts w:hint="eastAsia" w:ascii="宋体"/>
          <w:bCs/>
          <w:sz w:val="24"/>
        </w:rPr>
        <w:t>2023年10月30日</w:t>
      </w:r>
    </w:p>
    <w:p>
      <w:pPr>
        <w:rPr>
          <w:rFonts w:ascii="宋体"/>
          <w:bCs/>
          <w:sz w:val="24"/>
        </w:rPr>
      </w:pPr>
      <w:r>
        <w:rPr>
          <w:rFonts w:hint="eastAsia" w:ascii="宋体"/>
          <w:bCs/>
          <w:sz w:val="24"/>
        </w:rPr>
        <w:br w:type="page"/>
      </w:r>
    </w:p>
    <w:p>
      <w:pPr>
        <w:pStyle w:val="9"/>
        <w:wordWrap w:val="0"/>
        <w:snapToGrid w:val="0"/>
        <w:spacing w:line="360" w:lineRule="auto"/>
        <w:ind w:right="735" w:firstLine="527"/>
        <w:jc w:val="left"/>
        <w:outlineLvl w:val="1"/>
        <w:rPr>
          <w:rFonts w:ascii="宋体"/>
          <w:bCs/>
          <w:sz w:val="24"/>
        </w:rPr>
      </w:pPr>
      <w:r>
        <w:rPr>
          <w:rFonts w:hint="eastAsia" w:ascii="宋体"/>
          <w:bCs/>
          <w:sz w:val="24"/>
        </w:rPr>
        <w:t>附件：</w:t>
      </w:r>
    </w:p>
    <w:p>
      <w:pPr>
        <w:jc w:val="center"/>
        <w:rPr>
          <w:bCs/>
          <w:sz w:val="28"/>
          <w:szCs w:val="28"/>
        </w:rPr>
      </w:pPr>
      <w:r>
        <w:rPr>
          <w:rFonts w:hint="eastAsia"/>
          <w:bCs/>
          <w:sz w:val="28"/>
          <w:szCs w:val="28"/>
          <w:u w:val="single"/>
        </w:rPr>
        <w:t>国家税务总局阳江高新技术产业开发区税务局物业管理服务项目</w:t>
      </w:r>
    </w:p>
    <w:p>
      <w:pPr>
        <w:spacing w:line="400" w:lineRule="exact"/>
        <w:jc w:val="center"/>
        <w:rPr>
          <w:bCs/>
          <w:sz w:val="28"/>
          <w:szCs w:val="28"/>
        </w:rPr>
      </w:pPr>
      <w:r>
        <w:rPr>
          <w:rFonts w:hint="eastAsia"/>
          <w:bCs/>
          <w:sz w:val="28"/>
          <w:szCs w:val="28"/>
        </w:rPr>
        <w:t>投标报名申请表</w:t>
      </w:r>
    </w:p>
    <w:p>
      <w:pPr>
        <w:spacing w:line="360" w:lineRule="auto"/>
        <w:rPr>
          <w:sz w:val="22"/>
          <w:szCs w:val="22"/>
        </w:rPr>
      </w:pPr>
      <w:r>
        <w:rPr>
          <w:rFonts w:hint="eastAsia"/>
          <w:sz w:val="22"/>
          <w:szCs w:val="22"/>
        </w:rPr>
        <w:t>项目编号：</w:t>
      </w:r>
      <w:r>
        <w:rPr>
          <w:rFonts w:hint="eastAsia"/>
          <w:sz w:val="16"/>
          <w:szCs w:val="16"/>
        </w:rPr>
        <w:t>YJGD-20231017-011</w:t>
      </w:r>
      <w:r>
        <w:rPr>
          <w:rFonts w:hint="eastAsia"/>
          <w:sz w:val="22"/>
          <w:szCs w:val="22"/>
          <w:u w:val="double"/>
        </w:rPr>
        <w:t>报名编号：</w:t>
      </w:r>
    </w:p>
    <w:tbl>
      <w:tblPr>
        <w:tblStyle w:val="21"/>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05"/>
        <w:gridCol w:w="2920"/>
        <w:gridCol w:w="567"/>
        <w:gridCol w:w="1070"/>
        <w:gridCol w:w="140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925" w:type="dxa"/>
            <w:gridSpan w:val="2"/>
            <w:noWrap/>
            <w:vAlign w:val="center"/>
          </w:tcPr>
          <w:p>
            <w:pPr>
              <w:spacing w:line="360" w:lineRule="exact"/>
              <w:jc w:val="center"/>
              <w:rPr>
                <w:sz w:val="22"/>
                <w:szCs w:val="22"/>
              </w:rPr>
            </w:pPr>
            <w:r>
              <w:rPr>
                <w:rFonts w:hint="eastAsia"/>
                <w:sz w:val="22"/>
                <w:szCs w:val="22"/>
              </w:rPr>
              <w:t>供应商名称</w:t>
            </w:r>
          </w:p>
        </w:tc>
        <w:tc>
          <w:tcPr>
            <w:tcW w:w="8375" w:type="dxa"/>
            <w:gridSpan w:val="5"/>
            <w:noWrap/>
            <w:vAlign w:val="center"/>
          </w:tcPr>
          <w:p>
            <w:pPr>
              <w:spacing w:line="360" w:lineRule="exact"/>
              <w:rPr>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vMerge w:val="restart"/>
            <w:noWrap/>
            <w:vAlign w:val="center"/>
          </w:tcPr>
          <w:p>
            <w:pPr>
              <w:spacing w:line="360" w:lineRule="exact"/>
              <w:jc w:val="center"/>
              <w:rPr>
                <w:sz w:val="22"/>
                <w:szCs w:val="22"/>
              </w:rPr>
            </w:pPr>
            <w:r>
              <w:rPr>
                <w:rFonts w:hint="eastAsia"/>
                <w:sz w:val="22"/>
                <w:szCs w:val="22"/>
              </w:rPr>
              <w:t>营</w:t>
            </w:r>
          </w:p>
          <w:p>
            <w:pPr>
              <w:spacing w:line="360" w:lineRule="exact"/>
              <w:jc w:val="center"/>
              <w:rPr>
                <w:sz w:val="22"/>
                <w:szCs w:val="22"/>
              </w:rPr>
            </w:pPr>
            <w:r>
              <w:rPr>
                <w:rFonts w:hint="eastAsia"/>
                <w:sz w:val="22"/>
                <w:szCs w:val="22"/>
              </w:rPr>
              <w:t>业</w:t>
            </w:r>
          </w:p>
          <w:p>
            <w:pPr>
              <w:spacing w:line="360" w:lineRule="exact"/>
              <w:jc w:val="center"/>
              <w:rPr>
                <w:sz w:val="22"/>
                <w:szCs w:val="22"/>
              </w:rPr>
            </w:pPr>
            <w:r>
              <w:rPr>
                <w:rFonts w:hint="eastAsia"/>
                <w:sz w:val="22"/>
                <w:szCs w:val="22"/>
              </w:rPr>
              <w:t>执</w:t>
            </w:r>
          </w:p>
          <w:p>
            <w:pPr>
              <w:spacing w:line="360" w:lineRule="exact"/>
              <w:jc w:val="center"/>
              <w:rPr>
                <w:sz w:val="22"/>
                <w:szCs w:val="22"/>
              </w:rPr>
            </w:pPr>
            <w:r>
              <w:rPr>
                <w:rFonts w:hint="eastAsia"/>
                <w:sz w:val="22"/>
                <w:szCs w:val="22"/>
              </w:rPr>
              <w:t>照</w:t>
            </w:r>
          </w:p>
        </w:tc>
        <w:tc>
          <w:tcPr>
            <w:tcW w:w="4125" w:type="dxa"/>
            <w:gridSpan w:val="2"/>
            <w:noWrap/>
            <w:vAlign w:val="center"/>
          </w:tcPr>
          <w:p>
            <w:pPr>
              <w:spacing w:line="360" w:lineRule="exact"/>
              <w:rPr>
                <w:bCs/>
                <w:sz w:val="20"/>
                <w:szCs w:val="20"/>
              </w:rPr>
            </w:pPr>
            <w:r>
              <w:rPr>
                <w:rFonts w:hint="eastAsia"/>
                <w:bCs/>
                <w:sz w:val="20"/>
                <w:szCs w:val="20"/>
              </w:rPr>
              <w:t>注册号：</w:t>
            </w:r>
          </w:p>
        </w:tc>
        <w:tc>
          <w:tcPr>
            <w:tcW w:w="567" w:type="dxa"/>
            <w:vMerge w:val="restart"/>
            <w:noWrap/>
            <w:vAlign w:val="center"/>
          </w:tcPr>
          <w:p>
            <w:pPr>
              <w:spacing w:line="360" w:lineRule="exact"/>
              <w:jc w:val="center"/>
              <w:rPr>
                <w:sz w:val="22"/>
                <w:szCs w:val="22"/>
              </w:rPr>
            </w:pPr>
            <w:r>
              <w:rPr>
                <w:rFonts w:hint="eastAsia"/>
                <w:sz w:val="22"/>
                <w:szCs w:val="22"/>
              </w:rPr>
              <w:t>投</w:t>
            </w:r>
          </w:p>
          <w:p>
            <w:pPr>
              <w:spacing w:line="360" w:lineRule="exact"/>
              <w:jc w:val="center"/>
              <w:rPr>
                <w:sz w:val="22"/>
                <w:szCs w:val="22"/>
              </w:rPr>
            </w:pPr>
            <w:r>
              <w:rPr>
                <w:rFonts w:hint="eastAsia"/>
                <w:sz w:val="22"/>
                <w:szCs w:val="22"/>
              </w:rPr>
              <w:t>标</w:t>
            </w:r>
          </w:p>
          <w:p>
            <w:pPr>
              <w:spacing w:line="360" w:lineRule="exact"/>
              <w:jc w:val="center"/>
              <w:rPr>
                <w:sz w:val="22"/>
                <w:szCs w:val="22"/>
              </w:rPr>
            </w:pPr>
            <w:r>
              <w:rPr>
                <w:rFonts w:hint="eastAsia"/>
                <w:sz w:val="22"/>
                <w:szCs w:val="22"/>
              </w:rPr>
              <w:t>报</w:t>
            </w:r>
          </w:p>
          <w:p>
            <w:pPr>
              <w:spacing w:line="360" w:lineRule="exact"/>
              <w:jc w:val="center"/>
              <w:rPr>
                <w:sz w:val="22"/>
                <w:szCs w:val="22"/>
              </w:rPr>
            </w:pPr>
            <w:r>
              <w:rPr>
                <w:rFonts w:hint="eastAsia"/>
                <w:sz w:val="22"/>
                <w:szCs w:val="22"/>
              </w:rPr>
              <w:t>名</w:t>
            </w:r>
          </w:p>
          <w:p>
            <w:pPr>
              <w:spacing w:line="360" w:lineRule="exact"/>
              <w:jc w:val="center"/>
              <w:rPr>
                <w:sz w:val="22"/>
                <w:szCs w:val="22"/>
              </w:rPr>
            </w:pPr>
            <w:r>
              <w:rPr>
                <w:rFonts w:hint="eastAsia"/>
                <w:sz w:val="22"/>
                <w:szCs w:val="22"/>
              </w:rPr>
              <w:t>人</w:t>
            </w:r>
          </w:p>
        </w:tc>
        <w:tc>
          <w:tcPr>
            <w:tcW w:w="4888" w:type="dxa"/>
            <w:gridSpan w:val="3"/>
            <w:noWrap/>
            <w:vAlign w:val="center"/>
          </w:tcPr>
          <w:p>
            <w:pPr>
              <w:spacing w:line="360" w:lineRule="exact"/>
              <w:rPr>
                <w:bCs/>
                <w:sz w:val="20"/>
                <w:szCs w:val="20"/>
              </w:rPr>
            </w:pPr>
            <w:r>
              <w:rPr>
                <w:rFonts w:hint="eastAsia"/>
                <w:bCs/>
                <w:sz w:val="20"/>
                <w:szCs w:val="20"/>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vMerge w:val="continue"/>
            <w:noWrap/>
            <w:vAlign w:val="center"/>
          </w:tcPr>
          <w:p>
            <w:pPr>
              <w:spacing w:line="360" w:lineRule="exact"/>
              <w:rPr>
                <w:sz w:val="22"/>
                <w:szCs w:val="22"/>
              </w:rPr>
            </w:pPr>
          </w:p>
        </w:tc>
        <w:tc>
          <w:tcPr>
            <w:tcW w:w="4125" w:type="dxa"/>
            <w:gridSpan w:val="2"/>
            <w:noWrap/>
            <w:vAlign w:val="center"/>
          </w:tcPr>
          <w:p>
            <w:pPr>
              <w:spacing w:line="360" w:lineRule="exact"/>
              <w:rPr>
                <w:bCs/>
                <w:sz w:val="20"/>
                <w:szCs w:val="20"/>
              </w:rPr>
            </w:pPr>
            <w:r>
              <w:rPr>
                <w:rFonts w:hint="eastAsia"/>
                <w:bCs/>
                <w:sz w:val="20"/>
                <w:szCs w:val="20"/>
              </w:rPr>
              <w:t>营业地址：</w:t>
            </w:r>
          </w:p>
        </w:tc>
        <w:tc>
          <w:tcPr>
            <w:tcW w:w="567" w:type="dxa"/>
            <w:vMerge w:val="continue"/>
            <w:noWrap/>
            <w:vAlign w:val="center"/>
          </w:tcPr>
          <w:p>
            <w:pPr>
              <w:spacing w:line="360" w:lineRule="exact"/>
              <w:jc w:val="center"/>
              <w:rPr>
                <w:sz w:val="22"/>
                <w:szCs w:val="22"/>
              </w:rPr>
            </w:pPr>
          </w:p>
        </w:tc>
        <w:tc>
          <w:tcPr>
            <w:tcW w:w="4888" w:type="dxa"/>
            <w:gridSpan w:val="3"/>
            <w:noWrap/>
            <w:vAlign w:val="center"/>
          </w:tcPr>
          <w:p>
            <w:pPr>
              <w:spacing w:line="360" w:lineRule="exact"/>
              <w:rPr>
                <w:bCs/>
                <w:sz w:val="20"/>
                <w:szCs w:val="20"/>
              </w:rPr>
            </w:pPr>
            <w:r>
              <w:rPr>
                <w:rFonts w:hint="eastAsia"/>
                <w:bCs/>
                <w:sz w:val="20"/>
                <w:szCs w:val="20"/>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vMerge w:val="continue"/>
            <w:noWrap/>
            <w:vAlign w:val="center"/>
          </w:tcPr>
          <w:p>
            <w:pPr>
              <w:spacing w:line="360" w:lineRule="exact"/>
              <w:rPr>
                <w:sz w:val="22"/>
                <w:szCs w:val="22"/>
              </w:rPr>
            </w:pPr>
          </w:p>
        </w:tc>
        <w:tc>
          <w:tcPr>
            <w:tcW w:w="4125" w:type="dxa"/>
            <w:gridSpan w:val="2"/>
            <w:noWrap/>
            <w:vAlign w:val="center"/>
          </w:tcPr>
          <w:p>
            <w:pPr>
              <w:spacing w:line="360" w:lineRule="exact"/>
              <w:rPr>
                <w:bCs/>
                <w:sz w:val="20"/>
                <w:szCs w:val="20"/>
              </w:rPr>
            </w:pPr>
            <w:r>
              <w:rPr>
                <w:rFonts w:hint="eastAsia"/>
                <w:bCs/>
                <w:sz w:val="20"/>
                <w:szCs w:val="20"/>
              </w:rPr>
              <w:t>注册资本：</w:t>
            </w:r>
          </w:p>
        </w:tc>
        <w:tc>
          <w:tcPr>
            <w:tcW w:w="567" w:type="dxa"/>
            <w:vMerge w:val="continue"/>
            <w:noWrap/>
            <w:vAlign w:val="center"/>
          </w:tcPr>
          <w:p>
            <w:pPr>
              <w:spacing w:line="360" w:lineRule="exact"/>
              <w:jc w:val="center"/>
              <w:rPr>
                <w:sz w:val="22"/>
                <w:szCs w:val="22"/>
              </w:rPr>
            </w:pPr>
          </w:p>
        </w:tc>
        <w:tc>
          <w:tcPr>
            <w:tcW w:w="4888" w:type="dxa"/>
            <w:gridSpan w:val="3"/>
            <w:noWrap/>
            <w:vAlign w:val="center"/>
          </w:tcPr>
          <w:p>
            <w:pPr>
              <w:spacing w:line="360" w:lineRule="exact"/>
              <w:rPr>
                <w:bCs/>
                <w:sz w:val="20"/>
                <w:szCs w:val="20"/>
              </w:rPr>
            </w:pPr>
            <w:r>
              <w:rPr>
                <w:rFonts w:hint="eastAsia"/>
                <w:bCs/>
                <w:sz w:val="20"/>
                <w:szCs w:val="20"/>
              </w:rPr>
              <w:t>办公电话及传真：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vMerge w:val="continue"/>
            <w:noWrap/>
            <w:vAlign w:val="center"/>
          </w:tcPr>
          <w:p>
            <w:pPr>
              <w:spacing w:line="360" w:lineRule="exact"/>
              <w:rPr>
                <w:sz w:val="22"/>
                <w:szCs w:val="22"/>
              </w:rPr>
            </w:pPr>
          </w:p>
        </w:tc>
        <w:tc>
          <w:tcPr>
            <w:tcW w:w="4125" w:type="dxa"/>
            <w:gridSpan w:val="2"/>
            <w:noWrap/>
            <w:vAlign w:val="center"/>
          </w:tcPr>
          <w:p>
            <w:pPr>
              <w:spacing w:line="360" w:lineRule="exact"/>
              <w:rPr>
                <w:bCs/>
                <w:sz w:val="20"/>
                <w:szCs w:val="20"/>
              </w:rPr>
            </w:pPr>
            <w:r>
              <w:rPr>
                <w:rFonts w:hint="eastAsia"/>
                <w:bCs/>
                <w:sz w:val="20"/>
                <w:szCs w:val="20"/>
              </w:rPr>
              <w:t xml:space="preserve">营业期限：     年   月   日至    </w:t>
            </w:r>
          </w:p>
        </w:tc>
        <w:tc>
          <w:tcPr>
            <w:tcW w:w="567" w:type="dxa"/>
            <w:vMerge w:val="continue"/>
            <w:noWrap/>
            <w:vAlign w:val="center"/>
          </w:tcPr>
          <w:p>
            <w:pPr>
              <w:spacing w:line="360" w:lineRule="exact"/>
              <w:jc w:val="center"/>
              <w:rPr>
                <w:sz w:val="22"/>
                <w:szCs w:val="22"/>
              </w:rPr>
            </w:pPr>
          </w:p>
        </w:tc>
        <w:tc>
          <w:tcPr>
            <w:tcW w:w="4888" w:type="dxa"/>
            <w:gridSpan w:val="3"/>
            <w:noWrap/>
            <w:vAlign w:val="center"/>
          </w:tcPr>
          <w:p>
            <w:pPr>
              <w:spacing w:line="360" w:lineRule="exact"/>
              <w:rPr>
                <w:bCs/>
                <w:sz w:val="20"/>
                <w:szCs w:val="20"/>
              </w:rPr>
            </w:pPr>
            <w:r>
              <w:rPr>
                <w:rFonts w:hint="eastAsia"/>
                <w:sz w:val="20"/>
                <w:szCs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vMerge w:val="continue"/>
            <w:noWrap/>
            <w:vAlign w:val="center"/>
          </w:tcPr>
          <w:p>
            <w:pPr>
              <w:spacing w:line="360" w:lineRule="exact"/>
              <w:rPr>
                <w:sz w:val="22"/>
                <w:szCs w:val="22"/>
              </w:rPr>
            </w:pPr>
          </w:p>
        </w:tc>
        <w:tc>
          <w:tcPr>
            <w:tcW w:w="4125" w:type="dxa"/>
            <w:gridSpan w:val="2"/>
            <w:noWrap/>
            <w:vAlign w:val="center"/>
          </w:tcPr>
          <w:p>
            <w:pPr>
              <w:spacing w:line="360" w:lineRule="exact"/>
              <w:rPr>
                <w:bCs/>
                <w:sz w:val="20"/>
                <w:szCs w:val="20"/>
              </w:rPr>
            </w:pPr>
            <w:r>
              <w:rPr>
                <w:rFonts w:hint="eastAsia"/>
                <w:bCs/>
                <w:sz w:val="20"/>
                <w:szCs w:val="20"/>
              </w:rPr>
              <w:t>最近年检年度：     年</w:t>
            </w:r>
          </w:p>
        </w:tc>
        <w:tc>
          <w:tcPr>
            <w:tcW w:w="567" w:type="dxa"/>
            <w:vMerge w:val="continue"/>
            <w:noWrap/>
            <w:vAlign w:val="center"/>
          </w:tcPr>
          <w:p>
            <w:pPr>
              <w:spacing w:line="360" w:lineRule="exact"/>
              <w:jc w:val="center"/>
              <w:rPr>
                <w:sz w:val="22"/>
                <w:szCs w:val="22"/>
              </w:rPr>
            </w:pPr>
          </w:p>
        </w:tc>
        <w:tc>
          <w:tcPr>
            <w:tcW w:w="4888" w:type="dxa"/>
            <w:gridSpan w:val="3"/>
            <w:noWrap/>
            <w:vAlign w:val="center"/>
          </w:tcPr>
          <w:p>
            <w:pPr>
              <w:spacing w:line="360" w:lineRule="exact"/>
              <w:rPr>
                <w:bCs/>
                <w:sz w:val="20"/>
                <w:szCs w:val="20"/>
              </w:rPr>
            </w:pPr>
            <w:r>
              <w:rPr>
                <w:rFonts w:hint="eastAsia"/>
                <w:bCs/>
                <w:sz w:val="20"/>
                <w:szCs w:val="20"/>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482" w:type="dxa"/>
            <w:gridSpan w:val="5"/>
            <w:noWrap/>
            <w:vAlign w:val="center"/>
          </w:tcPr>
          <w:p>
            <w:pPr>
              <w:spacing w:line="360" w:lineRule="exact"/>
              <w:jc w:val="center"/>
              <w:rPr>
                <w:bCs/>
                <w:sz w:val="22"/>
                <w:szCs w:val="22"/>
              </w:rPr>
            </w:pPr>
            <w:r>
              <w:rPr>
                <w:rFonts w:hint="eastAsia"/>
                <w:bCs/>
                <w:sz w:val="22"/>
                <w:szCs w:val="22"/>
              </w:rPr>
              <w:t>报名所须提供资料表（投标人自行补充完整）</w:t>
            </w:r>
          </w:p>
        </w:tc>
        <w:tc>
          <w:tcPr>
            <w:tcW w:w="1408" w:type="dxa"/>
            <w:noWrap/>
            <w:vAlign w:val="center"/>
          </w:tcPr>
          <w:p>
            <w:pPr>
              <w:spacing w:line="360" w:lineRule="exact"/>
              <w:jc w:val="center"/>
              <w:rPr>
                <w:bCs/>
                <w:sz w:val="22"/>
                <w:szCs w:val="22"/>
                <w:u w:val="single"/>
              </w:rPr>
            </w:pPr>
            <w:r>
              <w:rPr>
                <w:rFonts w:hint="eastAsia"/>
                <w:bCs/>
                <w:sz w:val="22"/>
                <w:szCs w:val="22"/>
                <w:u w:val="double"/>
              </w:rPr>
              <w:t>已 提 交</w:t>
            </w:r>
          </w:p>
        </w:tc>
        <w:tc>
          <w:tcPr>
            <w:tcW w:w="2410" w:type="dxa"/>
            <w:noWrap/>
            <w:vAlign w:val="center"/>
          </w:tcPr>
          <w:p>
            <w:pPr>
              <w:spacing w:line="360" w:lineRule="exact"/>
              <w:jc w:val="center"/>
              <w:rPr>
                <w:bCs/>
                <w:sz w:val="22"/>
                <w:szCs w:val="22"/>
                <w:u w:val="single"/>
              </w:rPr>
            </w:pPr>
            <w:r>
              <w:rPr>
                <w:rFonts w:hint="eastAsia"/>
                <w:sz w:val="22"/>
                <w:szCs w:val="22"/>
                <w:u w:val="doubl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0" w:type="dxa"/>
            <w:noWrap/>
            <w:vAlign w:val="center"/>
          </w:tcPr>
          <w:p>
            <w:pPr>
              <w:spacing w:line="360" w:lineRule="auto"/>
              <w:jc w:val="center"/>
              <w:rPr>
                <w:sz w:val="22"/>
                <w:szCs w:val="22"/>
              </w:rPr>
            </w:pPr>
            <w:r>
              <w:rPr>
                <w:rFonts w:hint="eastAsia"/>
                <w:sz w:val="22"/>
                <w:szCs w:val="22"/>
              </w:rPr>
              <w:t>1</w:t>
            </w:r>
          </w:p>
        </w:tc>
        <w:tc>
          <w:tcPr>
            <w:tcW w:w="5762" w:type="dxa"/>
            <w:gridSpan w:val="4"/>
            <w:noWrap/>
            <w:vAlign w:val="center"/>
          </w:tcPr>
          <w:p>
            <w:pPr>
              <w:spacing w:line="360" w:lineRule="auto"/>
              <w:rPr>
                <w:bCs/>
                <w:sz w:val="22"/>
                <w:szCs w:val="22"/>
              </w:rPr>
            </w:pPr>
            <w:r>
              <w:rPr>
                <w:rFonts w:hint="eastAsia"/>
                <w:bCs/>
                <w:sz w:val="22"/>
                <w:szCs w:val="22"/>
              </w:rPr>
              <w:t>经办人（报名人）身份证复印件</w:t>
            </w:r>
          </w:p>
        </w:tc>
        <w:tc>
          <w:tcPr>
            <w:tcW w:w="1408" w:type="dxa"/>
            <w:noWrap/>
            <w:vAlign w:val="center"/>
          </w:tcPr>
          <w:p>
            <w:pPr>
              <w:spacing w:line="360" w:lineRule="auto"/>
              <w:jc w:val="center"/>
              <w:rPr>
                <w:bCs/>
                <w:sz w:val="22"/>
                <w:szCs w:val="22"/>
              </w:rPr>
            </w:pPr>
          </w:p>
        </w:tc>
        <w:tc>
          <w:tcPr>
            <w:tcW w:w="2410" w:type="dxa"/>
            <w:noWrap/>
            <w:vAlign w:val="center"/>
          </w:tcPr>
          <w:p>
            <w:pPr>
              <w:spacing w:line="360" w:lineRule="auto"/>
              <w:jc w:val="center"/>
              <w:rPr>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0" w:type="dxa"/>
            <w:noWrap/>
            <w:vAlign w:val="center"/>
          </w:tcPr>
          <w:p>
            <w:pPr>
              <w:spacing w:line="360" w:lineRule="auto"/>
              <w:jc w:val="center"/>
              <w:rPr>
                <w:sz w:val="22"/>
                <w:szCs w:val="22"/>
              </w:rPr>
            </w:pPr>
            <w:r>
              <w:rPr>
                <w:rFonts w:hint="eastAsia"/>
                <w:sz w:val="22"/>
                <w:szCs w:val="22"/>
              </w:rPr>
              <w:t>2</w:t>
            </w:r>
          </w:p>
        </w:tc>
        <w:tc>
          <w:tcPr>
            <w:tcW w:w="5762" w:type="dxa"/>
            <w:gridSpan w:val="4"/>
            <w:noWrap/>
            <w:vAlign w:val="center"/>
          </w:tcPr>
          <w:p>
            <w:pPr>
              <w:spacing w:line="360" w:lineRule="auto"/>
              <w:rPr>
                <w:bCs/>
                <w:sz w:val="22"/>
                <w:szCs w:val="22"/>
              </w:rPr>
            </w:pPr>
          </w:p>
        </w:tc>
        <w:tc>
          <w:tcPr>
            <w:tcW w:w="1408" w:type="dxa"/>
            <w:noWrap/>
            <w:vAlign w:val="center"/>
          </w:tcPr>
          <w:p>
            <w:pPr>
              <w:spacing w:line="360" w:lineRule="auto"/>
              <w:jc w:val="center"/>
              <w:rPr>
                <w:bCs/>
                <w:sz w:val="22"/>
                <w:szCs w:val="22"/>
              </w:rPr>
            </w:pPr>
          </w:p>
        </w:tc>
        <w:tc>
          <w:tcPr>
            <w:tcW w:w="2410" w:type="dxa"/>
            <w:noWrap/>
            <w:vAlign w:val="center"/>
          </w:tcPr>
          <w:p>
            <w:pPr>
              <w:spacing w:line="360" w:lineRule="auto"/>
              <w:jc w:val="center"/>
              <w:rPr>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0" w:type="dxa"/>
            <w:noWrap/>
            <w:vAlign w:val="center"/>
          </w:tcPr>
          <w:p>
            <w:pPr>
              <w:spacing w:line="360" w:lineRule="auto"/>
              <w:jc w:val="center"/>
              <w:rPr>
                <w:sz w:val="22"/>
                <w:szCs w:val="22"/>
              </w:rPr>
            </w:pPr>
            <w:r>
              <w:rPr>
                <w:rFonts w:hint="eastAsia"/>
                <w:sz w:val="22"/>
                <w:szCs w:val="22"/>
              </w:rPr>
              <w:t>3</w:t>
            </w:r>
          </w:p>
        </w:tc>
        <w:tc>
          <w:tcPr>
            <w:tcW w:w="5762" w:type="dxa"/>
            <w:gridSpan w:val="4"/>
            <w:noWrap/>
            <w:vAlign w:val="center"/>
          </w:tcPr>
          <w:p>
            <w:pPr>
              <w:spacing w:line="360" w:lineRule="auto"/>
              <w:rPr>
                <w:bCs/>
                <w:sz w:val="22"/>
                <w:szCs w:val="22"/>
              </w:rPr>
            </w:pPr>
          </w:p>
        </w:tc>
        <w:tc>
          <w:tcPr>
            <w:tcW w:w="1408" w:type="dxa"/>
            <w:noWrap/>
            <w:vAlign w:val="center"/>
          </w:tcPr>
          <w:p>
            <w:pPr>
              <w:spacing w:line="360" w:lineRule="auto"/>
              <w:jc w:val="center"/>
              <w:rPr>
                <w:bCs/>
                <w:sz w:val="22"/>
                <w:szCs w:val="22"/>
              </w:rPr>
            </w:pPr>
          </w:p>
        </w:tc>
        <w:tc>
          <w:tcPr>
            <w:tcW w:w="2410" w:type="dxa"/>
            <w:noWrap/>
            <w:vAlign w:val="center"/>
          </w:tcPr>
          <w:p>
            <w:pPr>
              <w:spacing w:line="360" w:lineRule="auto"/>
              <w:jc w:val="center"/>
              <w:rPr>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720" w:type="dxa"/>
            <w:noWrap/>
            <w:vAlign w:val="center"/>
          </w:tcPr>
          <w:p>
            <w:pPr>
              <w:spacing w:line="360" w:lineRule="auto"/>
              <w:jc w:val="center"/>
              <w:rPr>
                <w:sz w:val="22"/>
                <w:szCs w:val="22"/>
              </w:rPr>
            </w:pPr>
            <w:r>
              <w:rPr>
                <w:rFonts w:hint="eastAsia"/>
                <w:sz w:val="22"/>
                <w:szCs w:val="22"/>
              </w:rPr>
              <w:t>4</w:t>
            </w:r>
          </w:p>
        </w:tc>
        <w:tc>
          <w:tcPr>
            <w:tcW w:w="5762" w:type="dxa"/>
            <w:gridSpan w:val="4"/>
            <w:noWrap/>
            <w:vAlign w:val="center"/>
          </w:tcPr>
          <w:p>
            <w:pPr>
              <w:spacing w:line="360" w:lineRule="auto"/>
              <w:rPr>
                <w:bCs/>
                <w:sz w:val="22"/>
                <w:szCs w:val="22"/>
              </w:rPr>
            </w:pPr>
          </w:p>
        </w:tc>
        <w:tc>
          <w:tcPr>
            <w:tcW w:w="1408" w:type="dxa"/>
            <w:noWrap/>
            <w:vAlign w:val="center"/>
          </w:tcPr>
          <w:p>
            <w:pPr>
              <w:spacing w:line="360" w:lineRule="auto"/>
              <w:jc w:val="center"/>
              <w:rPr>
                <w:bCs/>
                <w:sz w:val="22"/>
                <w:szCs w:val="22"/>
              </w:rPr>
            </w:pPr>
          </w:p>
        </w:tc>
        <w:tc>
          <w:tcPr>
            <w:tcW w:w="2410" w:type="dxa"/>
            <w:noWrap/>
            <w:vAlign w:val="center"/>
          </w:tcPr>
          <w:p>
            <w:pPr>
              <w:spacing w:line="360" w:lineRule="auto"/>
              <w:jc w:val="center"/>
              <w:rPr>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0" w:type="dxa"/>
            <w:noWrap/>
            <w:vAlign w:val="center"/>
          </w:tcPr>
          <w:p>
            <w:pPr>
              <w:spacing w:line="360" w:lineRule="auto"/>
              <w:jc w:val="center"/>
              <w:rPr>
                <w:sz w:val="22"/>
                <w:szCs w:val="22"/>
              </w:rPr>
            </w:pPr>
            <w:r>
              <w:rPr>
                <w:rFonts w:hint="eastAsia"/>
                <w:sz w:val="22"/>
                <w:szCs w:val="22"/>
              </w:rPr>
              <w:t>5</w:t>
            </w:r>
          </w:p>
        </w:tc>
        <w:tc>
          <w:tcPr>
            <w:tcW w:w="5762" w:type="dxa"/>
            <w:gridSpan w:val="4"/>
            <w:noWrap/>
            <w:vAlign w:val="center"/>
          </w:tcPr>
          <w:p>
            <w:pPr>
              <w:spacing w:line="360" w:lineRule="auto"/>
              <w:rPr>
                <w:bCs/>
                <w:sz w:val="22"/>
                <w:szCs w:val="22"/>
              </w:rPr>
            </w:pPr>
          </w:p>
        </w:tc>
        <w:tc>
          <w:tcPr>
            <w:tcW w:w="1408" w:type="dxa"/>
            <w:noWrap/>
            <w:vAlign w:val="center"/>
          </w:tcPr>
          <w:p>
            <w:pPr>
              <w:spacing w:line="360" w:lineRule="auto"/>
              <w:jc w:val="center"/>
              <w:rPr>
                <w:bCs/>
                <w:sz w:val="22"/>
                <w:szCs w:val="22"/>
              </w:rPr>
            </w:pPr>
          </w:p>
        </w:tc>
        <w:tc>
          <w:tcPr>
            <w:tcW w:w="2410" w:type="dxa"/>
            <w:noWrap/>
            <w:vAlign w:val="center"/>
          </w:tcPr>
          <w:p>
            <w:pPr>
              <w:spacing w:line="360" w:lineRule="auto"/>
              <w:jc w:val="center"/>
              <w:rPr>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0" w:type="dxa"/>
            <w:noWrap/>
            <w:vAlign w:val="center"/>
          </w:tcPr>
          <w:p>
            <w:pPr>
              <w:spacing w:line="360" w:lineRule="auto"/>
              <w:jc w:val="center"/>
              <w:rPr>
                <w:sz w:val="22"/>
                <w:szCs w:val="22"/>
              </w:rPr>
            </w:pPr>
            <w:r>
              <w:rPr>
                <w:rFonts w:hint="eastAsia"/>
                <w:sz w:val="22"/>
                <w:szCs w:val="22"/>
              </w:rPr>
              <w:t>……</w:t>
            </w:r>
          </w:p>
        </w:tc>
        <w:tc>
          <w:tcPr>
            <w:tcW w:w="5762" w:type="dxa"/>
            <w:gridSpan w:val="4"/>
            <w:noWrap/>
            <w:vAlign w:val="center"/>
          </w:tcPr>
          <w:p>
            <w:pPr>
              <w:spacing w:line="360" w:lineRule="auto"/>
              <w:rPr>
                <w:bCs/>
                <w:sz w:val="22"/>
                <w:szCs w:val="22"/>
              </w:rPr>
            </w:pPr>
          </w:p>
        </w:tc>
        <w:tc>
          <w:tcPr>
            <w:tcW w:w="1408" w:type="dxa"/>
            <w:noWrap/>
            <w:vAlign w:val="center"/>
          </w:tcPr>
          <w:p>
            <w:pPr>
              <w:spacing w:line="360" w:lineRule="auto"/>
              <w:jc w:val="center"/>
              <w:rPr>
                <w:bCs/>
                <w:sz w:val="22"/>
                <w:szCs w:val="22"/>
              </w:rPr>
            </w:pPr>
          </w:p>
        </w:tc>
        <w:tc>
          <w:tcPr>
            <w:tcW w:w="2410" w:type="dxa"/>
            <w:noWrap/>
            <w:vAlign w:val="center"/>
          </w:tcPr>
          <w:p>
            <w:pPr>
              <w:spacing w:line="360" w:lineRule="auto"/>
              <w:jc w:val="center"/>
              <w:rPr>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20" w:type="dxa"/>
            <w:noWrap/>
            <w:vAlign w:val="center"/>
          </w:tcPr>
          <w:p>
            <w:pPr>
              <w:spacing w:line="360" w:lineRule="exact"/>
              <w:jc w:val="center"/>
              <w:rPr>
                <w:sz w:val="22"/>
                <w:szCs w:val="22"/>
              </w:rPr>
            </w:pPr>
            <w:r>
              <w:rPr>
                <w:rFonts w:hint="eastAsia"/>
                <w:sz w:val="22"/>
                <w:szCs w:val="22"/>
              </w:rPr>
              <w:t>投标承诺</w:t>
            </w:r>
          </w:p>
        </w:tc>
        <w:tc>
          <w:tcPr>
            <w:tcW w:w="9580" w:type="dxa"/>
            <w:gridSpan w:val="6"/>
            <w:noWrap/>
            <w:vAlign w:val="center"/>
          </w:tcPr>
          <w:p>
            <w:pPr>
              <w:spacing w:line="360" w:lineRule="exact"/>
              <w:ind w:firstLine="400" w:firstLineChars="200"/>
              <w:rPr>
                <w:sz w:val="22"/>
                <w:szCs w:val="22"/>
              </w:rPr>
            </w:pPr>
            <w:r>
              <w:rPr>
                <w:rFonts w:hint="eastAsia"/>
                <w:sz w:val="20"/>
                <w:szCs w:val="20"/>
              </w:rPr>
              <w:t>我公司自愿参加此次投标活动，并保证所提供的资料真实有效，决无弄虚作假行为，否则，我公司将承担由此产生的一切后果，并承担由此给招标人及采购代理机构造成的一切损失。</w:t>
            </w:r>
          </w:p>
          <w:p>
            <w:pPr>
              <w:spacing w:line="360" w:lineRule="exact"/>
              <w:rPr>
                <w:sz w:val="22"/>
                <w:szCs w:val="22"/>
              </w:rPr>
            </w:pPr>
          </w:p>
          <w:p>
            <w:pPr>
              <w:spacing w:line="360" w:lineRule="exact"/>
              <w:jc w:val="left"/>
              <w:rPr>
                <w:bCs/>
                <w:sz w:val="22"/>
                <w:szCs w:val="22"/>
              </w:rPr>
            </w:pPr>
            <w:r>
              <w:rPr>
                <w:rFonts w:hint="eastAsia"/>
                <w:szCs w:val="21"/>
              </w:rPr>
              <w:t>法定代表人或授权代表（签名）：                                 日期：</w:t>
            </w:r>
          </w:p>
        </w:tc>
      </w:tr>
    </w:tbl>
    <w:p>
      <w:r>
        <w:rPr>
          <w:rFonts w:hint="eastAsia" w:ascii="宋体" w:hAnsi="宋体"/>
          <w:szCs w:val="21"/>
        </w:rPr>
        <w:t>填表说明：“报名所须提供资料表”一栏应按照本项目招标公告中列明的报名资料顺序填报，资料表的证明文件均需加盖单位公章并附于本投标报名申请表后。</w:t>
      </w:r>
    </w:p>
    <w:p>
      <w:pPr>
        <w:jc w:val="center"/>
        <w:rPr>
          <w:szCs w:val="21"/>
        </w:rPr>
      </w:pPr>
    </w:p>
    <w:p>
      <w:pPr>
        <w:jc w:val="center"/>
        <w:rPr>
          <w:szCs w:val="21"/>
        </w:rPr>
      </w:pPr>
      <w:r>
        <w:rPr>
          <w:rFonts w:hint="eastAsia"/>
          <w:szCs w:val="21"/>
        </w:rPr>
        <w:t>-----------------------（加盖报名单位公章于虚线处，报名成功后代理机构同时盖章于虚线处。）---------------------</w:t>
      </w:r>
    </w:p>
    <w:p>
      <w:pPr>
        <w:jc w:val="center"/>
        <w:rPr>
          <w:sz w:val="15"/>
          <w:szCs w:val="18"/>
        </w:rPr>
      </w:pPr>
      <w:r>
        <w:rPr>
          <w:rFonts w:hint="eastAsia"/>
          <w:sz w:val="28"/>
          <w:szCs w:val="28"/>
        </w:rPr>
        <w:t>投标报名回执</w:t>
      </w:r>
    </w:p>
    <w:p>
      <w:pPr>
        <w:jc w:val="right"/>
        <w:rPr>
          <w:sz w:val="22"/>
          <w:szCs w:val="22"/>
        </w:rPr>
      </w:pPr>
      <w:r>
        <w:rPr>
          <w:rFonts w:hint="eastAsia"/>
          <w:sz w:val="22"/>
          <w:szCs w:val="22"/>
        </w:rPr>
        <w:t>项目编号：</w:t>
      </w:r>
      <w:r>
        <w:rPr>
          <w:rFonts w:hint="eastAsia"/>
          <w:sz w:val="16"/>
          <w:szCs w:val="16"/>
        </w:rPr>
        <w:t>YJGD-20231017-011</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5565"/>
        <w:gridCol w:w="1260"/>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49" w:type="dxa"/>
            <w:vAlign w:val="center"/>
          </w:tcPr>
          <w:p>
            <w:pPr>
              <w:spacing w:line="400" w:lineRule="exact"/>
              <w:jc w:val="center"/>
              <w:rPr>
                <w:kern w:val="0"/>
                <w:sz w:val="22"/>
                <w:szCs w:val="22"/>
              </w:rPr>
            </w:pPr>
            <w:r>
              <w:rPr>
                <w:rFonts w:hint="eastAsia"/>
                <w:kern w:val="0"/>
                <w:sz w:val="22"/>
                <w:szCs w:val="22"/>
              </w:rPr>
              <w:t>项目名称</w:t>
            </w:r>
          </w:p>
        </w:tc>
        <w:tc>
          <w:tcPr>
            <w:tcW w:w="5565" w:type="dxa"/>
            <w:vAlign w:val="center"/>
          </w:tcPr>
          <w:p>
            <w:pPr>
              <w:spacing w:line="400" w:lineRule="exact"/>
              <w:jc w:val="left"/>
              <w:rPr>
                <w:kern w:val="0"/>
                <w:sz w:val="22"/>
                <w:szCs w:val="22"/>
              </w:rPr>
            </w:pPr>
            <w:r>
              <w:rPr>
                <w:rFonts w:hint="eastAsia"/>
                <w:kern w:val="0"/>
                <w:sz w:val="22"/>
                <w:szCs w:val="22"/>
              </w:rPr>
              <w:t>国家税务总局阳江高新技术产业开发区税务局物业管理服务项目</w:t>
            </w:r>
          </w:p>
        </w:tc>
        <w:tc>
          <w:tcPr>
            <w:tcW w:w="1260" w:type="dxa"/>
            <w:vAlign w:val="center"/>
          </w:tcPr>
          <w:p>
            <w:pPr>
              <w:spacing w:line="400" w:lineRule="exact"/>
              <w:jc w:val="center"/>
              <w:rPr>
                <w:kern w:val="0"/>
                <w:sz w:val="22"/>
                <w:szCs w:val="22"/>
              </w:rPr>
            </w:pPr>
            <w:r>
              <w:rPr>
                <w:rFonts w:hint="eastAsia"/>
                <w:kern w:val="0"/>
                <w:sz w:val="22"/>
                <w:szCs w:val="22"/>
              </w:rPr>
              <w:t>报名时间</w:t>
            </w:r>
          </w:p>
        </w:tc>
        <w:tc>
          <w:tcPr>
            <w:tcW w:w="1688" w:type="dxa"/>
            <w:vAlign w:val="center"/>
          </w:tcPr>
          <w:p>
            <w:pPr>
              <w:spacing w:line="400" w:lineRule="exact"/>
              <w:jc w:val="center"/>
              <w:rPr>
                <w:rFonts w:eastAsia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49" w:type="dxa"/>
            <w:vAlign w:val="center"/>
          </w:tcPr>
          <w:p>
            <w:pPr>
              <w:spacing w:line="400" w:lineRule="exact"/>
              <w:jc w:val="center"/>
              <w:rPr>
                <w:rFonts w:eastAsiaTheme="minorEastAsia"/>
                <w:kern w:val="0"/>
                <w:sz w:val="22"/>
                <w:szCs w:val="22"/>
              </w:rPr>
            </w:pPr>
            <w:r>
              <w:rPr>
                <w:rFonts w:hint="eastAsia"/>
                <w:kern w:val="0"/>
                <w:sz w:val="22"/>
                <w:szCs w:val="22"/>
              </w:rPr>
              <w:t>投标人名称</w:t>
            </w:r>
          </w:p>
        </w:tc>
        <w:tc>
          <w:tcPr>
            <w:tcW w:w="8513" w:type="dxa"/>
            <w:gridSpan w:val="3"/>
            <w:vAlign w:val="center"/>
          </w:tcPr>
          <w:p>
            <w:pPr>
              <w:spacing w:line="400" w:lineRule="exact"/>
              <w:jc w:val="center"/>
              <w:rPr>
                <w:kern w:val="0"/>
                <w:sz w:val="22"/>
                <w:szCs w:val="22"/>
              </w:rPr>
            </w:pPr>
            <w:r>
              <w:rPr>
                <w:rFonts w:hint="eastAsia"/>
                <w:kern w:val="0"/>
                <w:sz w:val="22"/>
                <w:szCs w:val="22"/>
              </w:rPr>
              <w:tab/>
            </w:r>
            <w:r>
              <w:rPr>
                <w:rFonts w:hint="eastAsia"/>
                <w:kern w:val="0"/>
                <w:sz w:val="22"/>
                <w:szCs w:val="22"/>
              </w:rPr>
              <w:tab/>
            </w:r>
            <w:r>
              <w:rPr>
                <w:rFonts w:hint="eastAsia"/>
                <w:kern w:val="0"/>
                <w:sz w:val="22"/>
                <w:szCs w:val="2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9962" w:type="dxa"/>
            <w:gridSpan w:val="4"/>
          </w:tcPr>
          <w:p>
            <w:pPr>
              <w:rPr>
                <w:kern w:val="0"/>
                <w:sz w:val="22"/>
                <w:szCs w:val="22"/>
              </w:rPr>
            </w:pPr>
          </w:p>
          <w:p>
            <w:pPr>
              <w:rPr>
                <w:kern w:val="0"/>
                <w:sz w:val="22"/>
                <w:szCs w:val="22"/>
              </w:rPr>
            </w:pPr>
            <w:r>
              <w:rPr>
                <w:rFonts w:hint="eastAsia"/>
                <w:kern w:val="0"/>
                <w:sz w:val="22"/>
                <w:szCs w:val="22"/>
              </w:rPr>
              <w:t>经办意见：</w:t>
            </w:r>
          </w:p>
          <w:p>
            <w:pPr>
              <w:ind w:firstLine="1540" w:firstLineChars="700"/>
              <w:rPr>
                <w:rFonts w:eastAsiaTheme="minorEastAsia"/>
                <w:kern w:val="0"/>
                <w:sz w:val="22"/>
                <w:szCs w:val="22"/>
              </w:rPr>
            </w:pPr>
            <w:r>
              <w:rPr>
                <w:rFonts w:hint="eastAsia"/>
                <w:kern w:val="0"/>
                <w:sz w:val="22"/>
                <w:szCs w:val="22"/>
              </w:rPr>
              <w:t>已接收贵公司报名资料，报名成功。</w:t>
            </w:r>
          </w:p>
          <w:p>
            <w:pPr>
              <w:rPr>
                <w:kern w:val="0"/>
                <w:sz w:val="22"/>
                <w:szCs w:val="22"/>
              </w:rPr>
            </w:pPr>
          </w:p>
          <w:p>
            <w:pPr>
              <w:jc w:val="right"/>
              <w:rPr>
                <w:rFonts w:eastAsiaTheme="minorEastAsia"/>
                <w:kern w:val="0"/>
                <w:sz w:val="22"/>
                <w:szCs w:val="22"/>
              </w:rPr>
            </w:pPr>
            <w:r>
              <w:rPr>
                <w:rFonts w:hint="eastAsia"/>
                <w:kern w:val="0"/>
                <w:sz w:val="22"/>
                <w:szCs w:val="22"/>
              </w:rPr>
              <w:t>经办单位：广东国达工程项目咨询有限公司</w:t>
            </w:r>
          </w:p>
        </w:tc>
      </w:tr>
    </w:tbl>
    <w:p>
      <w:pPr>
        <w:spacing w:line="360" w:lineRule="auto"/>
        <w:rPr>
          <w:rFonts w:ascii="宋体" w:hAnsi="宋体"/>
          <w:bCs/>
          <w:sz w:val="28"/>
        </w:rPr>
        <w:sectPr>
          <w:footerReference r:id="rId11" w:type="default"/>
          <w:pgSz w:w="11906" w:h="16838"/>
          <w:pgMar w:top="567" w:right="907" w:bottom="295" w:left="1247" w:header="567" w:footer="567" w:gutter="0"/>
          <w:pgNumType w:start="1"/>
          <w:cols w:space="720" w:num="1"/>
          <w:docGrid w:type="lines" w:linePitch="312" w:charSpace="0"/>
        </w:sectPr>
      </w:pPr>
    </w:p>
    <w:p>
      <w:pPr>
        <w:rPr>
          <w:sz w:val="44"/>
        </w:rPr>
      </w:pPr>
    </w:p>
    <w:p>
      <w:pPr>
        <w:rPr>
          <w:sz w:val="44"/>
        </w:rPr>
      </w:pPr>
    </w:p>
    <w:p>
      <w:pPr>
        <w:rPr>
          <w:sz w:val="44"/>
        </w:rPr>
      </w:pPr>
    </w:p>
    <w:p>
      <w:pPr>
        <w:rPr>
          <w:sz w:val="44"/>
        </w:rPr>
      </w:pPr>
    </w:p>
    <w:p>
      <w:pPr>
        <w:rPr>
          <w:sz w:val="44"/>
        </w:rPr>
      </w:pPr>
    </w:p>
    <w:p>
      <w:pPr>
        <w:rPr>
          <w:sz w:val="44"/>
        </w:rPr>
      </w:pPr>
    </w:p>
    <w:p>
      <w:pPr>
        <w:rPr>
          <w:sz w:val="44"/>
        </w:rPr>
      </w:pPr>
    </w:p>
    <w:p>
      <w:pPr>
        <w:rPr>
          <w:sz w:val="44"/>
        </w:rPr>
      </w:pPr>
    </w:p>
    <w:p/>
    <w:p>
      <w:pPr>
        <w:pStyle w:val="3"/>
        <w:rPr>
          <w:sz w:val="44"/>
        </w:rPr>
      </w:pPr>
      <w:bookmarkStart w:id="15" w:name="_Toc31961"/>
      <w:bookmarkStart w:id="16" w:name="_Toc3683"/>
      <w:r>
        <w:rPr>
          <w:rFonts w:hint="eastAsia"/>
          <w:sz w:val="44"/>
        </w:rPr>
        <w:t>第二章</w:t>
      </w:r>
      <w:bookmarkStart w:id="17" w:name="_Toc10525515"/>
      <w:bookmarkEnd w:id="17"/>
      <w:r>
        <w:rPr>
          <w:rFonts w:hint="eastAsia"/>
          <w:sz w:val="44"/>
        </w:rPr>
        <w:t>投标人须知</w:t>
      </w:r>
      <w:bookmarkEnd w:id="15"/>
      <w:bookmarkEnd w:id="16"/>
    </w:p>
    <w:p>
      <w:pPr>
        <w:rPr>
          <w:sz w:val="44"/>
        </w:rPr>
      </w:pPr>
      <w:r>
        <w:rPr>
          <w:rFonts w:hint="eastAsia"/>
          <w:sz w:val="44"/>
        </w:rPr>
        <w:br w:type="page"/>
      </w:r>
    </w:p>
    <w:p>
      <w:pPr>
        <w:spacing w:line="360" w:lineRule="auto"/>
        <w:jc w:val="center"/>
        <w:outlineLvl w:val="1"/>
        <w:rPr>
          <w:rFonts w:ascii="宋体" w:hAnsi="宋体"/>
          <w:b/>
          <w:bCs/>
          <w:sz w:val="30"/>
        </w:rPr>
      </w:pPr>
      <w:r>
        <w:rPr>
          <w:rFonts w:hint="eastAsia" w:ascii="宋体" w:hAnsi="宋体"/>
          <w:b/>
          <w:bCs/>
          <w:sz w:val="30"/>
        </w:rPr>
        <w:t>投标人须知一览表</w:t>
      </w:r>
    </w:p>
    <w:tbl>
      <w:tblPr>
        <w:tblStyle w:val="21"/>
        <w:tblW w:w="92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339"/>
        <w:gridCol w:w="2030"/>
        <w:gridCol w:w="387"/>
        <w:gridCol w:w="1134"/>
        <w:gridCol w:w="747"/>
        <w:gridCol w:w="529"/>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rPr>
            </w:pPr>
            <w:r>
              <w:rPr>
                <w:rFonts w:hint="eastAsia" w:ascii="宋体" w:hAnsi="宋体"/>
                <w:b/>
                <w:szCs w:val="21"/>
              </w:rPr>
              <w:t>序号</w:t>
            </w:r>
          </w:p>
        </w:tc>
        <w:tc>
          <w:tcPr>
            <w:tcW w:w="2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rPr>
            </w:pPr>
            <w:r>
              <w:rPr>
                <w:rFonts w:hint="eastAsia" w:ascii="宋体" w:hAnsi="宋体"/>
                <w:b/>
                <w:szCs w:val="21"/>
              </w:rPr>
              <w:t>项目</w:t>
            </w:r>
          </w:p>
        </w:tc>
        <w:tc>
          <w:tcPr>
            <w:tcW w:w="6102"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1"/>
              </w:rPr>
            </w:pPr>
            <w:r>
              <w:rPr>
                <w:rFonts w:hint="eastAsia" w:ascii="宋体" w:hAnsi="宋体"/>
                <w:b/>
                <w:szCs w:val="21"/>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8"/>
              </w:rPr>
            </w:pPr>
            <w:r>
              <w:rPr>
                <w:rFonts w:hint="eastAsia" w:ascii="宋体" w:hAnsi="宋体"/>
                <w:b/>
                <w:szCs w:val="28"/>
              </w:rPr>
              <w:t>（1）</w:t>
            </w:r>
          </w:p>
        </w:tc>
        <w:tc>
          <w:tcPr>
            <w:tcW w:w="2339" w:type="dxa"/>
            <w:tcBorders>
              <w:top w:val="single" w:color="auto" w:sz="4" w:space="0"/>
              <w:left w:val="single" w:color="auto" w:sz="4" w:space="0"/>
              <w:bottom w:val="single" w:color="auto" w:sz="4" w:space="0"/>
              <w:right w:val="single" w:color="auto" w:sz="4" w:space="0"/>
            </w:tcBorders>
            <w:vAlign w:val="center"/>
          </w:tcPr>
          <w:p>
            <w:pPr>
              <w:pStyle w:val="5"/>
              <w:tabs>
                <w:tab w:val="left" w:pos="630"/>
                <w:tab w:val="left" w:pos="1981"/>
              </w:tabs>
              <w:spacing w:line="276" w:lineRule="auto"/>
              <w:ind w:firstLine="210" w:firstLineChars="100"/>
              <w:rPr>
                <w:sz w:val="21"/>
                <w:szCs w:val="21"/>
              </w:rPr>
            </w:pPr>
            <w:bookmarkStart w:id="18" w:name="_Toc10059"/>
            <w:r>
              <w:rPr>
                <w:b w:val="0"/>
                <w:bCs/>
                <w:sz w:val="21"/>
                <w:szCs w:val="21"/>
              </w:rPr>
              <w:t>投标有效期</w:t>
            </w:r>
            <w:bookmarkEnd w:id="18"/>
          </w:p>
        </w:tc>
        <w:tc>
          <w:tcPr>
            <w:tcW w:w="6102"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szCs w:val="21"/>
              </w:rPr>
              <w:t>从投标截止日起，投标有效期为90天，中标人的投标有效期自动延长至合同终止为止。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b/>
                <w:szCs w:val="28"/>
              </w:rPr>
            </w:pPr>
            <w:r>
              <w:rPr>
                <w:rFonts w:hint="eastAsia" w:ascii="宋体" w:hAnsi="宋体"/>
                <w:b/>
                <w:szCs w:val="28"/>
              </w:rPr>
              <w:t>（2）</w:t>
            </w:r>
          </w:p>
        </w:tc>
        <w:tc>
          <w:tcPr>
            <w:tcW w:w="2339" w:type="dxa"/>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招标代理服务费</w:t>
            </w:r>
          </w:p>
        </w:tc>
        <w:tc>
          <w:tcPr>
            <w:tcW w:w="6102" w:type="dxa"/>
            <w:gridSpan w:val="6"/>
            <w:tcBorders>
              <w:top w:val="single" w:color="auto" w:sz="4" w:space="0"/>
              <w:left w:val="single" w:color="auto" w:sz="4" w:space="0"/>
              <w:right w:val="single" w:color="auto" w:sz="4" w:space="0"/>
            </w:tcBorders>
            <w:vAlign w:val="center"/>
          </w:tcPr>
          <w:p>
            <w:pPr>
              <w:spacing w:line="276" w:lineRule="auto"/>
              <w:ind w:firstLine="422" w:firstLineChars="200"/>
              <w:rPr>
                <w:rFonts w:ascii="宋体" w:hAnsi="宋体"/>
                <w:b/>
                <w:bCs/>
                <w:szCs w:val="21"/>
              </w:rPr>
            </w:pPr>
            <w:r>
              <w:rPr>
                <w:rFonts w:hint="eastAsia" w:ascii="宋体" w:hAnsi="宋体"/>
                <w:b/>
                <w:bCs/>
                <w:szCs w:val="21"/>
              </w:rPr>
              <w:t>收费标准：按下列表格服务招标类型计取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vMerge w:val="continue"/>
            <w:tcBorders>
              <w:left w:val="single" w:color="auto" w:sz="4" w:space="0"/>
              <w:right w:val="single" w:color="auto" w:sz="4" w:space="0"/>
            </w:tcBorders>
            <w:vAlign w:val="center"/>
          </w:tcPr>
          <w:p>
            <w:pPr>
              <w:spacing w:line="276" w:lineRule="auto"/>
              <w:jc w:val="center"/>
              <w:rPr>
                <w:rFonts w:ascii="宋体" w:hAnsi="宋体"/>
                <w:b/>
                <w:szCs w:val="28"/>
              </w:rPr>
            </w:pPr>
          </w:p>
        </w:tc>
        <w:tc>
          <w:tcPr>
            <w:tcW w:w="2339" w:type="dxa"/>
            <w:vMerge w:val="continue"/>
            <w:tcBorders>
              <w:left w:val="single" w:color="auto" w:sz="4" w:space="0"/>
              <w:right w:val="single" w:color="auto" w:sz="4" w:space="0"/>
            </w:tcBorders>
            <w:vAlign w:val="center"/>
          </w:tcPr>
          <w:p>
            <w:pPr>
              <w:spacing w:line="276" w:lineRule="auto"/>
              <w:jc w:val="center"/>
              <w:rPr>
                <w:rFonts w:ascii="宋体" w:hAnsi="宋体"/>
                <w:szCs w:val="21"/>
              </w:rPr>
            </w:pPr>
          </w:p>
        </w:tc>
        <w:tc>
          <w:tcPr>
            <w:tcW w:w="2417" w:type="dxa"/>
            <w:gridSpan w:val="2"/>
            <w:tcBorders>
              <w:top w:val="single" w:color="auto" w:sz="4" w:space="0"/>
              <w:left w:val="single" w:color="auto" w:sz="4" w:space="0"/>
              <w:right w:val="single" w:color="auto" w:sz="4" w:space="0"/>
            </w:tcBorders>
            <w:vAlign w:val="center"/>
          </w:tcPr>
          <w:p>
            <w:pPr>
              <w:widowControl/>
              <w:spacing w:before="100" w:beforeAutospacing="1" w:after="100" w:afterAutospacing="1" w:line="276" w:lineRule="auto"/>
              <w:jc w:val="center"/>
              <w:rPr>
                <w:rFonts w:ascii="宋体" w:hAnsi="宋体"/>
                <w:b/>
                <w:bCs/>
                <w:szCs w:val="21"/>
              </w:rPr>
            </w:pPr>
            <w:r>
              <w:rPr>
                <w:rFonts w:hint="eastAsia" w:ascii="宋体" w:hAnsi="宋体"/>
                <w:b/>
                <w:bCs/>
                <w:szCs w:val="21"/>
              </w:rPr>
              <w:t>中标金额（万元）</w:t>
            </w:r>
          </w:p>
        </w:tc>
        <w:tc>
          <w:tcPr>
            <w:tcW w:w="1134" w:type="dxa"/>
            <w:tcBorders>
              <w:top w:val="single" w:color="auto" w:sz="4" w:space="0"/>
              <w:left w:val="single" w:color="auto" w:sz="4" w:space="0"/>
              <w:right w:val="single" w:color="auto" w:sz="4" w:space="0"/>
            </w:tcBorders>
          </w:tcPr>
          <w:p>
            <w:pPr>
              <w:widowControl/>
              <w:spacing w:before="100" w:beforeAutospacing="1" w:after="100" w:afterAutospacing="1" w:line="276" w:lineRule="auto"/>
              <w:jc w:val="center"/>
              <w:rPr>
                <w:rFonts w:ascii="宋体" w:hAnsi="宋体" w:cs="宋体"/>
                <w:b/>
                <w:bCs/>
                <w:szCs w:val="21"/>
              </w:rPr>
            </w:pPr>
            <w:r>
              <w:rPr>
                <w:rFonts w:hint="eastAsia" w:ascii="宋体" w:hAnsi="宋体" w:cs="宋体"/>
                <w:b/>
                <w:bCs/>
                <w:szCs w:val="21"/>
              </w:rPr>
              <w:t>货物招标（采购）</w:t>
            </w:r>
          </w:p>
        </w:tc>
        <w:tc>
          <w:tcPr>
            <w:tcW w:w="1276" w:type="dxa"/>
            <w:gridSpan w:val="2"/>
            <w:tcBorders>
              <w:top w:val="single" w:color="auto" w:sz="4" w:space="0"/>
              <w:left w:val="single" w:color="auto" w:sz="4" w:space="0"/>
              <w:right w:val="single" w:color="auto" w:sz="4" w:space="0"/>
            </w:tcBorders>
          </w:tcPr>
          <w:p>
            <w:pPr>
              <w:widowControl/>
              <w:spacing w:before="100" w:beforeAutospacing="1" w:after="100" w:afterAutospacing="1" w:line="276" w:lineRule="auto"/>
              <w:jc w:val="center"/>
              <w:rPr>
                <w:rFonts w:ascii="宋体" w:hAnsi="宋体" w:cs="宋体"/>
                <w:b/>
                <w:bCs/>
                <w:szCs w:val="21"/>
              </w:rPr>
            </w:pPr>
            <w:r>
              <w:rPr>
                <w:rFonts w:hint="eastAsia" w:ascii="宋体" w:hAnsi="宋体" w:cs="宋体"/>
                <w:b/>
                <w:bCs/>
                <w:szCs w:val="21"/>
              </w:rPr>
              <w:t>服务招标（采购）</w:t>
            </w:r>
          </w:p>
        </w:tc>
        <w:tc>
          <w:tcPr>
            <w:tcW w:w="1275" w:type="dxa"/>
            <w:tcBorders>
              <w:top w:val="single" w:color="auto" w:sz="4" w:space="0"/>
              <w:left w:val="single" w:color="auto" w:sz="4" w:space="0"/>
              <w:right w:val="single" w:color="auto" w:sz="4" w:space="0"/>
            </w:tcBorders>
          </w:tcPr>
          <w:p>
            <w:pPr>
              <w:widowControl/>
              <w:spacing w:before="100" w:beforeAutospacing="1" w:after="100" w:afterAutospacing="1" w:line="276" w:lineRule="auto"/>
              <w:jc w:val="center"/>
              <w:rPr>
                <w:rFonts w:ascii="宋体" w:hAnsi="宋体" w:cs="宋体"/>
                <w:b/>
                <w:bCs/>
                <w:szCs w:val="21"/>
              </w:rPr>
            </w:pPr>
            <w:r>
              <w:rPr>
                <w:rFonts w:hint="eastAsia" w:ascii="宋体" w:hAnsi="宋体" w:cs="宋体"/>
                <w:b/>
                <w:bCs/>
                <w:szCs w:val="21"/>
              </w:rPr>
              <w:t>工程招标（采购）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vMerge w:val="continue"/>
            <w:tcBorders>
              <w:left w:val="single" w:color="auto" w:sz="4" w:space="0"/>
              <w:right w:val="single" w:color="auto" w:sz="4" w:space="0"/>
            </w:tcBorders>
            <w:vAlign w:val="center"/>
          </w:tcPr>
          <w:p>
            <w:pPr>
              <w:spacing w:line="276" w:lineRule="auto"/>
              <w:jc w:val="center"/>
              <w:rPr>
                <w:rFonts w:ascii="宋体" w:hAnsi="宋体"/>
                <w:b/>
                <w:szCs w:val="28"/>
              </w:rPr>
            </w:pPr>
          </w:p>
        </w:tc>
        <w:tc>
          <w:tcPr>
            <w:tcW w:w="2339" w:type="dxa"/>
            <w:vMerge w:val="continue"/>
            <w:tcBorders>
              <w:left w:val="single" w:color="auto" w:sz="4" w:space="0"/>
              <w:right w:val="single" w:color="auto" w:sz="4" w:space="0"/>
            </w:tcBorders>
            <w:vAlign w:val="center"/>
          </w:tcPr>
          <w:p>
            <w:pPr>
              <w:spacing w:line="276" w:lineRule="auto"/>
              <w:jc w:val="center"/>
              <w:rPr>
                <w:rFonts w:ascii="宋体" w:hAnsi="宋体"/>
                <w:szCs w:val="21"/>
              </w:rPr>
            </w:pPr>
          </w:p>
        </w:tc>
        <w:tc>
          <w:tcPr>
            <w:tcW w:w="2417" w:type="dxa"/>
            <w:gridSpan w:val="2"/>
            <w:tcBorders>
              <w:top w:val="single" w:color="auto" w:sz="4" w:space="0"/>
              <w:left w:val="single" w:color="auto" w:sz="4" w:space="0"/>
              <w:right w:val="single" w:color="auto" w:sz="4" w:space="0"/>
            </w:tcBorders>
          </w:tcPr>
          <w:p>
            <w:pPr>
              <w:widowControl/>
              <w:spacing w:before="100" w:beforeAutospacing="1" w:after="100" w:afterAutospacing="1" w:line="276" w:lineRule="auto"/>
              <w:jc w:val="center"/>
              <w:rPr>
                <w:rFonts w:ascii="宋体" w:hAnsi="宋体" w:cs="宋体"/>
                <w:szCs w:val="21"/>
              </w:rPr>
            </w:pPr>
            <w:r>
              <w:rPr>
                <w:rFonts w:hint="eastAsia" w:ascii="宋体" w:hAnsi="宋体" w:cs="宋体"/>
                <w:szCs w:val="21"/>
              </w:rPr>
              <w:t>100以下</w:t>
            </w:r>
          </w:p>
        </w:tc>
        <w:tc>
          <w:tcPr>
            <w:tcW w:w="1134" w:type="dxa"/>
            <w:tcBorders>
              <w:top w:val="single" w:color="auto" w:sz="4" w:space="0"/>
              <w:left w:val="single" w:color="auto" w:sz="4" w:space="0"/>
              <w:right w:val="single" w:color="auto" w:sz="4" w:space="0"/>
            </w:tcBorders>
          </w:tcPr>
          <w:p>
            <w:pPr>
              <w:widowControl/>
              <w:spacing w:before="100" w:beforeAutospacing="1" w:after="100" w:afterAutospacing="1" w:line="276" w:lineRule="auto"/>
              <w:jc w:val="center"/>
              <w:rPr>
                <w:rFonts w:ascii="宋体" w:hAnsi="宋体" w:cs="宋体"/>
                <w:szCs w:val="21"/>
              </w:rPr>
            </w:pPr>
            <w:r>
              <w:rPr>
                <w:rFonts w:hint="eastAsia" w:ascii="宋体" w:hAnsi="宋体" w:cs="宋体"/>
                <w:szCs w:val="21"/>
              </w:rPr>
              <w:t>1.50%</w:t>
            </w:r>
          </w:p>
        </w:tc>
        <w:tc>
          <w:tcPr>
            <w:tcW w:w="1276" w:type="dxa"/>
            <w:gridSpan w:val="2"/>
            <w:tcBorders>
              <w:top w:val="single" w:color="auto" w:sz="4" w:space="0"/>
              <w:left w:val="single" w:color="auto" w:sz="4" w:space="0"/>
              <w:right w:val="single" w:color="auto" w:sz="4" w:space="0"/>
            </w:tcBorders>
          </w:tcPr>
          <w:p>
            <w:pPr>
              <w:widowControl/>
              <w:spacing w:before="100" w:beforeAutospacing="1" w:after="100" w:afterAutospacing="1" w:line="276" w:lineRule="auto"/>
              <w:jc w:val="center"/>
              <w:rPr>
                <w:rFonts w:ascii="宋体" w:hAnsi="宋体" w:cs="宋体"/>
                <w:szCs w:val="21"/>
              </w:rPr>
            </w:pPr>
            <w:r>
              <w:rPr>
                <w:rFonts w:hint="eastAsia" w:ascii="宋体" w:hAnsi="宋体" w:cs="宋体"/>
                <w:szCs w:val="21"/>
              </w:rPr>
              <w:t>1.50%</w:t>
            </w:r>
          </w:p>
        </w:tc>
        <w:tc>
          <w:tcPr>
            <w:tcW w:w="1275" w:type="dxa"/>
            <w:tcBorders>
              <w:top w:val="single" w:color="auto" w:sz="4" w:space="0"/>
              <w:left w:val="single" w:color="auto" w:sz="4" w:space="0"/>
              <w:right w:val="single" w:color="auto" w:sz="4" w:space="0"/>
            </w:tcBorders>
          </w:tcPr>
          <w:p>
            <w:pPr>
              <w:widowControl/>
              <w:spacing w:before="100" w:beforeAutospacing="1" w:after="100" w:afterAutospacing="1" w:line="276" w:lineRule="auto"/>
              <w:jc w:val="center"/>
              <w:rPr>
                <w:rFonts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vMerge w:val="continue"/>
            <w:tcBorders>
              <w:left w:val="single" w:color="auto" w:sz="4" w:space="0"/>
              <w:right w:val="single" w:color="auto" w:sz="4" w:space="0"/>
            </w:tcBorders>
            <w:vAlign w:val="center"/>
          </w:tcPr>
          <w:p>
            <w:pPr>
              <w:spacing w:line="276" w:lineRule="auto"/>
              <w:jc w:val="center"/>
              <w:rPr>
                <w:rFonts w:ascii="宋体" w:hAnsi="宋体"/>
                <w:b/>
                <w:szCs w:val="28"/>
              </w:rPr>
            </w:pPr>
          </w:p>
        </w:tc>
        <w:tc>
          <w:tcPr>
            <w:tcW w:w="2339" w:type="dxa"/>
            <w:vMerge w:val="continue"/>
            <w:tcBorders>
              <w:left w:val="single" w:color="auto" w:sz="4" w:space="0"/>
              <w:right w:val="single" w:color="auto" w:sz="4" w:space="0"/>
            </w:tcBorders>
            <w:vAlign w:val="center"/>
          </w:tcPr>
          <w:p>
            <w:pPr>
              <w:spacing w:line="276" w:lineRule="auto"/>
              <w:jc w:val="center"/>
              <w:rPr>
                <w:rFonts w:ascii="宋体" w:hAnsi="宋体"/>
                <w:szCs w:val="21"/>
              </w:rPr>
            </w:pPr>
          </w:p>
        </w:tc>
        <w:tc>
          <w:tcPr>
            <w:tcW w:w="2417" w:type="dxa"/>
            <w:gridSpan w:val="2"/>
            <w:tcBorders>
              <w:top w:val="single" w:color="auto" w:sz="4" w:space="0"/>
              <w:left w:val="single" w:color="auto" w:sz="4" w:space="0"/>
              <w:right w:val="single" w:color="auto" w:sz="4" w:space="0"/>
            </w:tcBorders>
          </w:tcPr>
          <w:p>
            <w:pPr>
              <w:widowControl/>
              <w:spacing w:before="100" w:beforeAutospacing="1" w:after="100" w:afterAutospacing="1" w:line="276" w:lineRule="auto"/>
              <w:jc w:val="center"/>
              <w:rPr>
                <w:rFonts w:ascii="宋体" w:hAnsi="宋体" w:cs="宋体"/>
                <w:szCs w:val="21"/>
              </w:rPr>
            </w:pPr>
            <w:r>
              <w:rPr>
                <w:rFonts w:hint="eastAsia" w:ascii="宋体" w:hAnsi="宋体" w:cs="宋体"/>
                <w:szCs w:val="21"/>
              </w:rPr>
              <w:t>100-500</w:t>
            </w:r>
          </w:p>
        </w:tc>
        <w:tc>
          <w:tcPr>
            <w:tcW w:w="1134" w:type="dxa"/>
            <w:tcBorders>
              <w:top w:val="single" w:color="auto" w:sz="4" w:space="0"/>
              <w:left w:val="single" w:color="auto" w:sz="4" w:space="0"/>
              <w:right w:val="single" w:color="auto" w:sz="4" w:space="0"/>
            </w:tcBorders>
          </w:tcPr>
          <w:p>
            <w:pPr>
              <w:widowControl/>
              <w:spacing w:before="100" w:beforeAutospacing="1" w:after="100" w:afterAutospacing="1" w:line="276" w:lineRule="auto"/>
              <w:jc w:val="center"/>
              <w:rPr>
                <w:rFonts w:ascii="宋体" w:hAnsi="宋体" w:cs="宋体"/>
                <w:szCs w:val="21"/>
              </w:rPr>
            </w:pPr>
            <w:r>
              <w:rPr>
                <w:rFonts w:hint="eastAsia" w:ascii="宋体" w:hAnsi="宋体" w:cs="宋体"/>
                <w:szCs w:val="21"/>
              </w:rPr>
              <w:t>1.10%</w:t>
            </w:r>
          </w:p>
        </w:tc>
        <w:tc>
          <w:tcPr>
            <w:tcW w:w="1276" w:type="dxa"/>
            <w:gridSpan w:val="2"/>
            <w:tcBorders>
              <w:top w:val="single" w:color="auto" w:sz="4" w:space="0"/>
              <w:left w:val="single" w:color="auto" w:sz="4" w:space="0"/>
              <w:right w:val="single" w:color="auto" w:sz="4" w:space="0"/>
            </w:tcBorders>
          </w:tcPr>
          <w:p>
            <w:pPr>
              <w:widowControl/>
              <w:spacing w:before="100" w:beforeAutospacing="1" w:after="100" w:afterAutospacing="1" w:line="276" w:lineRule="auto"/>
              <w:jc w:val="center"/>
              <w:rPr>
                <w:rFonts w:ascii="宋体" w:hAnsi="宋体" w:cs="宋体"/>
                <w:szCs w:val="21"/>
              </w:rPr>
            </w:pPr>
            <w:r>
              <w:rPr>
                <w:rFonts w:hint="eastAsia" w:ascii="宋体" w:hAnsi="宋体" w:cs="宋体"/>
                <w:szCs w:val="21"/>
              </w:rPr>
              <w:t>0.80%</w:t>
            </w:r>
          </w:p>
        </w:tc>
        <w:tc>
          <w:tcPr>
            <w:tcW w:w="1275" w:type="dxa"/>
            <w:tcBorders>
              <w:top w:val="single" w:color="auto" w:sz="4" w:space="0"/>
              <w:left w:val="single" w:color="auto" w:sz="4" w:space="0"/>
              <w:right w:val="single" w:color="auto" w:sz="4" w:space="0"/>
            </w:tcBorders>
          </w:tcPr>
          <w:p>
            <w:pPr>
              <w:widowControl/>
              <w:spacing w:before="100" w:beforeAutospacing="1" w:after="100" w:afterAutospacing="1" w:line="276" w:lineRule="auto"/>
              <w:jc w:val="center"/>
              <w:rPr>
                <w:rFonts w:ascii="宋体" w:hAnsi="宋体" w:cs="宋体"/>
                <w:szCs w:val="21"/>
              </w:rPr>
            </w:pPr>
            <w:r>
              <w:rPr>
                <w:rFonts w:hint="eastAsia" w:ascii="宋体" w:hAnsi="宋体" w:cs="宋体"/>
                <w:szCs w:val="21"/>
              </w:rPr>
              <w:t>0.70%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vMerge w:val="continue"/>
            <w:tcBorders>
              <w:left w:val="single" w:color="auto" w:sz="4" w:space="0"/>
              <w:right w:val="single" w:color="auto" w:sz="4" w:space="0"/>
            </w:tcBorders>
            <w:vAlign w:val="center"/>
          </w:tcPr>
          <w:p>
            <w:pPr>
              <w:spacing w:line="276" w:lineRule="auto"/>
              <w:jc w:val="center"/>
              <w:rPr>
                <w:rFonts w:ascii="宋体" w:hAnsi="宋体"/>
                <w:b/>
                <w:szCs w:val="28"/>
              </w:rPr>
            </w:pPr>
          </w:p>
        </w:tc>
        <w:tc>
          <w:tcPr>
            <w:tcW w:w="2339" w:type="dxa"/>
            <w:vMerge w:val="continue"/>
            <w:tcBorders>
              <w:left w:val="single" w:color="auto" w:sz="4" w:space="0"/>
              <w:right w:val="single" w:color="auto" w:sz="4" w:space="0"/>
            </w:tcBorders>
            <w:vAlign w:val="center"/>
          </w:tcPr>
          <w:p>
            <w:pPr>
              <w:spacing w:line="276" w:lineRule="auto"/>
              <w:jc w:val="center"/>
              <w:rPr>
                <w:rFonts w:ascii="宋体" w:hAnsi="宋体"/>
                <w:szCs w:val="21"/>
              </w:rPr>
            </w:pPr>
          </w:p>
        </w:tc>
        <w:tc>
          <w:tcPr>
            <w:tcW w:w="2417" w:type="dxa"/>
            <w:gridSpan w:val="2"/>
            <w:tcBorders>
              <w:top w:val="single" w:color="auto" w:sz="4" w:space="0"/>
              <w:left w:val="single" w:color="auto" w:sz="4" w:space="0"/>
              <w:right w:val="single" w:color="auto" w:sz="4" w:space="0"/>
            </w:tcBorders>
          </w:tcPr>
          <w:p>
            <w:pPr>
              <w:widowControl/>
              <w:spacing w:before="100" w:beforeAutospacing="1" w:after="100" w:afterAutospacing="1" w:line="276" w:lineRule="auto"/>
              <w:jc w:val="center"/>
              <w:rPr>
                <w:rFonts w:ascii="宋体" w:hAnsi="宋体" w:cs="宋体"/>
                <w:szCs w:val="21"/>
              </w:rPr>
            </w:pPr>
            <w:r>
              <w:rPr>
                <w:rFonts w:hint="eastAsia" w:ascii="宋体" w:hAnsi="宋体" w:cs="宋体"/>
                <w:szCs w:val="21"/>
              </w:rPr>
              <w:t>500-1000万</w:t>
            </w:r>
          </w:p>
        </w:tc>
        <w:tc>
          <w:tcPr>
            <w:tcW w:w="1134" w:type="dxa"/>
            <w:tcBorders>
              <w:top w:val="single" w:color="auto" w:sz="4" w:space="0"/>
              <w:left w:val="single" w:color="auto" w:sz="4" w:space="0"/>
              <w:right w:val="single" w:color="auto" w:sz="4" w:space="0"/>
            </w:tcBorders>
          </w:tcPr>
          <w:p>
            <w:pPr>
              <w:widowControl/>
              <w:spacing w:before="100" w:beforeAutospacing="1" w:after="100" w:afterAutospacing="1" w:line="276" w:lineRule="auto"/>
              <w:jc w:val="center"/>
              <w:rPr>
                <w:rFonts w:ascii="宋体" w:hAnsi="宋体" w:cs="宋体"/>
                <w:szCs w:val="21"/>
              </w:rPr>
            </w:pPr>
            <w:r>
              <w:rPr>
                <w:rFonts w:hint="eastAsia" w:ascii="宋体" w:hAnsi="宋体" w:cs="宋体"/>
                <w:szCs w:val="21"/>
              </w:rPr>
              <w:t>0.80%</w:t>
            </w:r>
          </w:p>
        </w:tc>
        <w:tc>
          <w:tcPr>
            <w:tcW w:w="1276" w:type="dxa"/>
            <w:gridSpan w:val="2"/>
            <w:tcBorders>
              <w:top w:val="single" w:color="auto" w:sz="4" w:space="0"/>
              <w:left w:val="single" w:color="auto" w:sz="4" w:space="0"/>
              <w:right w:val="single" w:color="auto" w:sz="4" w:space="0"/>
            </w:tcBorders>
          </w:tcPr>
          <w:p>
            <w:pPr>
              <w:widowControl/>
              <w:spacing w:before="100" w:beforeAutospacing="1" w:after="100" w:afterAutospacing="1" w:line="276" w:lineRule="auto"/>
              <w:jc w:val="center"/>
              <w:rPr>
                <w:rFonts w:ascii="宋体" w:hAnsi="宋体" w:cs="宋体"/>
                <w:szCs w:val="21"/>
              </w:rPr>
            </w:pPr>
            <w:r>
              <w:rPr>
                <w:rFonts w:hint="eastAsia" w:ascii="宋体" w:hAnsi="宋体" w:cs="宋体"/>
                <w:szCs w:val="21"/>
              </w:rPr>
              <w:t>0.45%</w:t>
            </w:r>
          </w:p>
        </w:tc>
        <w:tc>
          <w:tcPr>
            <w:tcW w:w="1275" w:type="dxa"/>
            <w:tcBorders>
              <w:top w:val="single" w:color="auto" w:sz="4" w:space="0"/>
              <w:left w:val="single" w:color="auto" w:sz="4" w:space="0"/>
              <w:right w:val="single" w:color="auto" w:sz="4" w:space="0"/>
            </w:tcBorders>
          </w:tcPr>
          <w:p>
            <w:pPr>
              <w:widowControl/>
              <w:spacing w:before="100" w:beforeAutospacing="1" w:after="100" w:afterAutospacing="1" w:line="276" w:lineRule="auto"/>
              <w:jc w:val="center"/>
              <w:rPr>
                <w:rFonts w:ascii="宋体" w:hAnsi="宋体" w:cs="宋体"/>
                <w:szCs w:val="21"/>
              </w:rPr>
            </w:pPr>
            <w:r>
              <w:rPr>
                <w:rFonts w:hint="eastAsia" w:ascii="宋体" w:hAnsi="宋体" w:cs="宋体"/>
                <w:szCs w:val="21"/>
              </w:rPr>
              <w:t>0.55%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8"/>
              </w:rPr>
            </w:pPr>
            <w:r>
              <w:rPr>
                <w:rFonts w:hint="eastAsia" w:ascii="宋体" w:hAnsi="宋体"/>
                <w:b/>
                <w:szCs w:val="28"/>
              </w:rPr>
              <w:t>（3）</w:t>
            </w:r>
          </w:p>
        </w:tc>
        <w:tc>
          <w:tcPr>
            <w:tcW w:w="2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招标代理服务费支付方式</w:t>
            </w:r>
          </w:p>
        </w:tc>
        <w:tc>
          <w:tcPr>
            <w:tcW w:w="610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宋体" w:hAnsi="宋体"/>
                <w:szCs w:val="21"/>
              </w:rPr>
            </w:pPr>
            <w:r>
              <w:rPr>
                <w:rFonts w:hint="eastAsia" w:ascii="宋体" w:hAnsi="宋体"/>
                <w:szCs w:val="21"/>
              </w:rPr>
              <w:t>由中标人向采购代理机构支付中标服务费、需求论证费和评标过程中可能产生的各项费用，中标单位须在领取中标通知书前一次性支付。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8"/>
              </w:rPr>
            </w:pPr>
            <w:r>
              <w:rPr>
                <w:rFonts w:hint="eastAsia" w:ascii="宋体" w:hAnsi="宋体"/>
                <w:b/>
                <w:szCs w:val="28"/>
              </w:rPr>
              <w:t>（4）</w:t>
            </w:r>
          </w:p>
        </w:tc>
        <w:tc>
          <w:tcPr>
            <w:tcW w:w="2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szCs w:val="21"/>
                <w:lang w:val="en-GB"/>
              </w:rPr>
              <w:t>统一结算</w:t>
            </w:r>
            <w:r>
              <w:rPr>
                <w:rFonts w:hint="eastAsia" w:ascii="宋体" w:hAnsi="宋体"/>
                <w:szCs w:val="21"/>
              </w:rPr>
              <w:t>币种</w:t>
            </w:r>
          </w:p>
        </w:tc>
        <w:tc>
          <w:tcPr>
            <w:tcW w:w="6102"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Cs w:val="21"/>
              </w:rPr>
            </w:pPr>
            <w:r>
              <w:rPr>
                <w:rFonts w:hint="eastAsia" w:ascii="宋体" w:hAnsi="宋体"/>
                <w:szCs w:val="21"/>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8"/>
              </w:rPr>
            </w:pPr>
            <w:r>
              <w:rPr>
                <w:rFonts w:hint="eastAsia" w:ascii="宋体" w:hAnsi="宋体"/>
                <w:b/>
                <w:szCs w:val="28"/>
              </w:rPr>
              <w:t>（5）</w:t>
            </w:r>
          </w:p>
        </w:tc>
        <w:tc>
          <w:tcPr>
            <w:tcW w:w="2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投标文件数量</w:t>
            </w:r>
          </w:p>
        </w:tc>
        <w:tc>
          <w:tcPr>
            <w:tcW w:w="6102"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szCs w:val="21"/>
              </w:rPr>
            </w:pPr>
            <w:r>
              <w:rPr>
                <w:rFonts w:hint="eastAsia" w:ascii="宋体" w:hAnsi="宋体"/>
                <w:szCs w:val="21"/>
              </w:rPr>
              <w:t>资格审查文件两份（一份正本、两份副本）、商务及技术文件五份（一份正本、四份副本）、唱标信封一份（包含法定代表人证明书、法定代表人授权委托书（法人亲自参与可不提供）、报价一览表和投标函）、电子文件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
                <w:szCs w:val="28"/>
              </w:rPr>
            </w:pPr>
            <w:r>
              <w:rPr>
                <w:rFonts w:hint="eastAsia" w:ascii="宋体" w:hAnsi="宋体"/>
                <w:b/>
                <w:szCs w:val="28"/>
              </w:rPr>
              <w:t>（6）</w:t>
            </w:r>
          </w:p>
        </w:tc>
        <w:tc>
          <w:tcPr>
            <w:tcW w:w="23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开标时间</w:t>
            </w:r>
          </w:p>
        </w:tc>
        <w:tc>
          <w:tcPr>
            <w:tcW w:w="6102"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highlight w:val="yellow"/>
              </w:rPr>
            </w:pPr>
            <w:r>
              <w:rPr>
                <w:rFonts w:hint="eastAsia" w:ascii="宋体"/>
                <w:bCs/>
              </w:rPr>
              <w:t>2023年11月20日9时00分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tcBorders>
              <w:top w:val="single" w:color="auto" w:sz="4" w:space="0"/>
              <w:left w:val="single" w:color="auto" w:sz="4" w:space="0"/>
              <w:right w:val="single" w:color="auto" w:sz="4" w:space="0"/>
            </w:tcBorders>
            <w:vAlign w:val="center"/>
          </w:tcPr>
          <w:p>
            <w:pPr>
              <w:spacing w:line="276" w:lineRule="auto"/>
              <w:jc w:val="center"/>
              <w:rPr>
                <w:rFonts w:ascii="宋体" w:hAnsi="宋体"/>
                <w:b/>
                <w:szCs w:val="28"/>
              </w:rPr>
            </w:pPr>
            <w:r>
              <w:rPr>
                <w:rFonts w:hint="eastAsia" w:ascii="宋体" w:hAnsi="宋体"/>
                <w:b/>
                <w:szCs w:val="28"/>
              </w:rPr>
              <w:t>（7）</w:t>
            </w:r>
          </w:p>
        </w:tc>
        <w:tc>
          <w:tcPr>
            <w:tcW w:w="2339" w:type="dxa"/>
            <w:tcBorders>
              <w:top w:val="single" w:color="auto" w:sz="4" w:space="0"/>
              <w:left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b/>
                <w:bCs/>
                <w:szCs w:val="21"/>
              </w:rPr>
              <w:t>投标限价</w:t>
            </w:r>
          </w:p>
        </w:tc>
        <w:tc>
          <w:tcPr>
            <w:tcW w:w="6102" w:type="dxa"/>
            <w:gridSpan w:val="6"/>
            <w:tcBorders>
              <w:top w:val="single" w:color="auto" w:sz="4" w:space="0"/>
              <w:left w:val="single" w:color="auto" w:sz="4" w:space="0"/>
              <w:right w:val="single" w:color="auto" w:sz="4" w:space="0"/>
            </w:tcBorders>
            <w:vAlign w:val="center"/>
          </w:tcPr>
          <w:p>
            <w:pPr>
              <w:spacing w:line="276" w:lineRule="auto"/>
              <w:jc w:val="center"/>
              <w:rPr>
                <w:rFonts w:ascii="宋体" w:hAnsi="宋体"/>
                <w:b/>
                <w:bCs/>
                <w:szCs w:val="21"/>
              </w:rPr>
            </w:pPr>
            <w:r>
              <w:rPr>
                <w:rFonts w:hint="eastAsia" w:ascii="宋体" w:hAnsi="宋体"/>
                <w:b/>
                <w:bCs/>
                <w:szCs w:val="21"/>
              </w:rPr>
              <w:t>￥236.25万元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b/>
                <w:szCs w:val="28"/>
              </w:rPr>
            </w:pPr>
            <w:r>
              <w:rPr>
                <w:rFonts w:hint="eastAsia" w:ascii="宋体" w:hAnsi="宋体"/>
                <w:b/>
                <w:szCs w:val="28"/>
              </w:rPr>
              <w:t>（8）</w:t>
            </w:r>
          </w:p>
        </w:tc>
        <w:tc>
          <w:tcPr>
            <w:tcW w:w="2339" w:type="dxa"/>
            <w:vMerge w:val="restart"/>
            <w:tcBorders>
              <w:top w:val="single" w:color="auto" w:sz="4" w:space="0"/>
              <w:left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评审方法</w:t>
            </w:r>
          </w:p>
        </w:tc>
        <w:tc>
          <w:tcPr>
            <w:tcW w:w="6102"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综合评分法（</w:t>
            </w:r>
            <w:r>
              <w:rPr>
                <w:rFonts w:ascii="宋体" w:hAnsi="宋体"/>
                <w:szCs w:val="21"/>
              </w:rPr>
              <w:t>100%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0" w:type="dxa"/>
            <w:vMerge w:val="continue"/>
            <w:tcBorders>
              <w:left w:val="single" w:color="auto" w:sz="4" w:space="0"/>
              <w:right w:val="single" w:color="auto" w:sz="4" w:space="0"/>
            </w:tcBorders>
            <w:vAlign w:val="center"/>
          </w:tcPr>
          <w:p>
            <w:pPr>
              <w:widowControl/>
              <w:spacing w:line="276" w:lineRule="auto"/>
              <w:jc w:val="center"/>
              <w:rPr>
                <w:rFonts w:ascii="宋体" w:hAnsi="宋体"/>
                <w:szCs w:val="21"/>
              </w:rPr>
            </w:pPr>
          </w:p>
        </w:tc>
        <w:tc>
          <w:tcPr>
            <w:tcW w:w="2339" w:type="dxa"/>
            <w:vMerge w:val="continue"/>
            <w:tcBorders>
              <w:left w:val="single" w:color="auto" w:sz="4" w:space="0"/>
              <w:right w:val="single" w:color="auto" w:sz="4" w:space="0"/>
            </w:tcBorders>
            <w:vAlign w:val="center"/>
          </w:tcPr>
          <w:p>
            <w:pPr>
              <w:widowControl/>
              <w:spacing w:line="276" w:lineRule="auto"/>
              <w:jc w:val="left"/>
              <w:rPr>
                <w:rFonts w:ascii="宋体" w:hAnsi="宋体"/>
                <w:szCs w:val="21"/>
              </w:rPr>
            </w:pPr>
          </w:p>
        </w:tc>
        <w:tc>
          <w:tcPr>
            <w:tcW w:w="203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技术权重45</w:t>
            </w:r>
            <w:r>
              <w:rPr>
                <w:rFonts w:ascii="宋体" w:hAnsi="宋体"/>
                <w:szCs w:val="21"/>
              </w:rPr>
              <w:t>%</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商务权重45</w:t>
            </w:r>
            <w:r>
              <w:rPr>
                <w:rFonts w:ascii="宋体" w:hAnsi="宋体"/>
                <w:szCs w:val="21"/>
              </w:rPr>
              <w:t>%</w:t>
            </w:r>
          </w:p>
        </w:tc>
        <w:tc>
          <w:tcPr>
            <w:tcW w:w="180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zCs w:val="21"/>
              </w:rPr>
            </w:pPr>
            <w:r>
              <w:rPr>
                <w:rFonts w:hint="eastAsia" w:ascii="宋体" w:hAnsi="宋体"/>
                <w:szCs w:val="21"/>
              </w:rPr>
              <w:t>价格权重10</w:t>
            </w:r>
            <w:r>
              <w:rPr>
                <w:rFonts w:ascii="宋体" w:hAnsi="宋体"/>
                <w:szCs w:val="21"/>
              </w:rPr>
              <w:t>%</w:t>
            </w:r>
          </w:p>
        </w:tc>
      </w:tr>
    </w:tbl>
    <w:p>
      <w:pPr>
        <w:rPr>
          <w:b/>
        </w:rPr>
      </w:pPr>
      <w:r>
        <w:rPr>
          <w:rFonts w:hint="eastAsia"/>
          <w:b/>
        </w:rPr>
        <w:br w:type="page"/>
      </w:r>
    </w:p>
    <w:p>
      <w:pPr>
        <w:pStyle w:val="41"/>
        <w:widowControl w:val="0"/>
        <w:spacing w:before="0" w:beforeAutospacing="0" w:after="0" w:afterAutospacing="0" w:line="360" w:lineRule="auto"/>
        <w:rPr>
          <w:b/>
          <w:sz w:val="22"/>
        </w:rPr>
      </w:pPr>
      <w:r>
        <w:rPr>
          <w:rFonts w:hint="eastAsia"/>
          <w:b/>
        </w:rPr>
        <w:t>投标人须知</w:t>
      </w:r>
    </w:p>
    <w:p>
      <w:pPr>
        <w:spacing w:line="360" w:lineRule="auto"/>
        <w:ind w:firstLine="422" w:firstLineChars="200"/>
        <w:rPr>
          <w:rFonts w:ascii="宋体" w:hAnsi="宋体" w:cs="Arial"/>
          <w:b/>
        </w:rPr>
      </w:pPr>
      <w:r>
        <w:rPr>
          <w:rFonts w:hint="eastAsia" w:ascii="宋体" w:hAnsi="宋体" w:cs="Arial"/>
          <w:b/>
        </w:rPr>
        <w:t>投标人必须认真阅读以下内容，以免造成投标失败。</w:t>
      </w:r>
    </w:p>
    <w:p>
      <w:pPr>
        <w:spacing w:line="360" w:lineRule="auto"/>
        <w:ind w:firstLine="422" w:firstLineChars="200"/>
        <w:rPr>
          <w:rFonts w:ascii="宋体" w:hAnsi="宋体"/>
          <w:b/>
        </w:rPr>
      </w:pPr>
    </w:p>
    <w:p>
      <w:pPr>
        <w:pStyle w:val="4"/>
        <w:adjustRightInd/>
        <w:spacing w:before="62" w:after="62"/>
        <w:textAlignment w:val="auto"/>
        <w:rPr>
          <w:sz w:val="22"/>
          <w:szCs w:val="28"/>
        </w:rPr>
      </w:pPr>
      <w:bookmarkStart w:id="19" w:name="_Toc184442574"/>
      <w:bookmarkStart w:id="20" w:name="_Toc29800"/>
      <w:r>
        <w:rPr>
          <w:rFonts w:hint="eastAsia"/>
          <w:sz w:val="22"/>
          <w:szCs w:val="28"/>
        </w:rPr>
        <w:t>一、总体说明</w:t>
      </w:r>
      <w:bookmarkEnd w:id="19"/>
      <w:bookmarkEnd w:id="20"/>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21" w:name="_Toc9540"/>
      <w:r>
        <w:rPr>
          <w:rFonts w:hint="eastAsia"/>
          <w:sz w:val="21"/>
        </w:rPr>
        <w:t>采购</w:t>
      </w:r>
      <w:r>
        <w:rPr>
          <w:sz w:val="21"/>
        </w:rPr>
        <w:t>适用范围</w:t>
      </w:r>
      <w:bookmarkEnd w:id="21"/>
    </w:p>
    <w:p>
      <w:pPr>
        <w:spacing w:line="380" w:lineRule="exact"/>
        <w:ind w:firstLine="420" w:firstLineChars="200"/>
        <w:rPr>
          <w:rFonts w:ascii="宋体" w:hAnsi="宋体"/>
        </w:rPr>
      </w:pPr>
      <w:r>
        <w:rPr>
          <w:rFonts w:hint="eastAsia" w:ascii="宋体" w:hAnsi="宋体"/>
        </w:rPr>
        <w:t>本招标文件仅适用于本次投标邀请中所叙述的服务采购。本次采购采用一次报价一次评标定标的方式，投标人的报价必须固定，且只能作一个最有竞争力的报价和方案，否则将作无效投标处理。</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22" w:name="_Toc27397"/>
      <w:r>
        <w:rPr>
          <w:rFonts w:hint="eastAsia"/>
          <w:sz w:val="21"/>
        </w:rPr>
        <w:t>采购</w:t>
      </w:r>
      <w:r>
        <w:rPr>
          <w:sz w:val="21"/>
        </w:rPr>
        <w:t>适用法律</w:t>
      </w:r>
      <w:bookmarkEnd w:id="22"/>
    </w:p>
    <w:p>
      <w:pPr>
        <w:spacing w:line="380" w:lineRule="exact"/>
        <w:ind w:firstLine="420" w:firstLineChars="200"/>
        <w:rPr>
          <w:rFonts w:ascii="宋体" w:hAnsi="宋体"/>
          <w:lang w:val="en-GB"/>
        </w:rPr>
      </w:pPr>
      <w:r>
        <w:rPr>
          <w:rFonts w:hint="eastAsia" w:ascii="宋体" w:hAnsi="宋体"/>
          <w:lang w:val="en-GB"/>
        </w:rPr>
        <w:t>本次</w:t>
      </w:r>
      <w:r>
        <w:rPr>
          <w:rFonts w:hint="eastAsia" w:ascii="宋体" w:hAnsi="宋体"/>
        </w:rPr>
        <w:t>采购</w:t>
      </w:r>
      <w:r>
        <w:rPr>
          <w:rFonts w:hint="eastAsia" w:ascii="宋体" w:hAnsi="宋体"/>
          <w:lang w:val="en-GB"/>
        </w:rPr>
        <w:t>适用的主要法律法规为《中华人民共和国政府采购法》及国家和地方政府采购相关法规。</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23" w:name="_Toc28145"/>
      <w:r>
        <w:rPr>
          <w:rFonts w:hint="eastAsia"/>
          <w:sz w:val="21"/>
        </w:rPr>
        <w:t>采购</w:t>
      </w:r>
      <w:r>
        <w:rPr>
          <w:sz w:val="21"/>
        </w:rPr>
        <w:t>内容</w:t>
      </w:r>
      <w:bookmarkEnd w:id="23"/>
    </w:p>
    <w:p>
      <w:pPr>
        <w:spacing w:line="380" w:lineRule="exact"/>
        <w:ind w:firstLine="420" w:firstLineChars="200"/>
        <w:rPr>
          <w:rFonts w:ascii="宋体" w:hAnsi="宋体"/>
        </w:rPr>
      </w:pPr>
      <w:r>
        <w:rPr>
          <w:rFonts w:hint="eastAsia" w:ascii="宋体" w:hAnsi="宋体"/>
        </w:rPr>
        <w:t>本次采购的内容为确定国家税务总局阳江高新技术产业开发区税务局物业管理服务项目的供应商（具体采购内容见采购需求书）。</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24" w:name="_Toc4368"/>
      <w:r>
        <w:rPr>
          <w:sz w:val="21"/>
        </w:rPr>
        <w:t>关于投标</w:t>
      </w:r>
      <w:bookmarkEnd w:id="24"/>
    </w:p>
    <w:p>
      <w:pPr>
        <w:numPr>
          <w:ilvl w:val="2"/>
          <w:numId w:val="5"/>
        </w:numPr>
        <w:tabs>
          <w:tab w:val="left" w:pos="-5220"/>
          <w:tab w:val="left" w:pos="780"/>
        </w:tabs>
        <w:spacing w:line="380" w:lineRule="exact"/>
        <w:rPr>
          <w:rFonts w:ascii="宋体" w:hAnsi="宋体"/>
        </w:rPr>
      </w:pPr>
      <w:r>
        <w:rPr>
          <w:rFonts w:hint="eastAsia" w:ascii="宋体" w:hAnsi="宋体"/>
        </w:rPr>
        <w:t>具有投标邀请中所述资质的中华人民共和国的法人或其他组织均为合格的投标人。</w:t>
      </w:r>
    </w:p>
    <w:p>
      <w:pPr>
        <w:numPr>
          <w:ilvl w:val="2"/>
          <w:numId w:val="5"/>
        </w:numPr>
        <w:tabs>
          <w:tab w:val="left" w:pos="-5220"/>
          <w:tab w:val="left" w:pos="780"/>
        </w:tabs>
        <w:spacing w:line="380" w:lineRule="exact"/>
        <w:rPr>
          <w:rFonts w:ascii="宋体" w:hAnsi="宋体"/>
        </w:rPr>
      </w:pPr>
      <w:r>
        <w:rPr>
          <w:rFonts w:hint="eastAsia" w:ascii="宋体" w:hAnsi="宋体"/>
        </w:rPr>
        <w:t>投标人必须按《中华人民共和国政府采购法》及国家和地方政府采购相关法规的规定进行投标。</w:t>
      </w:r>
    </w:p>
    <w:p>
      <w:pPr>
        <w:tabs>
          <w:tab w:val="left" w:pos="-5220"/>
        </w:tabs>
        <w:spacing w:line="380" w:lineRule="exact"/>
        <w:ind w:firstLine="420" w:firstLineChars="200"/>
        <w:rPr>
          <w:rFonts w:ascii="宋体" w:hAnsi="宋体"/>
        </w:rPr>
      </w:pPr>
      <w:r>
        <w:rPr>
          <w:rFonts w:hint="eastAsia" w:ascii="宋体" w:hAnsi="宋体"/>
        </w:rPr>
        <w:t>3、单位负责人为同一人或者存在直接控股、管理关系的不同投标人，不得参加同一合同项下的政府采购活动。</w:t>
      </w:r>
    </w:p>
    <w:p>
      <w:pPr>
        <w:tabs>
          <w:tab w:val="left" w:pos="-5220"/>
        </w:tabs>
        <w:spacing w:line="380" w:lineRule="exact"/>
        <w:ind w:firstLine="420" w:firstLineChars="200"/>
        <w:rPr>
          <w:rFonts w:ascii="宋体" w:hAnsi="宋体"/>
        </w:rPr>
      </w:pPr>
      <w:r>
        <w:rPr>
          <w:rFonts w:hint="eastAsia" w:ascii="宋体" w:hAnsi="宋体"/>
        </w:rPr>
        <w:t>4、除单一来源采购项目外，为采购项目提供整体设计、规范编制或者项目管理、监理、检测等服务的投标人，不得再参加该采购项目的其他采购活动。</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25" w:name="_Toc27327"/>
      <w:r>
        <w:rPr>
          <w:sz w:val="21"/>
        </w:rPr>
        <w:t>关于投标费用</w:t>
      </w:r>
      <w:bookmarkEnd w:id="25"/>
    </w:p>
    <w:p>
      <w:pPr>
        <w:spacing w:line="380" w:lineRule="exact"/>
        <w:ind w:firstLine="420" w:firstLineChars="200"/>
        <w:rPr>
          <w:rFonts w:ascii="宋体" w:hAnsi="宋体"/>
          <w:lang w:val="en-GB"/>
        </w:rPr>
      </w:pPr>
      <w:r>
        <w:rPr>
          <w:rFonts w:hint="eastAsia" w:ascii="宋体" w:hAnsi="宋体"/>
        </w:rPr>
        <w:t>不论投标的结果如何，投标人应承担所有与其参加本次投标活动有关的费用</w:t>
      </w:r>
      <w:r>
        <w:rPr>
          <w:rFonts w:hint="eastAsia" w:ascii="宋体" w:hAnsi="宋体"/>
          <w:lang w:val="en-GB"/>
        </w:rPr>
        <w:t>。</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26" w:name="_Toc131"/>
      <w:r>
        <w:rPr>
          <w:sz w:val="21"/>
        </w:rPr>
        <w:t>定义</w:t>
      </w:r>
      <w:bookmarkEnd w:id="26"/>
    </w:p>
    <w:p>
      <w:pPr>
        <w:numPr>
          <w:ilvl w:val="2"/>
          <w:numId w:val="5"/>
        </w:numPr>
        <w:tabs>
          <w:tab w:val="left" w:pos="-5220"/>
          <w:tab w:val="left" w:pos="-4320"/>
          <w:tab w:val="left" w:pos="780"/>
        </w:tabs>
        <w:spacing w:line="380" w:lineRule="exact"/>
        <w:ind w:left="840" w:hanging="480"/>
        <w:rPr>
          <w:rFonts w:ascii="宋体" w:hAnsi="宋体"/>
        </w:rPr>
      </w:pPr>
      <w:r>
        <w:rPr>
          <w:rFonts w:hint="eastAsia" w:ascii="宋体" w:hAnsi="宋体"/>
        </w:rPr>
        <w:t>“招标人”系指依法进行政府采购的国家机关、事业单位、团体组织，本项目的招标人是国家税务总局阳江高新技术产业开发区税务局。</w:t>
      </w:r>
    </w:p>
    <w:p>
      <w:pPr>
        <w:numPr>
          <w:ilvl w:val="2"/>
          <w:numId w:val="5"/>
        </w:numPr>
        <w:tabs>
          <w:tab w:val="left" w:pos="-5220"/>
          <w:tab w:val="left" w:pos="-4320"/>
          <w:tab w:val="left" w:pos="780"/>
        </w:tabs>
        <w:spacing w:line="380" w:lineRule="exact"/>
        <w:ind w:left="840" w:hanging="480"/>
        <w:rPr>
          <w:rFonts w:ascii="宋体" w:hAnsi="宋体"/>
        </w:rPr>
      </w:pPr>
      <w:r>
        <w:rPr>
          <w:rFonts w:hint="eastAsia" w:ascii="宋体" w:hAnsi="宋体"/>
        </w:rPr>
        <w:t>“业主</w:t>
      </w:r>
      <w:r>
        <w:rPr>
          <w:rFonts w:ascii="宋体" w:hAnsi="宋体"/>
        </w:rPr>
        <w:t>/</w:t>
      </w:r>
      <w:r>
        <w:rPr>
          <w:rFonts w:hint="eastAsia" w:ascii="宋体" w:hAnsi="宋体"/>
        </w:rPr>
        <w:t>用户”系指本采购项目的最终使用单位，本项目的业主</w:t>
      </w:r>
      <w:r>
        <w:rPr>
          <w:rFonts w:ascii="宋体" w:hAnsi="宋体"/>
        </w:rPr>
        <w:t>/</w:t>
      </w:r>
      <w:r>
        <w:rPr>
          <w:rFonts w:hint="eastAsia" w:ascii="宋体" w:hAnsi="宋体"/>
        </w:rPr>
        <w:t>用户是国家税务总局阳江高新技术产业开发区税务局。</w:t>
      </w:r>
    </w:p>
    <w:p>
      <w:pPr>
        <w:numPr>
          <w:ilvl w:val="2"/>
          <w:numId w:val="5"/>
        </w:numPr>
        <w:tabs>
          <w:tab w:val="left" w:pos="-5220"/>
          <w:tab w:val="left" w:pos="-4320"/>
          <w:tab w:val="left" w:pos="780"/>
        </w:tabs>
        <w:spacing w:line="380" w:lineRule="exact"/>
        <w:ind w:left="840" w:hanging="480"/>
        <w:rPr>
          <w:rFonts w:ascii="宋体" w:hAnsi="宋体"/>
        </w:rPr>
      </w:pPr>
      <w:r>
        <w:rPr>
          <w:rFonts w:hint="eastAsia" w:ascii="宋体" w:hAnsi="宋体"/>
        </w:rPr>
        <w:t>“采购代理机构</w:t>
      </w:r>
      <w:r>
        <w:rPr>
          <w:rFonts w:ascii="宋体" w:hAnsi="宋体"/>
        </w:rPr>
        <w:t>”</w:t>
      </w:r>
      <w:r>
        <w:rPr>
          <w:rFonts w:hint="eastAsia" w:ascii="宋体" w:hAnsi="宋体"/>
        </w:rPr>
        <w:t>系指广东国达工程项目咨询有限公司。</w:t>
      </w:r>
    </w:p>
    <w:p>
      <w:pPr>
        <w:numPr>
          <w:ilvl w:val="2"/>
          <w:numId w:val="5"/>
        </w:numPr>
        <w:tabs>
          <w:tab w:val="left" w:pos="-5220"/>
          <w:tab w:val="left" w:pos="-4320"/>
          <w:tab w:val="left" w:pos="780"/>
        </w:tabs>
        <w:spacing w:line="380" w:lineRule="exact"/>
        <w:ind w:left="840" w:hanging="480"/>
        <w:rPr>
          <w:rFonts w:ascii="宋体" w:hAnsi="宋体"/>
        </w:rPr>
      </w:pPr>
      <w:r>
        <w:rPr>
          <w:rFonts w:hint="eastAsia" w:ascii="宋体" w:hAnsi="宋体"/>
        </w:rPr>
        <w:t>“投标人”系指向采购代理机构提交投标文件的合格供应商。</w:t>
      </w:r>
    </w:p>
    <w:p>
      <w:pPr>
        <w:numPr>
          <w:ilvl w:val="2"/>
          <w:numId w:val="5"/>
        </w:numPr>
        <w:tabs>
          <w:tab w:val="left" w:pos="-5220"/>
          <w:tab w:val="left" w:pos="-4320"/>
          <w:tab w:val="left" w:pos="780"/>
        </w:tabs>
        <w:spacing w:line="380" w:lineRule="exact"/>
        <w:ind w:left="840" w:hanging="480"/>
        <w:rPr>
          <w:rFonts w:ascii="宋体" w:hAnsi="宋体"/>
        </w:rPr>
      </w:pPr>
      <w:r>
        <w:rPr>
          <w:rFonts w:hint="eastAsia" w:ascii="宋体" w:hAnsi="宋体"/>
        </w:rPr>
        <w:t>“中标单位”系指经评标委员会评审推荐、招标人确认的获得本项目中标资格的投标人。</w:t>
      </w:r>
    </w:p>
    <w:p>
      <w:pPr>
        <w:numPr>
          <w:ilvl w:val="2"/>
          <w:numId w:val="5"/>
        </w:numPr>
        <w:tabs>
          <w:tab w:val="left" w:pos="-5220"/>
          <w:tab w:val="left" w:pos="-4320"/>
          <w:tab w:val="left" w:pos="780"/>
        </w:tabs>
        <w:spacing w:line="380" w:lineRule="exact"/>
        <w:ind w:left="840" w:hanging="480"/>
        <w:rPr>
          <w:rFonts w:ascii="宋体" w:hAnsi="宋体"/>
        </w:rPr>
      </w:pPr>
      <w:r>
        <w:rPr>
          <w:rFonts w:hint="eastAsia" w:ascii="宋体" w:hAnsi="宋体"/>
        </w:rPr>
        <w:t>“实质性响应”系指符合招标文件的所有要求、条款、条件和规定，且没有不利于项目实施质量效果和服务保障的重大偏离或保留。</w:t>
      </w:r>
    </w:p>
    <w:p>
      <w:pPr>
        <w:numPr>
          <w:ilvl w:val="2"/>
          <w:numId w:val="5"/>
        </w:numPr>
        <w:tabs>
          <w:tab w:val="left" w:pos="-5220"/>
          <w:tab w:val="left" w:pos="-4320"/>
          <w:tab w:val="left" w:pos="780"/>
        </w:tabs>
        <w:spacing w:line="380" w:lineRule="exact"/>
        <w:ind w:left="840" w:hanging="480"/>
        <w:rPr>
          <w:rFonts w:ascii="宋体" w:hAnsi="宋体"/>
        </w:rPr>
      </w:pPr>
      <w:r>
        <w:rPr>
          <w:rFonts w:hint="eastAsia" w:ascii="宋体" w:hAnsi="宋体"/>
        </w:rPr>
        <w:t>“重大偏离或保留”系指影响到招标文件规定的范围、质量和性能或限制了招标人的权力和投标人义务的规定，而纠正这些偏离将影响到其它投标人的公平竞争地位。</w:t>
      </w:r>
    </w:p>
    <w:p>
      <w:pPr>
        <w:numPr>
          <w:ilvl w:val="2"/>
          <w:numId w:val="5"/>
        </w:numPr>
        <w:tabs>
          <w:tab w:val="left" w:pos="-5220"/>
          <w:tab w:val="left" w:pos="-4320"/>
          <w:tab w:val="left" w:pos="780"/>
        </w:tabs>
        <w:spacing w:line="380" w:lineRule="exact"/>
        <w:ind w:left="840" w:hanging="480"/>
        <w:rPr>
          <w:rFonts w:ascii="宋体" w:hAnsi="宋体"/>
        </w:rPr>
      </w:pPr>
      <w:r>
        <w:rPr>
          <w:rFonts w:hint="eastAsia" w:ascii="宋体" w:hAnsi="宋体"/>
        </w:rPr>
        <w:t>本招标文件所涉及的日期时间，没有特别说明时系指北京时间，天数为日历日。</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27" w:name="_Toc21234"/>
      <w:r>
        <w:rPr>
          <w:sz w:val="21"/>
        </w:rPr>
        <w:t>合格的</w:t>
      </w:r>
      <w:r>
        <w:rPr>
          <w:rFonts w:hint="eastAsia"/>
          <w:sz w:val="21"/>
        </w:rPr>
        <w:t>货物和</w:t>
      </w:r>
      <w:r>
        <w:rPr>
          <w:sz w:val="21"/>
        </w:rPr>
        <w:t>服务</w:t>
      </w:r>
      <w:bookmarkEnd w:id="27"/>
    </w:p>
    <w:p>
      <w:pPr>
        <w:numPr>
          <w:ilvl w:val="2"/>
          <w:numId w:val="5"/>
        </w:numPr>
        <w:tabs>
          <w:tab w:val="left" w:pos="-5220"/>
          <w:tab w:val="left" w:pos="780"/>
        </w:tabs>
        <w:spacing w:line="380" w:lineRule="exact"/>
        <w:ind w:left="840" w:hanging="480"/>
        <w:rPr>
          <w:rFonts w:ascii="宋体" w:hAnsi="宋体"/>
        </w:rPr>
      </w:pPr>
      <w:r>
        <w:rPr>
          <w:rFonts w:hint="eastAsia" w:ascii="宋体" w:hAnsi="宋体" w:cs="宋体"/>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2"/>
          <w:numId w:val="5"/>
        </w:numPr>
        <w:tabs>
          <w:tab w:val="left" w:pos="-5220"/>
          <w:tab w:val="left" w:pos="780"/>
        </w:tabs>
        <w:spacing w:line="380" w:lineRule="exact"/>
        <w:ind w:left="840" w:hanging="480"/>
        <w:rPr>
          <w:rFonts w:ascii="宋体" w:hAnsi="宋体"/>
        </w:rPr>
      </w:pPr>
      <w:r>
        <w:rPr>
          <w:rFonts w:hint="eastAsia" w:ascii="宋体" w:hAnsi="宋体" w:cs="宋体"/>
        </w:rPr>
        <w:t>“服务”是指投标人须承担的运输、安装、技术支持、培训以及招标文件规定的其它伴随服务。</w:t>
      </w:r>
    </w:p>
    <w:p>
      <w:pPr>
        <w:numPr>
          <w:ilvl w:val="2"/>
          <w:numId w:val="5"/>
        </w:numPr>
        <w:tabs>
          <w:tab w:val="left" w:pos="-5220"/>
          <w:tab w:val="left" w:pos="780"/>
        </w:tabs>
        <w:spacing w:line="380" w:lineRule="exact"/>
        <w:ind w:left="840" w:hanging="480"/>
        <w:rPr>
          <w:rFonts w:ascii="宋体" w:hAnsi="宋体"/>
        </w:rPr>
      </w:pPr>
      <w:r>
        <w:rPr>
          <w:rFonts w:hint="eastAsia" w:ascii="宋体" w:hAnsi="宋体" w:cs="宋体"/>
        </w:rPr>
        <w:t>本项目允许采购本国产品或者不属于国家法律法规政策明确规定限制的进口产品（</w:t>
      </w:r>
      <w:r>
        <w:rPr>
          <w:rFonts w:hint="eastAsia" w:ascii="宋体" w:hAnsi="宋体"/>
        </w:rPr>
        <w:t>本文件所称进口产品是指通过中国海关报关验放进入中国境内且产自关境外的产品）</w:t>
      </w:r>
      <w:r>
        <w:rPr>
          <w:rFonts w:hint="eastAsia" w:ascii="宋体" w:hAnsi="宋体" w:cs="宋体"/>
        </w:rPr>
        <w:t xml:space="preserve">。 </w:t>
      </w:r>
    </w:p>
    <w:p>
      <w:pPr>
        <w:numPr>
          <w:ilvl w:val="2"/>
          <w:numId w:val="5"/>
        </w:numPr>
        <w:tabs>
          <w:tab w:val="left" w:pos="-5220"/>
          <w:tab w:val="left" w:pos="780"/>
        </w:tabs>
        <w:spacing w:line="380" w:lineRule="exact"/>
        <w:ind w:left="840" w:hanging="480"/>
        <w:rPr>
          <w:rFonts w:ascii="宋体" w:hAnsi="宋体"/>
        </w:rPr>
      </w:pPr>
      <w:r>
        <w:rPr>
          <w:rFonts w:hint="eastAsia" w:ascii="宋体" w:hAnsi="宋体"/>
        </w:rPr>
        <w:t>招标人将拒绝接受不合格的货物及服务，并有权不予支付任何费用，同时保留追究相关责任的权利。</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28" w:name="_Toc27615"/>
      <w:r>
        <w:rPr>
          <w:sz w:val="21"/>
        </w:rPr>
        <w:t>知识产权</w:t>
      </w:r>
      <w:bookmarkEnd w:id="28"/>
    </w:p>
    <w:p>
      <w:pPr>
        <w:spacing w:line="380" w:lineRule="exact"/>
        <w:ind w:firstLine="420" w:firstLineChars="200"/>
        <w:rPr>
          <w:rFonts w:ascii="宋体" w:hAnsi="宋体"/>
          <w:lang w:val="en-GB"/>
        </w:rPr>
      </w:pPr>
      <w:r>
        <w:rPr>
          <w:rFonts w:hint="eastAsia" w:ascii="宋体" w:hAnsi="宋体"/>
          <w:lang w:val="en-GB"/>
        </w:rPr>
        <w:t>投标人必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29" w:name="_Toc19990"/>
      <w:r>
        <w:rPr>
          <w:sz w:val="21"/>
        </w:rPr>
        <w:t>纪律与保密事项</w:t>
      </w:r>
      <w:bookmarkEnd w:id="29"/>
    </w:p>
    <w:p>
      <w:pPr>
        <w:spacing w:line="380" w:lineRule="exact"/>
        <w:ind w:firstLine="420" w:firstLineChars="200"/>
        <w:rPr>
          <w:rFonts w:ascii="宋体" w:hAnsi="宋体"/>
        </w:rPr>
      </w:pPr>
      <w:r>
        <w:rPr>
          <w:rFonts w:hint="eastAsia" w:ascii="宋体" w:hAnsi="宋体"/>
        </w:rPr>
        <w:t>投标人不得相互串通投标报价，不得妨碍其他投标人的公平竞争，不得损害招标人或其他投标人的合法权益，投标人不得以向招标人、评标委员会成员行贿或者采取其他不正当手段谋取中标。除投标人被要求对投标文件进行澄清外，在确定中标人之前，投标人不得与招标人就投标价格、中标人案等实质性内容进行谈判，也不得私下接触评标委员会成员。在确定中标人之前，投标人试图在投标文件审查、澄清、比较和评价时对评标委员会、招标人和采购代理机构施加任何影响都可能导致其投标文件被拒绝。获得本招标文件者，不得将招标文件用作本次投标以外的任何用途，若有要求，开标后，投标人应归还招标文件中的保密的文件和资料。由招标人向投标人提供的图纸、详细资料、样品、模型、模件和所有其他资料，被视为保密资料，仅被用于它所规定的用途。除非得到招标人的同意，不能向任何第三方透露。开标结束后，应招标人要求，投标人应归还所有从招标人处获得的保密资料。</w:t>
      </w:r>
    </w:p>
    <w:p>
      <w:pPr>
        <w:pStyle w:val="4"/>
        <w:adjustRightInd/>
        <w:spacing w:before="62" w:after="62"/>
        <w:textAlignment w:val="auto"/>
        <w:rPr>
          <w:sz w:val="22"/>
          <w:szCs w:val="28"/>
        </w:rPr>
      </w:pPr>
      <w:bookmarkStart w:id="30" w:name="_Toc18283"/>
      <w:r>
        <w:rPr>
          <w:rFonts w:hint="eastAsia"/>
          <w:sz w:val="22"/>
          <w:szCs w:val="28"/>
        </w:rPr>
        <w:t>二、招标文件</w:t>
      </w:r>
      <w:bookmarkEnd w:id="30"/>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31" w:name="_Toc18097"/>
      <w:r>
        <w:rPr>
          <w:sz w:val="21"/>
        </w:rPr>
        <w:t>关于</w:t>
      </w:r>
      <w:r>
        <w:rPr>
          <w:rFonts w:hint="eastAsia"/>
          <w:sz w:val="21"/>
        </w:rPr>
        <w:t>招标文件</w:t>
      </w:r>
      <w:bookmarkEnd w:id="31"/>
    </w:p>
    <w:p>
      <w:pPr>
        <w:spacing w:line="380" w:lineRule="exact"/>
        <w:ind w:firstLine="420" w:firstLineChars="200"/>
        <w:rPr>
          <w:rFonts w:ascii="宋体" w:hAnsi="宋体"/>
        </w:rPr>
      </w:pPr>
      <w:r>
        <w:rPr>
          <w:rFonts w:hint="eastAsia" w:ascii="宋体" w:hAnsi="宋体"/>
        </w:rPr>
        <w:t>招标文件是招标人作为阐明所需服务的基本要求，招标文件、投标文件、评标结果、合同书和相关承诺确认文件均作为任何一方当事人履约的重要依据。</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32" w:name="_Toc25984"/>
      <w:r>
        <w:rPr>
          <w:rFonts w:hint="eastAsia"/>
          <w:sz w:val="21"/>
        </w:rPr>
        <w:t>招标文件</w:t>
      </w:r>
      <w:r>
        <w:rPr>
          <w:sz w:val="21"/>
        </w:rPr>
        <w:t>的组成</w:t>
      </w:r>
      <w:bookmarkEnd w:id="32"/>
    </w:p>
    <w:p>
      <w:pPr>
        <w:numPr>
          <w:ilvl w:val="2"/>
          <w:numId w:val="5"/>
        </w:numPr>
        <w:tabs>
          <w:tab w:val="left" w:pos="-5220"/>
        </w:tabs>
        <w:spacing w:line="380" w:lineRule="exact"/>
        <w:rPr>
          <w:rFonts w:ascii="宋体" w:hAnsi="宋体"/>
        </w:rPr>
      </w:pPr>
      <w:r>
        <w:rPr>
          <w:rFonts w:hint="eastAsia" w:ascii="宋体" w:hAnsi="宋体"/>
        </w:rPr>
        <w:t>投标邀请</w:t>
      </w:r>
    </w:p>
    <w:p>
      <w:pPr>
        <w:numPr>
          <w:ilvl w:val="2"/>
          <w:numId w:val="5"/>
        </w:numPr>
        <w:tabs>
          <w:tab w:val="left" w:pos="-5220"/>
        </w:tabs>
        <w:spacing w:line="380" w:lineRule="exact"/>
        <w:rPr>
          <w:rFonts w:ascii="宋体" w:hAnsi="宋体"/>
        </w:rPr>
      </w:pPr>
      <w:r>
        <w:rPr>
          <w:rFonts w:hint="eastAsia" w:ascii="宋体" w:hAnsi="宋体"/>
        </w:rPr>
        <w:t>投标人须知</w:t>
      </w:r>
    </w:p>
    <w:p>
      <w:pPr>
        <w:numPr>
          <w:ilvl w:val="2"/>
          <w:numId w:val="5"/>
        </w:numPr>
        <w:tabs>
          <w:tab w:val="left" w:pos="-5220"/>
        </w:tabs>
        <w:spacing w:line="380" w:lineRule="exact"/>
        <w:rPr>
          <w:rFonts w:ascii="宋体" w:hAnsi="宋体"/>
        </w:rPr>
      </w:pPr>
      <w:r>
        <w:rPr>
          <w:rFonts w:hint="eastAsia" w:ascii="宋体" w:hAnsi="宋体"/>
        </w:rPr>
        <w:t>招标人需求书</w:t>
      </w:r>
    </w:p>
    <w:p>
      <w:pPr>
        <w:numPr>
          <w:ilvl w:val="2"/>
          <w:numId w:val="5"/>
        </w:numPr>
        <w:tabs>
          <w:tab w:val="left" w:pos="-5220"/>
        </w:tabs>
        <w:spacing w:line="380" w:lineRule="exact"/>
        <w:rPr>
          <w:rFonts w:ascii="宋体" w:hAnsi="宋体"/>
        </w:rPr>
      </w:pPr>
      <w:r>
        <w:rPr>
          <w:rFonts w:hint="eastAsia" w:ascii="宋体" w:hAnsi="宋体"/>
        </w:rPr>
        <w:t>合同文本</w:t>
      </w:r>
    </w:p>
    <w:p>
      <w:pPr>
        <w:numPr>
          <w:ilvl w:val="2"/>
          <w:numId w:val="5"/>
        </w:numPr>
        <w:tabs>
          <w:tab w:val="left" w:pos="-5220"/>
        </w:tabs>
        <w:spacing w:line="380" w:lineRule="exact"/>
        <w:rPr>
          <w:rFonts w:ascii="宋体" w:hAnsi="宋体"/>
        </w:rPr>
      </w:pPr>
      <w:r>
        <w:rPr>
          <w:rFonts w:hint="eastAsia" w:ascii="宋体" w:hAnsi="宋体"/>
        </w:rPr>
        <w:t>附件（格式）</w:t>
      </w:r>
    </w:p>
    <w:p>
      <w:pPr>
        <w:numPr>
          <w:ilvl w:val="2"/>
          <w:numId w:val="5"/>
        </w:numPr>
        <w:tabs>
          <w:tab w:val="left" w:pos="-5220"/>
        </w:tabs>
        <w:spacing w:line="380" w:lineRule="exact"/>
        <w:rPr>
          <w:rFonts w:ascii="宋体" w:hAnsi="宋体"/>
        </w:rPr>
      </w:pPr>
      <w:r>
        <w:rPr>
          <w:rFonts w:hint="eastAsia" w:ascii="宋体" w:hAnsi="宋体"/>
        </w:rPr>
        <w:t>评标细则</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33" w:name="_Toc22494"/>
      <w:r>
        <w:rPr>
          <w:rFonts w:hint="eastAsia"/>
          <w:sz w:val="21"/>
        </w:rPr>
        <w:t>招标文件</w:t>
      </w:r>
      <w:r>
        <w:rPr>
          <w:sz w:val="21"/>
        </w:rPr>
        <w:t>的澄清和修改</w:t>
      </w:r>
      <w:bookmarkEnd w:id="33"/>
    </w:p>
    <w:p>
      <w:pPr>
        <w:spacing w:line="380" w:lineRule="exact"/>
        <w:ind w:firstLine="420" w:firstLineChars="200"/>
        <w:rPr>
          <w:rFonts w:ascii="宋体" w:hAnsi="宋体"/>
        </w:rPr>
      </w:pPr>
      <w:r>
        <w:rPr>
          <w:rFonts w:hint="eastAsia" w:ascii="宋体" w:hAnsi="宋体"/>
        </w:rPr>
        <w:t>投标人如对招标文件有任何疑问，均应在投标文件递交截止日十五天前以书面形式（包括书面文字、电传、传真、电报等，应加盖公章）向采购代理机构提出澄清要求。</w:t>
      </w:r>
    </w:p>
    <w:p>
      <w:pPr>
        <w:spacing w:line="380" w:lineRule="exact"/>
        <w:ind w:firstLine="420" w:firstLineChars="200"/>
        <w:rPr>
          <w:rFonts w:ascii="宋体" w:hAnsi="宋体"/>
        </w:rPr>
      </w:pPr>
      <w:r>
        <w:rPr>
          <w:rFonts w:hint="eastAsia" w:ascii="宋体" w:hAnsi="宋体"/>
        </w:rPr>
        <w:t>对招标文件进行必要的澄清修改或对投标人澄清要求的回复，采购代理机构将视情况确定采用适当方式予以澄清或以书面形式予以答复，并在其认为必要时，将不标明询问来源的书面答复发送给每个投标报名登记的投标人；投标人在收到澄清或修改通知后24小时内应立即以书面形式（应加盖公章）予以确认，逾期不提交书面确认的，视为已确认。</w:t>
      </w:r>
    </w:p>
    <w:p>
      <w:pPr>
        <w:spacing w:line="380" w:lineRule="exact"/>
        <w:ind w:firstLine="420" w:firstLineChars="200"/>
        <w:rPr>
          <w:rFonts w:ascii="宋体" w:hAnsi="宋体"/>
        </w:rPr>
      </w:pPr>
      <w:r>
        <w:rPr>
          <w:rFonts w:hint="eastAsia" w:ascii="宋体" w:hAnsi="宋体"/>
        </w:rPr>
        <w:t>招标过程中的一切修改文件或补充文件一旦确认后与招标文件具有同等法律效力，投标人有责任履行相应的义务。</w:t>
      </w:r>
    </w:p>
    <w:p>
      <w:pPr>
        <w:spacing w:line="380" w:lineRule="exact"/>
        <w:ind w:firstLine="420" w:firstLineChars="200"/>
        <w:rPr>
          <w:rFonts w:ascii="宋体" w:hAnsi="宋体"/>
        </w:rPr>
      </w:pPr>
      <w:r>
        <w:rPr>
          <w:rFonts w:hint="eastAsia" w:ascii="宋体" w:hAnsi="宋体"/>
        </w:rPr>
        <w:t>为使潜在投标人有合理的时间理解招标文件的修改，采购代理机构可酌情推迟投标截止日期和开标时间。</w:t>
      </w:r>
    </w:p>
    <w:p>
      <w:pPr>
        <w:pStyle w:val="4"/>
        <w:adjustRightInd/>
        <w:spacing w:before="62" w:after="62"/>
        <w:textAlignment w:val="auto"/>
        <w:rPr>
          <w:sz w:val="22"/>
          <w:szCs w:val="28"/>
        </w:rPr>
      </w:pPr>
      <w:bookmarkStart w:id="34" w:name="_Toc184442576"/>
      <w:bookmarkStart w:id="35" w:name="_Toc21631"/>
      <w:r>
        <w:rPr>
          <w:rFonts w:hint="eastAsia"/>
          <w:sz w:val="22"/>
          <w:szCs w:val="28"/>
        </w:rPr>
        <w:t>三、投标总则</w:t>
      </w:r>
      <w:bookmarkEnd w:id="34"/>
      <w:bookmarkEnd w:id="35"/>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36" w:name="_Toc7883"/>
      <w:r>
        <w:rPr>
          <w:sz w:val="21"/>
        </w:rPr>
        <w:t>投标文件的编写</w:t>
      </w:r>
      <w:bookmarkEnd w:id="36"/>
    </w:p>
    <w:p>
      <w:pPr>
        <w:spacing w:line="380" w:lineRule="exact"/>
        <w:ind w:firstLine="420" w:firstLineChars="200"/>
        <w:rPr>
          <w:rFonts w:ascii="宋体" w:hAnsi="宋体"/>
        </w:rPr>
      </w:pPr>
      <w:r>
        <w:rPr>
          <w:rFonts w:hint="eastAsia" w:ascii="宋体" w:hAnsi="宋体"/>
        </w:rPr>
        <w:t>投标人应仔细阅读招标文件的所有内容，并按招标文件的规定及附件要求的内容和格式，提交完整的投标文件，并保证所提供全部资料的真实性，所有不完整的投标将被拒绝。</w:t>
      </w:r>
    </w:p>
    <w:p>
      <w:pPr>
        <w:spacing w:line="380" w:lineRule="exact"/>
        <w:ind w:firstLine="420" w:firstLineChars="200"/>
        <w:rPr>
          <w:rFonts w:ascii="宋体" w:hAnsi="宋体"/>
        </w:rPr>
      </w:pPr>
      <w:r>
        <w:rPr>
          <w:rFonts w:hint="eastAsia" w:ascii="宋体" w:hAnsi="宋体"/>
        </w:rPr>
        <w:t>投标文件和来往函件应用中文书写，投标人提供的支持文件、技术资料和印刷的文献可以用其它语言，但相应内容应附有中文翻译本，以中文为准，计量单位应使用国际公制单位。</w:t>
      </w:r>
    </w:p>
    <w:p>
      <w:pPr>
        <w:spacing w:line="380" w:lineRule="exact"/>
        <w:ind w:firstLine="420" w:firstLineChars="200"/>
        <w:rPr>
          <w:rFonts w:ascii="宋体" w:hAnsi="宋体"/>
        </w:rPr>
      </w:pPr>
      <w:r>
        <w:rPr>
          <w:rFonts w:hint="eastAsia" w:ascii="宋体" w:hAnsi="宋体"/>
        </w:rPr>
        <w:t>投标人投标总价是以投标人可独立完成本项目，并在通过准确核算后，可满足预期实施效果、验收标准和符合自身合法利益的前提下所作出的综合性合理最终含税报价，对在投标文件和合同书中未有明确列述、中标人案设计遗漏失误、市场剧变、汇率、利率因素和不可预见的费用等均视为已完全考虑到并包括在投标总价之内。投标人应自行增加项目正常、合法、安全运行及使用所必需但招标文件没有列明或包含的内容及费用，并在投标文件中加以详细说明，如果投标人在中标并签署合同后，在提供招标范围内的货物及服务工作中出现的任何遗漏，均由中标人免费提供，招标人将不再支付任何费用。对超出常规、具有特别意义或会引起竞争非议的报价须作出特别说明。</w:t>
      </w:r>
    </w:p>
    <w:p>
      <w:pPr>
        <w:spacing w:line="380" w:lineRule="exact"/>
        <w:ind w:firstLine="422" w:firstLineChars="200"/>
        <w:rPr>
          <w:rFonts w:ascii="宋体" w:hAnsi="宋体"/>
          <w:b/>
        </w:rPr>
      </w:pPr>
      <w:r>
        <w:rPr>
          <w:rFonts w:hint="eastAsia" w:ascii="宋体" w:hAnsi="宋体"/>
          <w:b/>
        </w:rPr>
        <w:t>招标文件中，如标有“</w:t>
      </w:r>
      <w:r>
        <w:rPr>
          <w:rFonts w:hint="eastAsia"/>
          <w:b/>
        </w:rPr>
        <w:t>★</w:t>
      </w:r>
      <w:r>
        <w:rPr>
          <w:rFonts w:hint="eastAsia" w:ascii="宋体" w:hAnsi="宋体"/>
          <w:b/>
        </w:rPr>
        <w:t>”的地方均为必须完全满足指标，投标人须进行实质性响应，投标人若有一项带“</w:t>
      </w:r>
      <w:r>
        <w:rPr>
          <w:rFonts w:hint="eastAsia"/>
          <w:b/>
        </w:rPr>
        <w:t>★</w:t>
      </w:r>
      <w:r>
        <w:rPr>
          <w:rFonts w:hint="eastAsia" w:ascii="宋体" w:hAnsi="宋体"/>
          <w:b/>
        </w:rPr>
        <w:t>”的条款未响应或不满足，将按无效投标处理。</w:t>
      </w:r>
    </w:p>
    <w:p>
      <w:pPr>
        <w:spacing w:line="380" w:lineRule="exact"/>
        <w:ind w:firstLine="422" w:firstLineChars="200"/>
        <w:rPr>
          <w:rFonts w:ascii="宋体" w:hAnsi="宋体"/>
          <w:b/>
        </w:rPr>
      </w:pPr>
      <w:r>
        <w:rPr>
          <w:rFonts w:hint="eastAsia" w:ascii="宋体" w:hAnsi="宋体"/>
          <w:b/>
        </w:rPr>
        <w:t>招标文件中，如标有“</w:t>
      </w:r>
      <w:r>
        <w:rPr>
          <w:rFonts w:hint="eastAsia" w:ascii="宋体" w:hAnsi="宋体" w:cs="宋体"/>
        </w:rPr>
        <w:t>▲</w:t>
      </w:r>
      <w:r>
        <w:rPr>
          <w:rFonts w:hint="eastAsia" w:ascii="宋体" w:hAnsi="宋体"/>
          <w:b/>
        </w:rPr>
        <w:t>”的地方均为重要参数和指标要求条款，投标人若有部分“</w:t>
      </w:r>
      <w:r>
        <w:rPr>
          <w:rFonts w:hint="eastAsia" w:ascii="宋体" w:hAnsi="宋体" w:cs="宋体"/>
        </w:rPr>
        <w:t>▲</w:t>
      </w:r>
      <w:r>
        <w:rPr>
          <w:rFonts w:hint="eastAsia" w:ascii="宋体" w:hAnsi="宋体"/>
          <w:b/>
        </w:rPr>
        <w:t>”条款未响应或不满足，将导致其响应性评审严重扣分；投标人若全部“</w:t>
      </w:r>
      <w:r>
        <w:rPr>
          <w:rFonts w:hint="eastAsia" w:ascii="宋体" w:hAnsi="宋体" w:cs="宋体"/>
        </w:rPr>
        <w:t>▲</w:t>
      </w:r>
      <w:r>
        <w:rPr>
          <w:rFonts w:hint="eastAsia" w:ascii="宋体" w:hAnsi="宋体"/>
          <w:b/>
        </w:rPr>
        <w:t>”条款未响应或不满足，将视为其投标不满足招标文件要求。</w:t>
      </w:r>
    </w:p>
    <w:p>
      <w:pPr>
        <w:spacing w:line="380" w:lineRule="exact"/>
        <w:ind w:firstLine="420" w:firstLineChars="200"/>
        <w:rPr>
          <w:rFonts w:ascii="宋体" w:hAnsi="宋体"/>
        </w:rPr>
      </w:pPr>
      <w:r>
        <w:rPr>
          <w:rFonts w:hint="eastAsia" w:ascii="宋体" w:hAnsi="宋体"/>
        </w:rPr>
        <w:t>投标人应对投标内容提供完整的、详细的、清晰的技术说明，如投标人对指定的技术要求建议做任何改动，应在投标文件中清楚地注明；投标人对招标文件的对应要求应当给予唯一的实质性响应，否则将视为不响应。技术参数要求中标注有具体数值要求的，投标人必须在服务响应表中标注实际数值，不标注数值者视为不响应。</w:t>
      </w:r>
    </w:p>
    <w:p>
      <w:pPr>
        <w:spacing w:line="380" w:lineRule="exact"/>
        <w:ind w:firstLine="420" w:firstLineChars="200"/>
        <w:rPr>
          <w:rFonts w:ascii="宋体" w:hAnsi="宋体"/>
        </w:rPr>
      </w:pPr>
      <w:r>
        <w:rPr>
          <w:rFonts w:hint="eastAsia" w:ascii="宋体" w:hAnsi="宋体"/>
        </w:rPr>
        <w:t>投标人响应招标需求应具体、明确，含糊不清、不确切、直接复制招标需求指标要求的或伪造、变造证明材料的，按照不完全响应或完全不响应处理。构成提供虚假材料的，移送监管部门查处。</w:t>
      </w:r>
    </w:p>
    <w:p>
      <w:pPr>
        <w:spacing w:line="380" w:lineRule="exact"/>
        <w:ind w:firstLine="420" w:firstLineChars="200"/>
        <w:rPr>
          <w:rFonts w:ascii="宋体" w:hAnsi="宋体"/>
        </w:rPr>
      </w:pPr>
      <w:r>
        <w:rPr>
          <w:rFonts w:hint="eastAsia" w:ascii="宋体" w:hAnsi="宋体"/>
        </w:rPr>
        <w:t>投标人对招标文件的商务合同不允许实质性偏离，否则将视为不响应。</w:t>
      </w:r>
    </w:p>
    <w:p>
      <w:pPr>
        <w:spacing w:line="380" w:lineRule="exact"/>
        <w:ind w:firstLine="420" w:firstLineChars="200"/>
        <w:rPr>
          <w:rFonts w:ascii="宋体" w:hAnsi="宋体"/>
        </w:rPr>
      </w:pPr>
      <w:r>
        <w:rPr>
          <w:rFonts w:hint="eastAsia" w:ascii="宋体" w:hAnsi="宋体"/>
        </w:rPr>
        <w:t>投标文件按规定加盖的投标人公章必须为企业法人公章，且与投标人名称一致，不能以其它业务章或附属机构章代替。需签名之处必须由法定代表人或投标授权代表签署。</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37" w:name="_Toc7452"/>
      <w:r>
        <w:rPr>
          <w:sz w:val="21"/>
        </w:rPr>
        <w:t>投标文件的组成</w:t>
      </w:r>
      <w:bookmarkEnd w:id="37"/>
    </w:p>
    <w:p>
      <w:pPr>
        <w:spacing w:line="380" w:lineRule="exact"/>
        <w:ind w:firstLine="420" w:firstLineChars="200"/>
        <w:rPr>
          <w:rFonts w:ascii="宋体" w:hAnsi="宋体"/>
        </w:rPr>
      </w:pPr>
      <w:r>
        <w:rPr>
          <w:rFonts w:hint="eastAsia" w:ascii="宋体" w:hAnsi="宋体"/>
        </w:rPr>
        <w:t>投标文件由技术商务部分、资格证明部分和唱标信封构成。</w:t>
      </w:r>
    </w:p>
    <w:p>
      <w:pPr>
        <w:spacing w:line="380" w:lineRule="exact"/>
        <w:ind w:firstLine="420" w:firstLineChars="200"/>
        <w:rPr>
          <w:rFonts w:ascii="宋体" w:hAnsi="宋体"/>
        </w:rPr>
      </w:pPr>
      <w:r>
        <w:rPr>
          <w:rFonts w:hint="eastAsia" w:ascii="宋体" w:hAnsi="宋体"/>
        </w:rPr>
        <w:t>技术商务部分、资格证明部分须按照第五章的要求装订：技术商务部分和资格证明部分分别单独胶装成册。</w:t>
      </w:r>
    </w:p>
    <w:p>
      <w:pPr>
        <w:tabs>
          <w:tab w:val="left" w:pos="1261"/>
        </w:tabs>
        <w:spacing w:line="380" w:lineRule="exact"/>
        <w:ind w:left="360"/>
        <w:rPr>
          <w:rFonts w:ascii="宋体" w:hAnsi="宋体"/>
        </w:rPr>
      </w:pPr>
      <w:r>
        <w:rPr>
          <w:rFonts w:hint="eastAsia" w:ascii="宋体" w:hAnsi="宋体"/>
        </w:rPr>
        <w:t>唱标信封应按第五章的要求制作。</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38" w:name="_Toc30582"/>
      <w:r>
        <w:rPr>
          <w:sz w:val="21"/>
        </w:rPr>
        <w:t>投标</w:t>
      </w:r>
      <w:bookmarkEnd w:id="38"/>
    </w:p>
    <w:p>
      <w:pPr>
        <w:spacing w:line="380" w:lineRule="exact"/>
        <w:ind w:firstLine="420" w:firstLineChars="200"/>
        <w:rPr>
          <w:rFonts w:ascii="宋体" w:hAnsi="宋体"/>
          <w:b/>
          <w:u w:val="single"/>
        </w:rPr>
      </w:pPr>
      <w:r>
        <w:rPr>
          <w:rFonts w:hint="eastAsia" w:ascii="宋体" w:hAnsi="宋体"/>
        </w:rPr>
        <w:t>投标文件由资格审查文件、商务及技术文件组成，分2册独立胶装成册并分别密封在不透明的外层封装中，封面需按招标文件封面格式要求标注并加盖公章，并在每一份投标文件上明确标明 “正本”或“副本”。资格审查文件应一式两份，一正一副一起密封，在文件封面显著注明“资格审查文件”字样，并加盖公章和法定代表人或其委托代理人签名。商务及技术文件应一式五份，一正四副一起密封（同时内含投标文件电子版 1份，只限U盘，不留密码，无病毒，内容应与投标人打印产生的纸质投标文件内容一致，如有不同，以纸质投标文件为准。），在文件封面显著注明“商务及技术文件”字样，并加盖公章和法定代表人或其委托代理人签名。 副本内容可采用正本的复印件，如果正本与副本不符，应以正本为准。投标文件应由投标人的合法授权代表正式签署，任何更改（如有）应由原签署人签字。</w:t>
      </w:r>
      <w:r>
        <w:rPr>
          <w:rFonts w:hint="eastAsia" w:ascii="宋体" w:hAnsi="宋体"/>
          <w:b/>
          <w:u w:val="single"/>
        </w:rPr>
        <w:t>投标人提交投标文件时应备有一个“唱标信封”， 唱标信封内容包括：包含法定代表人证明书、法定代表人授权委托书（法人亲自参与可不提供）、报价一览表和投标函，“唱标信封内容格式”按要求制作（需要加盖公章和签字的地方缺一不可，否则作无效投标处理）。</w:t>
      </w:r>
    </w:p>
    <w:p>
      <w:pPr>
        <w:spacing w:line="380" w:lineRule="exact"/>
        <w:ind w:firstLine="420" w:firstLineChars="200"/>
        <w:rPr>
          <w:rFonts w:ascii="宋体" w:hAnsi="宋体"/>
        </w:rPr>
      </w:pPr>
      <w:r>
        <w:rPr>
          <w:rFonts w:hint="eastAsia" w:ascii="宋体" w:hAnsi="宋体"/>
        </w:rPr>
        <w:t>所有投标文件及样板（如有）应在投标截止时间前送达投标文件递交地点（时间及地点以第一章投标邀请为准），并当面交予采购代理机构专责人员，采购代理机构将拒绝以下情况之一的投标文件：</w:t>
      </w:r>
    </w:p>
    <w:p>
      <w:pPr>
        <w:numPr>
          <w:ilvl w:val="2"/>
          <w:numId w:val="5"/>
        </w:numPr>
        <w:tabs>
          <w:tab w:val="left" w:pos="-5220"/>
        </w:tabs>
        <w:spacing w:line="380" w:lineRule="exact"/>
        <w:ind w:left="0" w:firstLine="420" w:firstLineChars="200"/>
        <w:rPr>
          <w:rFonts w:ascii="宋体" w:hAnsi="宋体"/>
        </w:rPr>
      </w:pPr>
      <w:r>
        <w:rPr>
          <w:rFonts w:hint="eastAsia" w:ascii="宋体" w:hAnsi="宋体"/>
        </w:rPr>
        <w:t>迟于投标截止时间递交的；</w:t>
      </w:r>
    </w:p>
    <w:p>
      <w:pPr>
        <w:numPr>
          <w:ilvl w:val="2"/>
          <w:numId w:val="5"/>
        </w:numPr>
        <w:tabs>
          <w:tab w:val="left" w:pos="-5220"/>
        </w:tabs>
        <w:spacing w:line="380" w:lineRule="exact"/>
        <w:ind w:left="0" w:firstLine="420" w:firstLineChars="200"/>
        <w:rPr>
          <w:rFonts w:ascii="宋体" w:hAnsi="宋体"/>
        </w:rPr>
      </w:pPr>
      <w:r>
        <w:rPr>
          <w:rFonts w:hint="eastAsia" w:ascii="宋体" w:hAnsi="宋体"/>
        </w:rPr>
        <w:t>以电报、电话、电传、传真或邮递形式递交的；</w:t>
      </w:r>
    </w:p>
    <w:p>
      <w:pPr>
        <w:numPr>
          <w:ilvl w:val="2"/>
          <w:numId w:val="5"/>
        </w:numPr>
        <w:tabs>
          <w:tab w:val="left" w:pos="-5220"/>
        </w:tabs>
        <w:spacing w:line="380" w:lineRule="exact"/>
        <w:ind w:left="0" w:firstLine="420" w:firstLineChars="200"/>
        <w:rPr>
          <w:rFonts w:ascii="宋体" w:hAnsi="宋体"/>
        </w:rPr>
      </w:pPr>
      <w:r>
        <w:rPr>
          <w:rFonts w:hint="eastAsia" w:ascii="宋体" w:hAnsi="宋体"/>
        </w:rPr>
        <w:t>密封不严、册装不整的；</w:t>
      </w:r>
    </w:p>
    <w:p>
      <w:pPr>
        <w:spacing w:line="380" w:lineRule="exact"/>
        <w:ind w:firstLine="420" w:firstLineChars="200"/>
        <w:rPr>
          <w:rFonts w:ascii="宋体" w:hAnsi="宋体"/>
        </w:rPr>
      </w:pPr>
      <w:r>
        <w:rPr>
          <w:rFonts w:hint="eastAsia" w:ascii="宋体" w:hAnsi="宋体"/>
        </w:rPr>
        <w:t>所有投标文件必须封入密封的信封或包装，在封口上加盖投标人的公章或密封章，并在每一信封或包装的封面上明确写明：</w:t>
      </w:r>
    </w:p>
    <w:p/>
    <w:tbl>
      <w:tblPr>
        <w:tblStyle w:val="21"/>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380" w:lineRule="exact"/>
              <w:ind w:firstLine="420" w:firstLineChars="200"/>
              <w:rPr>
                <w:rFonts w:ascii="宋体" w:hAnsi="宋体"/>
              </w:rPr>
            </w:pPr>
            <w:r>
              <w:rPr>
                <w:rFonts w:hint="eastAsia" w:ascii="宋体" w:hAnsi="宋体"/>
              </w:rPr>
              <w:t>收件人名称：广东国达工程项目咨询有限公司</w:t>
            </w:r>
          </w:p>
          <w:p>
            <w:pPr>
              <w:spacing w:line="380" w:lineRule="exact"/>
              <w:ind w:firstLine="420" w:firstLineChars="200"/>
              <w:rPr>
                <w:rFonts w:ascii="宋体" w:hAnsi="宋体"/>
              </w:rPr>
            </w:pPr>
            <w:r>
              <w:rPr>
                <w:rFonts w:hint="eastAsia" w:ascii="宋体" w:hAnsi="宋体"/>
              </w:rPr>
              <w:t>项目编号：</w:t>
            </w:r>
          </w:p>
          <w:p>
            <w:pPr>
              <w:spacing w:line="380" w:lineRule="exact"/>
              <w:ind w:firstLine="420" w:firstLineChars="200"/>
              <w:rPr>
                <w:rFonts w:ascii="宋体" w:hAnsi="宋体" w:cs="宋体"/>
              </w:rPr>
            </w:pPr>
            <w:r>
              <w:rPr>
                <w:rFonts w:hint="eastAsia" w:ascii="宋体" w:hAnsi="宋体"/>
              </w:rPr>
              <w:t>项目名称：</w:t>
            </w:r>
          </w:p>
          <w:p>
            <w:pPr>
              <w:spacing w:line="380" w:lineRule="exact"/>
              <w:ind w:firstLine="420" w:firstLineChars="200"/>
              <w:rPr>
                <w:rFonts w:ascii="宋体" w:hAnsi="宋体"/>
              </w:rPr>
            </w:pPr>
            <w:r>
              <w:rPr>
                <w:rFonts w:hint="eastAsia" w:ascii="宋体" w:hAnsi="宋体"/>
              </w:rPr>
              <w:t>包装内容：资格审查文件</w:t>
            </w:r>
            <w:r>
              <w:rPr>
                <w:rFonts w:ascii="宋体" w:hAnsi="宋体"/>
              </w:rPr>
              <w:t>/</w:t>
            </w:r>
            <w:r>
              <w:rPr>
                <w:rFonts w:hint="eastAsia" w:ascii="宋体" w:hAnsi="宋体"/>
              </w:rPr>
              <w:t>商务及技术文件</w:t>
            </w:r>
            <w:r>
              <w:rPr>
                <w:rFonts w:ascii="宋体" w:hAnsi="宋体"/>
              </w:rPr>
              <w:t>/</w:t>
            </w:r>
            <w:r>
              <w:rPr>
                <w:rFonts w:hint="eastAsia" w:ascii="宋体" w:hAnsi="宋体"/>
              </w:rPr>
              <w:t>唱标信封</w:t>
            </w:r>
          </w:p>
          <w:p>
            <w:pPr>
              <w:spacing w:line="380" w:lineRule="exact"/>
              <w:ind w:firstLine="420" w:firstLineChars="200"/>
              <w:rPr>
                <w:rFonts w:ascii="宋体" w:hAnsi="宋体"/>
              </w:rPr>
            </w:pPr>
            <w:r>
              <w:rPr>
                <w:rFonts w:hint="eastAsia" w:ascii="宋体" w:hAnsi="宋体"/>
              </w:rPr>
              <w:t>投标人名称：</w:t>
            </w:r>
          </w:p>
          <w:p>
            <w:pPr>
              <w:spacing w:line="380" w:lineRule="exact"/>
              <w:ind w:firstLine="420" w:firstLineChars="200"/>
              <w:rPr>
                <w:rFonts w:ascii="宋体" w:hAnsi="宋体"/>
              </w:rPr>
            </w:pPr>
            <w:r>
              <w:rPr>
                <w:rFonts w:hint="eastAsia" w:ascii="宋体" w:hAnsi="宋体"/>
              </w:rPr>
              <w:t>投标人地址：</w:t>
            </w:r>
          </w:p>
          <w:p>
            <w:pPr>
              <w:spacing w:line="380" w:lineRule="exact"/>
              <w:ind w:firstLine="420" w:firstLineChars="200"/>
              <w:rPr>
                <w:rFonts w:ascii="宋体" w:hAnsi="宋体"/>
              </w:rPr>
            </w:pPr>
            <w:r>
              <w:rPr>
                <w:rFonts w:hint="eastAsia" w:ascii="宋体" w:hAnsi="宋体"/>
              </w:rPr>
              <w:t>联</w:t>
            </w:r>
            <w:r>
              <w:rPr>
                <w:rFonts w:ascii="宋体" w:hAnsi="宋体"/>
              </w:rPr>
              <w:t xml:space="preserve"> 系 人：</w:t>
            </w:r>
          </w:p>
          <w:p>
            <w:pPr>
              <w:spacing w:line="380" w:lineRule="exact"/>
              <w:ind w:firstLine="420" w:firstLineChars="200"/>
              <w:rPr>
                <w:rFonts w:ascii="宋体" w:hAnsi="宋体"/>
              </w:rPr>
            </w:pPr>
            <w:r>
              <w:rPr>
                <w:rFonts w:hint="eastAsia" w:ascii="宋体" w:hAnsi="宋体"/>
              </w:rPr>
              <w:t>联系电话：</w:t>
            </w:r>
          </w:p>
          <w:p>
            <w:pPr>
              <w:spacing w:line="380" w:lineRule="exact"/>
              <w:ind w:firstLine="420" w:firstLineChars="200"/>
              <w:rPr>
                <w:rFonts w:ascii="宋体" w:hAnsi="宋体"/>
              </w:rPr>
            </w:pPr>
            <w:r>
              <w:rPr>
                <w:rFonts w:hint="eastAsia" w:ascii="宋体" w:hAnsi="宋体"/>
              </w:rPr>
              <w:t>传真电话：</w:t>
            </w:r>
          </w:p>
          <w:p>
            <w:pPr>
              <w:spacing w:line="380" w:lineRule="exact"/>
              <w:ind w:firstLine="420" w:firstLineChars="200"/>
              <w:rPr>
                <w:rFonts w:ascii="宋体" w:hAnsi="宋体"/>
              </w:rPr>
            </w:pPr>
            <w:r>
              <w:rPr>
                <w:rFonts w:hint="eastAsia" w:ascii="宋体" w:hAnsi="宋体"/>
              </w:rPr>
              <w:t xml:space="preserve">在规定的开标时间    </w:t>
            </w:r>
            <w:r>
              <w:rPr>
                <w:rFonts w:ascii="宋体" w:hAnsi="宋体"/>
              </w:rPr>
              <w:t>年月日</w:t>
            </w:r>
            <w:r>
              <w:rPr>
                <w:rFonts w:hint="eastAsia" w:ascii="宋体" w:hAnsi="宋体"/>
              </w:rPr>
              <w:t xml:space="preserve">   时  分前不得启封</w:t>
            </w:r>
          </w:p>
        </w:tc>
      </w:tr>
    </w:tbl>
    <w:p>
      <w:pPr>
        <w:numPr>
          <w:ilvl w:val="2"/>
          <w:numId w:val="5"/>
        </w:numPr>
        <w:tabs>
          <w:tab w:val="left" w:pos="360"/>
          <w:tab w:val="left" w:pos="780"/>
          <w:tab w:val="left" w:pos="840"/>
        </w:tabs>
        <w:spacing w:line="380" w:lineRule="exact"/>
        <w:ind w:left="840" w:hanging="480"/>
        <w:rPr>
          <w:rFonts w:ascii="宋体" w:hAnsi="宋体"/>
        </w:rPr>
      </w:pPr>
      <w:r>
        <w:rPr>
          <w:rFonts w:hint="eastAsia" w:ascii="宋体" w:hAnsi="宋体"/>
        </w:rPr>
        <w:t>采购代理机构对不可抗力事件造成的投标文件的损坏、丢失不承担任何责任。</w:t>
      </w:r>
    </w:p>
    <w:p>
      <w:pPr>
        <w:numPr>
          <w:ilvl w:val="2"/>
          <w:numId w:val="5"/>
        </w:numPr>
        <w:tabs>
          <w:tab w:val="left" w:pos="360"/>
          <w:tab w:val="left" w:pos="780"/>
          <w:tab w:val="left" w:pos="840"/>
        </w:tabs>
        <w:spacing w:line="380" w:lineRule="exact"/>
        <w:ind w:left="840" w:hanging="480"/>
        <w:rPr>
          <w:rFonts w:ascii="宋体" w:hAnsi="宋体"/>
        </w:rPr>
      </w:pPr>
      <w:r>
        <w:rPr>
          <w:rFonts w:hint="eastAsia" w:ascii="宋体" w:hAnsi="宋体"/>
        </w:rPr>
        <w:t>采购代理机构不退还投标人的投标文件及递交的其它资料。</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39" w:name="_Toc25011"/>
      <w:r>
        <w:rPr>
          <w:sz w:val="21"/>
        </w:rPr>
        <w:t>投标有效期</w:t>
      </w:r>
      <w:bookmarkEnd w:id="39"/>
    </w:p>
    <w:p>
      <w:pPr>
        <w:spacing w:line="380" w:lineRule="exact"/>
        <w:ind w:firstLine="420" w:firstLineChars="200"/>
        <w:rPr>
          <w:rFonts w:ascii="宋体" w:hAnsi="宋体"/>
        </w:rPr>
      </w:pPr>
      <w:r>
        <w:rPr>
          <w:rFonts w:hint="eastAsia" w:ascii="宋体" w:hAnsi="宋体"/>
        </w:rPr>
        <w:t>从投标截止日起，投标有效期为90天，中标人的投标有效期自动延长至合同终止为止。在特殊情况下，采购代理机构可于投标有效期满之前要求投标人同意延长有效期，要求与答复均应以书面形式进行。投标人可以拒绝上述延长投标有效期的要求，其投标将会被拒绝；同意延期的投标人根据原截止期，其权利及责任相应也延至新的截止期。</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40" w:name="_Toc5886"/>
      <w:r>
        <w:rPr>
          <w:sz w:val="21"/>
        </w:rPr>
        <w:t>投标的修改和撤回</w:t>
      </w:r>
      <w:bookmarkEnd w:id="40"/>
    </w:p>
    <w:p>
      <w:pPr>
        <w:spacing w:line="380" w:lineRule="exact"/>
        <w:ind w:firstLine="420" w:firstLineChars="200"/>
        <w:rPr>
          <w:rFonts w:ascii="宋体" w:hAnsi="宋体"/>
        </w:rPr>
      </w:pPr>
      <w:r>
        <w:rPr>
          <w:rFonts w:hint="eastAsia" w:ascii="宋体" w:hAnsi="宋体"/>
        </w:rPr>
        <w:t>投标人在投标截止时间前，可采用书面通知的形式向采购代理机构修改或撤回其投标文件。</w:t>
      </w:r>
    </w:p>
    <w:p>
      <w:pPr>
        <w:spacing w:line="380" w:lineRule="exact"/>
        <w:ind w:firstLine="420" w:firstLineChars="200"/>
        <w:rPr>
          <w:rFonts w:ascii="宋体" w:hAnsi="宋体"/>
        </w:rPr>
      </w:pPr>
      <w:r>
        <w:rPr>
          <w:rFonts w:hint="eastAsia" w:ascii="宋体" w:hAnsi="宋体"/>
        </w:rPr>
        <w:t>在投标截止时间后，投标人不得对其投标文件作任何修改。在投标有效期内，投标人不得撤回其投标。</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41" w:name="_Toc20898"/>
      <w:r>
        <w:rPr>
          <w:sz w:val="21"/>
        </w:rPr>
        <w:t>开标</w:t>
      </w:r>
      <w:bookmarkEnd w:id="41"/>
    </w:p>
    <w:p>
      <w:pPr>
        <w:spacing w:line="380" w:lineRule="exact"/>
        <w:ind w:firstLine="420" w:firstLineChars="200"/>
        <w:rPr>
          <w:rFonts w:ascii="宋体" w:hAnsi="宋体"/>
        </w:rPr>
      </w:pPr>
      <w:r>
        <w:rPr>
          <w:rFonts w:hint="eastAsia" w:ascii="宋体" w:hAnsi="宋体"/>
        </w:rPr>
        <w:t>开标程序在招标文件确定的提交投标文件截止时间的同一时间公开进行，开标地点为招标文件预先确定的地点。</w:t>
      </w:r>
    </w:p>
    <w:p>
      <w:pPr>
        <w:spacing w:line="380" w:lineRule="exact"/>
        <w:ind w:firstLine="420" w:firstLineChars="200"/>
        <w:rPr>
          <w:rFonts w:ascii="宋体" w:hAnsi="宋体"/>
        </w:rPr>
      </w:pPr>
      <w:r>
        <w:rPr>
          <w:rFonts w:hint="eastAsia" w:ascii="宋体" w:hAnsi="宋体"/>
        </w:rPr>
        <w:t>开标由采购代理机构主持，招标人、投标人和有关方面代表参加。</w:t>
      </w:r>
    </w:p>
    <w:p>
      <w:pPr>
        <w:spacing w:line="380" w:lineRule="exact"/>
        <w:ind w:firstLine="420" w:firstLineChars="200"/>
        <w:rPr>
          <w:rFonts w:ascii="宋体" w:hAnsi="宋体"/>
        </w:rPr>
      </w:pPr>
      <w:r>
        <w:rPr>
          <w:rFonts w:hint="eastAsia" w:ascii="宋体" w:hAnsi="宋体"/>
        </w:rPr>
        <w:t>开标时，由投标人或者其推选的代表检查投标文件的密封情况，或由招标人委托的公证机构检查并公证；经确认无误后，由采购代理机构工作人员当众拆封，宣读投标人名称、投标报价、服务期和投标文件的其他主要内容。未宣读的投标价格和招标文件允许提供的备选中标人案等实质内容，评标时不予承认。</w:t>
      </w:r>
    </w:p>
    <w:p>
      <w:pPr>
        <w:spacing w:line="380" w:lineRule="exact"/>
        <w:ind w:firstLine="420" w:firstLineChars="200"/>
        <w:rPr>
          <w:rFonts w:ascii="宋体" w:hAnsi="宋体"/>
        </w:rPr>
      </w:pPr>
      <w:r>
        <w:rPr>
          <w:rFonts w:hint="eastAsia" w:ascii="宋体" w:hAnsi="宋体"/>
        </w:rPr>
        <w:t>投标文件报价出现前后不一致的，除招标文件另有规定外，按照下列规定修正：</w:t>
      </w:r>
    </w:p>
    <w:p>
      <w:pPr>
        <w:spacing w:line="380" w:lineRule="exact"/>
        <w:ind w:firstLine="420" w:firstLineChars="200"/>
        <w:rPr>
          <w:rFonts w:ascii="宋体" w:hAnsi="宋体"/>
        </w:rPr>
      </w:pPr>
      <w:r>
        <w:rPr>
          <w:rFonts w:hint="eastAsia" w:ascii="宋体" w:hAnsi="宋体"/>
        </w:rPr>
        <w:t>　　（一）投标文件中开标一览表（报价表）内容与投标文件中相应内容不一致的，以开标一览表（报价表）为准；</w:t>
      </w:r>
    </w:p>
    <w:p>
      <w:pPr>
        <w:spacing w:line="380" w:lineRule="exact"/>
        <w:ind w:firstLine="420" w:firstLineChars="200"/>
        <w:rPr>
          <w:rFonts w:ascii="宋体" w:hAnsi="宋体"/>
        </w:rPr>
      </w:pPr>
      <w:r>
        <w:rPr>
          <w:rFonts w:hint="eastAsia" w:ascii="宋体" w:hAnsi="宋体"/>
        </w:rPr>
        <w:t>　　（二）大写金额和小写金额不一致的，以大写金额为准；</w:t>
      </w:r>
    </w:p>
    <w:p>
      <w:pPr>
        <w:spacing w:line="380" w:lineRule="exact"/>
        <w:ind w:firstLine="420" w:firstLineChars="200"/>
        <w:rPr>
          <w:rFonts w:ascii="宋体" w:hAnsi="宋体"/>
        </w:rPr>
      </w:pPr>
      <w:r>
        <w:rPr>
          <w:rFonts w:hint="eastAsia" w:ascii="宋体" w:hAnsi="宋体"/>
        </w:rPr>
        <w:t>　　（三）单价金额小数点或者百分比有明显错位的，以开标一览表（报价表）的总价为准，并修改单价；</w:t>
      </w:r>
    </w:p>
    <w:p>
      <w:pPr>
        <w:spacing w:line="380" w:lineRule="exact"/>
        <w:ind w:firstLine="420" w:firstLineChars="200"/>
        <w:rPr>
          <w:rFonts w:ascii="宋体" w:hAnsi="宋体"/>
        </w:rPr>
      </w:pPr>
      <w:r>
        <w:rPr>
          <w:rFonts w:hint="eastAsia" w:ascii="宋体" w:hAnsi="宋体"/>
        </w:rPr>
        <w:t>　　（四）总价金额与按单价汇总金额不一致的，以单价金额计算结果为准。</w:t>
      </w:r>
    </w:p>
    <w:p>
      <w:pPr>
        <w:spacing w:line="380" w:lineRule="exact"/>
        <w:ind w:firstLine="420" w:firstLineChars="200"/>
        <w:rPr>
          <w:rFonts w:ascii="宋体" w:hAnsi="宋体"/>
        </w:rPr>
      </w:pPr>
      <w:r>
        <w:rPr>
          <w:rFonts w:hint="eastAsia" w:ascii="宋体" w:hAnsi="宋体"/>
        </w:rPr>
        <w:t>　　同时出现两种以上不一致的，按照前款规定的顺序修正。修正后的报价按照</w:t>
      </w:r>
      <w:r>
        <w:rPr>
          <w:rStyle w:val="40"/>
          <w:rFonts w:hint="eastAsia" w:ascii="宋体" w:hAnsi="宋体"/>
        </w:rPr>
        <w:t>《</w:t>
      </w:r>
      <w:r>
        <w:rPr>
          <w:rFonts w:hint="eastAsia" w:ascii="宋体" w:hAnsi="宋体"/>
        </w:rPr>
        <w:t>中华人民共和国财政部令第87号--政府采购货物和服务招标投标管理办法</w:t>
      </w:r>
      <w:r>
        <w:rPr>
          <w:rStyle w:val="40"/>
          <w:rFonts w:hint="eastAsia" w:ascii="宋体" w:hAnsi="宋体"/>
        </w:rPr>
        <w:t>》</w:t>
      </w:r>
      <w:r>
        <w:rPr>
          <w:rFonts w:hint="eastAsia" w:ascii="宋体" w:hAnsi="宋体"/>
        </w:rPr>
        <w:t>第五十一条第二款的规定经投标人确认后产生约束力，投标人不确认的，其投标无效。</w:t>
      </w:r>
    </w:p>
    <w:p>
      <w:pPr>
        <w:spacing w:line="380" w:lineRule="exact"/>
        <w:ind w:firstLine="420" w:firstLineChars="200"/>
        <w:rPr>
          <w:rFonts w:ascii="宋体" w:hAnsi="宋体"/>
        </w:rPr>
      </w:pPr>
      <w:r>
        <w:rPr>
          <w:rFonts w:hint="eastAsia" w:ascii="宋体" w:hAnsi="宋体"/>
        </w:rPr>
        <w:t>开标过程由采购代理机构专人负责记录，并存档备验。</w:t>
      </w:r>
    </w:p>
    <w:p>
      <w:pPr>
        <w:spacing w:line="380" w:lineRule="exact"/>
        <w:ind w:firstLine="420" w:firstLineChars="200"/>
        <w:rPr>
          <w:rFonts w:ascii="宋体" w:hAnsi="宋体"/>
        </w:rPr>
      </w:pPr>
      <w:r>
        <w:rPr>
          <w:rFonts w:hint="eastAsia" w:ascii="宋体" w:hAnsi="宋体"/>
        </w:rPr>
        <w:t>如开标记录表上内容与投标文件不一致时，投标人代表须当场提出。开标记录表由记录人、唱标人、投标人代表和有关人员签名确认。</w:t>
      </w:r>
    </w:p>
    <w:p>
      <w:pPr>
        <w:spacing w:line="380" w:lineRule="exact"/>
        <w:ind w:firstLine="420" w:firstLineChars="200"/>
        <w:rPr>
          <w:rFonts w:ascii="宋体" w:hAnsi="宋体"/>
        </w:rPr>
      </w:pPr>
      <w:r>
        <w:rPr>
          <w:rFonts w:hint="eastAsia" w:ascii="宋体" w:hAnsi="宋体"/>
        </w:rPr>
        <w:t>投标截止时间结束后参加投标的投标人不足三家的，招标人可以按照有关规定报告人民政府采购部门审批采用竞争性谈判、询价或者单一来源方式采购，也可以予以废标，依法重新组织招标。</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42" w:name="_Toc25341"/>
      <w:r>
        <w:rPr>
          <w:sz w:val="21"/>
        </w:rPr>
        <w:t>评标</w:t>
      </w:r>
      <w:bookmarkEnd w:id="42"/>
    </w:p>
    <w:p>
      <w:pPr>
        <w:spacing w:line="380" w:lineRule="exact"/>
        <w:ind w:firstLine="420" w:firstLineChars="200"/>
        <w:rPr>
          <w:rFonts w:ascii="宋体" w:hAnsi="宋体"/>
        </w:rPr>
      </w:pPr>
      <w:r>
        <w:rPr>
          <w:rFonts w:hint="eastAsia" w:ascii="宋体" w:hAnsi="宋体"/>
        </w:rPr>
        <w:t>评标工作由采购代理机构负责组织，具体评标事务由依法组建的评标委员会负责，并独立履行下列职责：</w:t>
      </w:r>
    </w:p>
    <w:p>
      <w:pPr>
        <w:numPr>
          <w:ilvl w:val="0"/>
          <w:numId w:val="6"/>
        </w:numPr>
        <w:tabs>
          <w:tab w:val="left" w:pos="1134"/>
          <w:tab w:val="clear" w:pos="1440"/>
        </w:tabs>
        <w:spacing w:line="380" w:lineRule="exact"/>
        <w:rPr>
          <w:rFonts w:ascii="宋体" w:hAnsi="宋体"/>
        </w:rPr>
      </w:pPr>
      <w:r>
        <w:rPr>
          <w:rFonts w:hint="eastAsia" w:ascii="宋体" w:hAnsi="宋体"/>
        </w:rPr>
        <w:t>审查投标文件是否符合招标文件要求，并作出评价；</w:t>
      </w:r>
    </w:p>
    <w:p>
      <w:pPr>
        <w:numPr>
          <w:ilvl w:val="0"/>
          <w:numId w:val="6"/>
        </w:numPr>
        <w:tabs>
          <w:tab w:val="left" w:pos="1134"/>
          <w:tab w:val="left" w:pos="1571"/>
          <w:tab w:val="clear" w:pos="1440"/>
        </w:tabs>
        <w:spacing w:line="380" w:lineRule="exact"/>
        <w:rPr>
          <w:rFonts w:ascii="宋体" w:hAnsi="宋体"/>
        </w:rPr>
      </w:pPr>
      <w:r>
        <w:rPr>
          <w:rFonts w:hint="eastAsia" w:ascii="宋体" w:hAnsi="宋体"/>
        </w:rPr>
        <w:t>要求投标人对投标文件有关事项作出解释或者澄清；</w:t>
      </w:r>
    </w:p>
    <w:p>
      <w:pPr>
        <w:numPr>
          <w:ilvl w:val="0"/>
          <w:numId w:val="6"/>
        </w:numPr>
        <w:tabs>
          <w:tab w:val="left" w:pos="1134"/>
          <w:tab w:val="left" w:pos="1571"/>
          <w:tab w:val="clear" w:pos="1440"/>
        </w:tabs>
        <w:spacing w:line="380" w:lineRule="exact"/>
        <w:rPr>
          <w:rFonts w:ascii="宋体" w:hAnsi="宋体"/>
        </w:rPr>
      </w:pPr>
      <w:r>
        <w:rPr>
          <w:rFonts w:hint="eastAsia" w:ascii="宋体" w:hAnsi="宋体"/>
        </w:rPr>
        <w:t>推荐中标候选人名单；</w:t>
      </w:r>
    </w:p>
    <w:p>
      <w:pPr>
        <w:numPr>
          <w:ilvl w:val="0"/>
          <w:numId w:val="6"/>
        </w:numPr>
        <w:tabs>
          <w:tab w:val="left" w:pos="1134"/>
          <w:tab w:val="left" w:pos="1571"/>
          <w:tab w:val="clear" w:pos="1440"/>
        </w:tabs>
        <w:spacing w:line="380" w:lineRule="exact"/>
        <w:rPr>
          <w:rFonts w:ascii="宋体" w:hAnsi="宋体"/>
        </w:rPr>
      </w:pPr>
      <w:r>
        <w:rPr>
          <w:rFonts w:hint="eastAsia" w:ascii="宋体" w:hAnsi="宋体"/>
        </w:rPr>
        <w:t>向招标人或者有关部门报告非法干预评标工作的行为。</w:t>
      </w:r>
    </w:p>
    <w:p>
      <w:pPr>
        <w:spacing w:line="380" w:lineRule="exact"/>
        <w:ind w:firstLine="420" w:firstLineChars="200"/>
        <w:rPr>
          <w:rFonts w:ascii="宋体" w:hAnsi="宋体"/>
        </w:rPr>
      </w:pPr>
      <w:r>
        <w:rPr>
          <w:rFonts w:hint="eastAsia" w:ascii="宋体" w:hAnsi="宋体"/>
        </w:rPr>
        <w:t>评标委员会由有关技术、经济等方面的专家组成，成员人数为五人或以上单数，所有评委依法于评标前从广东省政府采购评审专家库中随机抽取产生。</w:t>
      </w:r>
    </w:p>
    <w:p>
      <w:pPr>
        <w:spacing w:line="380" w:lineRule="exact"/>
        <w:ind w:firstLine="420" w:firstLineChars="200"/>
        <w:rPr>
          <w:rFonts w:ascii="宋体" w:hAnsi="宋体"/>
        </w:rPr>
      </w:pPr>
      <w:r>
        <w:rPr>
          <w:rFonts w:ascii="宋体" w:hAnsi="宋体"/>
        </w:rPr>
        <w:t>评审专家有下列情形之一的， 受到邀请应主动提出回避，采购当事人也可以要求</w:t>
      </w:r>
    </w:p>
    <w:p>
      <w:pPr>
        <w:spacing w:line="380" w:lineRule="exact"/>
        <w:ind w:firstLine="420" w:firstLineChars="200"/>
        <w:rPr>
          <w:rFonts w:ascii="宋体" w:hAnsi="宋体"/>
        </w:rPr>
      </w:pPr>
      <w:r>
        <w:rPr>
          <w:rFonts w:ascii="宋体" w:hAnsi="宋体"/>
        </w:rPr>
        <w:t xml:space="preserve">该评审专家回避： </w:t>
      </w:r>
    </w:p>
    <w:p>
      <w:pPr>
        <w:spacing w:line="380" w:lineRule="exact"/>
        <w:ind w:firstLine="420" w:firstLineChars="200"/>
        <w:rPr>
          <w:rFonts w:ascii="宋体" w:hAnsi="宋体"/>
        </w:rPr>
      </w:pPr>
      <w:r>
        <w:rPr>
          <w:rFonts w:ascii="宋体" w:hAnsi="宋体"/>
        </w:rPr>
        <w:t xml:space="preserve">(1) 三年内曾在参加该采购项目的供应商中任职或担任顾问的； </w:t>
      </w:r>
    </w:p>
    <w:p>
      <w:pPr>
        <w:spacing w:line="380" w:lineRule="exact"/>
        <w:ind w:firstLine="420" w:firstLineChars="200"/>
        <w:rPr>
          <w:rFonts w:ascii="宋体" w:hAnsi="宋体"/>
        </w:rPr>
      </w:pPr>
      <w:r>
        <w:rPr>
          <w:rFonts w:ascii="宋体" w:hAnsi="宋体"/>
        </w:rPr>
        <w:t xml:space="preserve">(2) 配偶或直系亲属在参加该采购项目的供应商中任职或担任顾问的； </w:t>
      </w:r>
    </w:p>
    <w:p>
      <w:pPr>
        <w:spacing w:line="380" w:lineRule="exact"/>
        <w:ind w:firstLine="420" w:firstLineChars="200"/>
        <w:rPr>
          <w:rFonts w:ascii="宋体" w:hAnsi="宋体"/>
        </w:rPr>
      </w:pPr>
      <w:r>
        <w:rPr>
          <w:rFonts w:ascii="宋体" w:hAnsi="宋体"/>
        </w:rPr>
        <w:t xml:space="preserve">(3) 与参加该采购项目供应商发生过法律纠纷的； </w:t>
      </w:r>
    </w:p>
    <w:p>
      <w:pPr>
        <w:spacing w:line="380" w:lineRule="exact"/>
        <w:ind w:left="563" w:leftChars="268"/>
        <w:rPr>
          <w:rFonts w:ascii="宋体" w:hAnsi="宋体"/>
        </w:rPr>
      </w:pPr>
      <w:r>
        <w:rPr>
          <w:rFonts w:ascii="宋体" w:hAnsi="宋体"/>
        </w:rPr>
        <w:t xml:space="preserve">(4) 评审委员会中，同一任职单位评审专家超过二名的； </w:t>
      </w:r>
    </w:p>
    <w:p>
      <w:pPr>
        <w:spacing w:line="380" w:lineRule="exact"/>
        <w:ind w:left="563" w:leftChars="268"/>
        <w:rPr>
          <w:rFonts w:ascii="宋体" w:hAnsi="宋体"/>
        </w:rPr>
      </w:pPr>
      <w:r>
        <w:rPr>
          <w:rFonts w:ascii="宋体" w:hAnsi="宋体"/>
        </w:rPr>
        <w:t>(5) 任职单位与</w:t>
      </w:r>
      <w:r>
        <w:rPr>
          <w:rFonts w:hint="eastAsia" w:ascii="宋体" w:hAnsi="宋体"/>
        </w:rPr>
        <w:t>招标人</w:t>
      </w:r>
      <w:r>
        <w:rPr>
          <w:rFonts w:ascii="宋体" w:hAnsi="宋体"/>
        </w:rPr>
        <w:t>或参加该采购项目的供应商存在行政隶属关系的（不含采</w:t>
      </w:r>
    </w:p>
    <w:p>
      <w:pPr>
        <w:spacing w:line="380" w:lineRule="exact"/>
        <w:ind w:left="496" w:hanging="495" w:hangingChars="236"/>
        <w:rPr>
          <w:rFonts w:ascii="宋体" w:hAnsi="宋体"/>
        </w:rPr>
      </w:pPr>
      <w:r>
        <w:rPr>
          <w:rFonts w:ascii="宋体" w:hAnsi="宋体"/>
        </w:rPr>
        <w:t xml:space="preserve">购人代表）； </w:t>
      </w:r>
    </w:p>
    <w:p>
      <w:pPr>
        <w:spacing w:line="380" w:lineRule="exact"/>
        <w:ind w:left="496" w:hanging="495" w:hangingChars="236"/>
        <w:rPr>
          <w:rFonts w:ascii="宋体" w:hAnsi="宋体"/>
        </w:rPr>
      </w:pPr>
      <w:r>
        <w:rPr>
          <w:rFonts w:ascii="宋体" w:hAnsi="宋体"/>
        </w:rPr>
        <w:t>(6) 参与招标文件论证的（不含</w:t>
      </w:r>
      <w:r>
        <w:rPr>
          <w:rFonts w:hint="eastAsia" w:ascii="宋体" w:hAnsi="宋体"/>
        </w:rPr>
        <w:t>招标人</w:t>
      </w:r>
      <w:r>
        <w:rPr>
          <w:rFonts w:ascii="宋体" w:hAnsi="宋体"/>
        </w:rPr>
        <w:t xml:space="preserve">代表）； </w:t>
      </w:r>
    </w:p>
    <w:p>
      <w:pPr>
        <w:spacing w:line="380" w:lineRule="exact"/>
        <w:ind w:left="496" w:hanging="495" w:hangingChars="236"/>
        <w:rPr>
          <w:rFonts w:ascii="宋体" w:hAnsi="宋体"/>
        </w:rPr>
      </w:pPr>
      <w:r>
        <w:rPr>
          <w:rFonts w:ascii="宋体" w:hAnsi="宋体"/>
        </w:rPr>
        <w:t xml:space="preserve">(7) 法律、法规、规章规定应当回避以及其他可能影响公正评审的。 </w:t>
      </w:r>
    </w:p>
    <w:p>
      <w:pPr>
        <w:numPr>
          <w:ilvl w:val="2"/>
          <w:numId w:val="5"/>
        </w:numPr>
        <w:tabs>
          <w:tab w:val="left" w:pos="360"/>
          <w:tab w:val="left" w:pos="780"/>
          <w:tab w:val="left" w:pos="840"/>
        </w:tabs>
        <w:spacing w:line="380" w:lineRule="exact"/>
        <w:ind w:left="840" w:hanging="480"/>
        <w:rPr>
          <w:rFonts w:ascii="宋体" w:hAnsi="宋体"/>
        </w:rPr>
      </w:pPr>
      <w:r>
        <w:rPr>
          <w:rFonts w:hint="eastAsia" w:ascii="宋体" w:hAnsi="宋体"/>
        </w:rPr>
        <w:t>评标方法</w:t>
      </w:r>
    </w:p>
    <w:p>
      <w:pPr>
        <w:spacing w:line="380" w:lineRule="exact"/>
        <w:ind w:firstLine="420" w:firstLineChars="200"/>
        <w:rPr>
          <w:rFonts w:ascii="宋体" w:hAnsi="宋体"/>
        </w:rPr>
      </w:pPr>
      <w:r>
        <w:rPr>
          <w:rFonts w:hint="eastAsia" w:ascii="宋体" w:hAnsi="宋体"/>
        </w:rPr>
        <w:t>综合评分法：在最大限度地满足招标文件实质性要求前提下，按照招标文件中规定的各项因素进行综合评审后，以评标总得分最高的投标人作为中标候选人。</w:t>
      </w:r>
    </w:p>
    <w:p>
      <w:pPr>
        <w:spacing w:line="380" w:lineRule="exact"/>
        <w:ind w:firstLine="420" w:firstLineChars="200"/>
        <w:rPr>
          <w:rFonts w:ascii="宋体" w:hAnsi="宋体"/>
        </w:rPr>
      </w:pPr>
      <w:r>
        <w:rPr>
          <w:rFonts w:hint="eastAsia" w:ascii="宋体" w:hAnsi="宋体"/>
        </w:rPr>
        <w:t>综合评分的主要因素是：价格、技术、信誉、业绩、服务、对招标文件的响应程度，以及相应的比重或者权值等（详见评标细则）。</w:t>
      </w:r>
    </w:p>
    <w:p>
      <w:pPr>
        <w:spacing w:line="380" w:lineRule="exact"/>
        <w:ind w:firstLine="420" w:firstLineChars="200"/>
        <w:rPr>
          <w:rFonts w:ascii="宋体" w:hAnsi="宋体"/>
        </w:rPr>
      </w:pPr>
      <w:r>
        <w:rPr>
          <w:rFonts w:hint="eastAsia" w:ascii="宋体" w:hAnsi="宋体"/>
        </w:rPr>
        <w:t>评标时，评标委员会各成员应当独立对每个有效投标人的标书进行评价、打分，然后汇总每个投标人每项评分因素的得分。</w:t>
      </w:r>
    </w:p>
    <w:p>
      <w:pPr>
        <w:numPr>
          <w:ilvl w:val="2"/>
          <w:numId w:val="5"/>
        </w:numPr>
        <w:tabs>
          <w:tab w:val="left" w:pos="360"/>
          <w:tab w:val="left" w:pos="780"/>
          <w:tab w:val="left" w:pos="840"/>
        </w:tabs>
        <w:spacing w:line="380" w:lineRule="exact"/>
        <w:ind w:left="840" w:hanging="480"/>
        <w:rPr>
          <w:rFonts w:ascii="宋体" w:hAnsi="宋体"/>
        </w:rPr>
      </w:pPr>
      <w:r>
        <w:rPr>
          <w:rFonts w:hint="eastAsia" w:ascii="宋体" w:hAnsi="宋体"/>
        </w:rPr>
        <w:t>评标过程的保密性</w:t>
      </w:r>
    </w:p>
    <w:p>
      <w:pPr>
        <w:numPr>
          <w:ilvl w:val="0"/>
          <w:numId w:val="7"/>
        </w:numPr>
        <w:tabs>
          <w:tab w:val="left" w:pos="900"/>
          <w:tab w:val="left" w:pos="2160"/>
        </w:tabs>
        <w:spacing w:line="380" w:lineRule="exact"/>
        <w:ind w:left="1242" w:hanging="737"/>
        <w:rPr>
          <w:rFonts w:ascii="宋体" w:hAnsi="宋体"/>
        </w:rPr>
      </w:pPr>
      <w:r>
        <w:rPr>
          <w:rFonts w:hint="eastAsia" w:ascii="宋体" w:hAnsi="宋体"/>
        </w:rPr>
        <w:t>公开开标后，直至向中标人授予合同时止，凡与审查、澄清、评价和比较投标有关的资料以及授标意见等，均不得向投标人及与评标无关的其他人透露。</w:t>
      </w:r>
    </w:p>
    <w:p>
      <w:pPr>
        <w:numPr>
          <w:ilvl w:val="0"/>
          <w:numId w:val="7"/>
        </w:numPr>
        <w:tabs>
          <w:tab w:val="left" w:pos="900"/>
          <w:tab w:val="left" w:pos="2160"/>
        </w:tabs>
        <w:spacing w:line="380" w:lineRule="exact"/>
        <w:ind w:left="1242" w:hanging="737"/>
        <w:rPr>
          <w:rFonts w:ascii="宋体" w:hAnsi="宋体"/>
        </w:rPr>
      </w:pPr>
      <w:r>
        <w:rPr>
          <w:rFonts w:hint="eastAsia" w:ascii="宋体" w:hAnsi="宋体"/>
        </w:rPr>
        <w:t>在评标过程中，如果投标人试图在投标文件审查、澄清、比较及授予合同方面向招标人、采购代理机构、评标委员会施加任何影响，其投标将被拒绝。</w:t>
      </w:r>
    </w:p>
    <w:p>
      <w:pPr>
        <w:numPr>
          <w:ilvl w:val="2"/>
          <w:numId w:val="5"/>
        </w:numPr>
        <w:tabs>
          <w:tab w:val="left" w:pos="360"/>
          <w:tab w:val="left" w:pos="780"/>
          <w:tab w:val="left" w:pos="840"/>
        </w:tabs>
        <w:spacing w:line="380" w:lineRule="exact"/>
        <w:ind w:left="840" w:hanging="480"/>
        <w:rPr>
          <w:rFonts w:ascii="宋体" w:hAnsi="宋体"/>
        </w:rPr>
      </w:pPr>
      <w:r>
        <w:rPr>
          <w:rFonts w:hint="eastAsia" w:ascii="宋体" w:hAnsi="宋体"/>
        </w:rPr>
        <w:t>评标工作程序</w:t>
      </w:r>
    </w:p>
    <w:p>
      <w:pPr>
        <w:numPr>
          <w:ilvl w:val="0"/>
          <w:numId w:val="8"/>
        </w:numPr>
        <w:tabs>
          <w:tab w:val="left" w:pos="900"/>
          <w:tab w:val="left" w:pos="2160"/>
        </w:tabs>
        <w:spacing w:line="380" w:lineRule="exact"/>
        <w:ind w:left="1191" w:hanging="737"/>
        <w:rPr>
          <w:rFonts w:ascii="宋体" w:hAnsi="宋体"/>
        </w:rPr>
      </w:pPr>
      <w:r>
        <w:rPr>
          <w:rFonts w:hint="eastAsia" w:ascii="宋体" w:hAnsi="宋体"/>
        </w:rPr>
        <w:t>投标文件初审。</w:t>
      </w:r>
    </w:p>
    <w:p>
      <w:pPr>
        <w:spacing w:line="380" w:lineRule="exact"/>
        <w:ind w:left="991" w:leftChars="472"/>
        <w:rPr>
          <w:rFonts w:ascii="宋体" w:hAnsi="宋体"/>
        </w:rPr>
      </w:pPr>
      <w:r>
        <w:rPr>
          <w:rFonts w:hint="eastAsia" w:ascii="宋体" w:hAnsi="宋体"/>
        </w:rPr>
        <w:t>符合性检查。依据招标文件的规定，从投标文件的有效性、完整性和对招标文件的响应程度进行审查，以确定是否对招标文件的实质性要求作出响应。</w:t>
      </w:r>
    </w:p>
    <w:p>
      <w:pPr>
        <w:spacing w:line="380" w:lineRule="exact"/>
        <w:ind w:left="481" w:leftChars="229" w:firstLine="420" w:firstLineChars="200"/>
        <w:rPr>
          <w:rFonts w:ascii="宋体" w:hAnsi="宋体"/>
        </w:rPr>
      </w:pPr>
      <w:r>
        <w:rPr>
          <w:rFonts w:hint="eastAsia" w:ascii="宋体" w:hAnsi="宋体"/>
        </w:rPr>
        <w:t>投标文件应符合下列情况，否则在符合性检查时可按照无效投标处理：</w:t>
      </w:r>
    </w:p>
    <w:p>
      <w:pPr>
        <w:numPr>
          <w:ilvl w:val="0"/>
          <w:numId w:val="9"/>
        </w:numPr>
        <w:spacing w:line="380" w:lineRule="exact"/>
        <w:ind w:left="1701" w:hanging="283"/>
        <w:rPr>
          <w:rFonts w:ascii="宋体" w:hAnsi="宋体"/>
        </w:rPr>
      </w:pPr>
      <w:r>
        <w:rPr>
          <w:rFonts w:hint="eastAsia" w:ascii="宋体" w:hAnsi="宋体"/>
        </w:rPr>
        <w:t>投标报价确定且不高于最高限价；</w:t>
      </w:r>
    </w:p>
    <w:p>
      <w:pPr>
        <w:numPr>
          <w:ilvl w:val="0"/>
          <w:numId w:val="9"/>
        </w:numPr>
        <w:spacing w:line="380" w:lineRule="exact"/>
        <w:ind w:left="1701" w:hanging="283"/>
        <w:rPr>
          <w:rFonts w:ascii="宋体" w:hAnsi="宋体"/>
        </w:rPr>
      </w:pPr>
      <w:r>
        <w:rPr>
          <w:rFonts w:hint="eastAsia" w:ascii="宋体" w:hAnsi="宋体"/>
        </w:rPr>
        <w:t>按招标文件规定，有投标人盖章及其法定代表人（或法定代表人委托的投标授权代表）的签字或签章；</w:t>
      </w:r>
    </w:p>
    <w:p>
      <w:pPr>
        <w:numPr>
          <w:ilvl w:val="0"/>
          <w:numId w:val="9"/>
        </w:numPr>
        <w:spacing w:line="380" w:lineRule="exact"/>
        <w:ind w:left="1701" w:hanging="283"/>
        <w:rPr>
          <w:rFonts w:ascii="宋体" w:hAnsi="宋体"/>
        </w:rPr>
      </w:pPr>
      <w:r>
        <w:rPr>
          <w:rFonts w:hint="eastAsia" w:ascii="宋体" w:hAnsi="宋体"/>
        </w:rPr>
        <w:t>投标文件完全满足招标文件中带“</w:t>
      </w:r>
      <w:r>
        <w:rPr>
          <w:rFonts w:hint="eastAsia"/>
        </w:rPr>
        <w:t>★</w:t>
      </w:r>
      <w:r>
        <w:rPr>
          <w:rFonts w:hint="eastAsia" w:ascii="宋体" w:hAnsi="宋体"/>
        </w:rPr>
        <w:t>”号的条款和指标，符合招标文件的其他要求，没有重大偏离；</w:t>
      </w:r>
    </w:p>
    <w:p>
      <w:pPr>
        <w:numPr>
          <w:ilvl w:val="0"/>
          <w:numId w:val="9"/>
        </w:numPr>
        <w:spacing w:line="380" w:lineRule="exact"/>
        <w:ind w:left="1701" w:hanging="283"/>
        <w:rPr>
          <w:rFonts w:ascii="宋体" w:hAnsi="宋体"/>
        </w:rPr>
      </w:pPr>
      <w:r>
        <w:rPr>
          <w:rFonts w:hint="eastAsia" w:ascii="宋体" w:hAnsi="宋体"/>
        </w:rPr>
        <w:t>符合法律、法规和招标文件中规定的其他实质性要求：</w:t>
      </w:r>
    </w:p>
    <w:p>
      <w:pPr>
        <w:numPr>
          <w:ilvl w:val="0"/>
          <w:numId w:val="10"/>
        </w:numPr>
        <w:spacing w:line="380" w:lineRule="exact"/>
        <w:ind w:left="2121"/>
        <w:rPr>
          <w:rFonts w:ascii="宋体" w:hAnsi="宋体"/>
        </w:rPr>
      </w:pPr>
      <w:r>
        <w:rPr>
          <w:rFonts w:hint="eastAsia" w:ascii="宋体" w:hAnsi="宋体"/>
        </w:rPr>
        <w:t>在参与项目所在地市的各级或上级政府采购活动中未被列入不良行为记录名单并正处于处罚期内；</w:t>
      </w:r>
    </w:p>
    <w:p>
      <w:pPr>
        <w:numPr>
          <w:ilvl w:val="0"/>
          <w:numId w:val="10"/>
        </w:numPr>
        <w:spacing w:line="380" w:lineRule="exact"/>
        <w:ind w:left="2121"/>
        <w:rPr>
          <w:rFonts w:ascii="宋体" w:hAnsi="宋体"/>
        </w:rPr>
      </w:pPr>
      <w:r>
        <w:rPr>
          <w:rFonts w:hint="eastAsia" w:ascii="宋体" w:hAnsi="宋体"/>
        </w:rPr>
        <w:t>投标文件未出现制作严重不符合要求，按要求提供重要的样板、物证或资料；</w:t>
      </w:r>
    </w:p>
    <w:p>
      <w:pPr>
        <w:numPr>
          <w:ilvl w:val="0"/>
          <w:numId w:val="10"/>
        </w:numPr>
        <w:spacing w:line="380" w:lineRule="exact"/>
        <w:ind w:left="2121"/>
        <w:rPr>
          <w:rFonts w:ascii="宋体" w:hAnsi="宋体"/>
        </w:rPr>
      </w:pPr>
      <w:r>
        <w:rPr>
          <w:rFonts w:hint="eastAsia" w:ascii="宋体" w:hAnsi="宋体"/>
        </w:rPr>
        <w:t>未故意提供虚假材料谋取中标；</w:t>
      </w:r>
    </w:p>
    <w:p>
      <w:pPr>
        <w:numPr>
          <w:ilvl w:val="0"/>
          <w:numId w:val="10"/>
        </w:numPr>
        <w:spacing w:line="380" w:lineRule="exact"/>
        <w:ind w:left="2121"/>
        <w:rPr>
          <w:rFonts w:ascii="宋体" w:hAnsi="宋体"/>
        </w:rPr>
      </w:pPr>
      <w:r>
        <w:rPr>
          <w:rFonts w:hint="eastAsia" w:ascii="宋体" w:hAnsi="宋体"/>
        </w:rPr>
        <w:t>未采取不正当手段诋毁、排斥其他投标人；</w:t>
      </w:r>
    </w:p>
    <w:p>
      <w:pPr>
        <w:numPr>
          <w:ilvl w:val="0"/>
          <w:numId w:val="10"/>
        </w:numPr>
        <w:spacing w:line="380" w:lineRule="exact"/>
        <w:ind w:left="2121"/>
        <w:rPr>
          <w:rFonts w:ascii="宋体" w:hAnsi="宋体"/>
        </w:rPr>
      </w:pPr>
      <w:r>
        <w:rPr>
          <w:rFonts w:hint="eastAsia" w:ascii="宋体" w:hAnsi="宋体"/>
        </w:rPr>
        <w:t>未在评标、定标过程中对招标人、采购代理机构、评标委员会及其工作人员施加影响，有碍招标公平、公正；</w:t>
      </w:r>
    </w:p>
    <w:p>
      <w:pPr>
        <w:numPr>
          <w:ilvl w:val="0"/>
          <w:numId w:val="10"/>
        </w:numPr>
        <w:spacing w:line="380" w:lineRule="exact"/>
        <w:ind w:left="2121"/>
        <w:rPr>
          <w:rFonts w:ascii="宋体" w:hAnsi="宋体"/>
        </w:rPr>
      </w:pPr>
      <w:r>
        <w:rPr>
          <w:rFonts w:hint="eastAsia" w:ascii="宋体" w:hAnsi="宋体"/>
        </w:rPr>
        <w:t>符合专业条件，对技术、商务要求能有效地作实质性响应，未出现重大偏离或保留；</w:t>
      </w:r>
    </w:p>
    <w:p>
      <w:pPr>
        <w:numPr>
          <w:ilvl w:val="0"/>
          <w:numId w:val="10"/>
        </w:numPr>
        <w:spacing w:line="380" w:lineRule="exact"/>
        <w:ind w:left="2121"/>
        <w:rPr>
          <w:rFonts w:ascii="宋体" w:hAnsi="宋体"/>
        </w:rPr>
      </w:pPr>
      <w:r>
        <w:rPr>
          <w:rFonts w:hint="eastAsia" w:ascii="宋体" w:hAnsi="宋体"/>
        </w:rPr>
        <w:t>评审期间按评委会要求提交经授权代表签字的澄清、说明、补正或调整补充部分未改变投标文件的实质性内容及修正报价未超出允许规定范围；</w:t>
      </w:r>
    </w:p>
    <w:p>
      <w:pPr>
        <w:numPr>
          <w:ilvl w:val="0"/>
          <w:numId w:val="10"/>
        </w:numPr>
        <w:spacing w:line="380" w:lineRule="exact"/>
        <w:ind w:left="2121"/>
        <w:rPr>
          <w:rFonts w:ascii="宋体" w:hAnsi="宋体"/>
        </w:rPr>
      </w:pPr>
      <w:r>
        <w:rPr>
          <w:rFonts w:hint="eastAsia" w:ascii="宋体" w:hAnsi="宋体"/>
        </w:rPr>
        <w:t>未拒绝、对抗评委会所作的决定或合理要求；</w:t>
      </w:r>
    </w:p>
    <w:p>
      <w:pPr>
        <w:numPr>
          <w:ilvl w:val="0"/>
          <w:numId w:val="10"/>
        </w:numPr>
        <w:spacing w:line="380" w:lineRule="exact"/>
        <w:ind w:left="2121"/>
        <w:rPr>
          <w:rFonts w:ascii="宋体" w:hAnsi="宋体"/>
        </w:rPr>
      </w:pPr>
      <w:r>
        <w:rPr>
          <w:rFonts w:hint="eastAsia" w:ascii="宋体" w:hAnsi="宋体"/>
        </w:rPr>
        <w:t>未出现按有关法律、法规、规章规定属于中标无效的及符合招标文件中载明会导致无效投标的其它规定和要求。</w:t>
      </w:r>
    </w:p>
    <w:p>
      <w:pPr>
        <w:numPr>
          <w:ilvl w:val="0"/>
          <w:numId w:val="8"/>
        </w:numPr>
        <w:tabs>
          <w:tab w:val="left" w:pos="900"/>
          <w:tab w:val="left" w:pos="2160"/>
        </w:tabs>
        <w:spacing w:line="380" w:lineRule="exact"/>
        <w:ind w:left="1191" w:hanging="737"/>
        <w:rPr>
          <w:rFonts w:ascii="宋体" w:hAnsi="宋体"/>
        </w:rPr>
      </w:pPr>
      <w:r>
        <w:rPr>
          <w:rFonts w:hint="eastAsia" w:ascii="宋体" w:hAnsi="宋体"/>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pPr>
        <w:numPr>
          <w:ilvl w:val="0"/>
          <w:numId w:val="8"/>
        </w:numPr>
        <w:tabs>
          <w:tab w:val="left" w:pos="900"/>
          <w:tab w:val="left" w:pos="2160"/>
        </w:tabs>
        <w:spacing w:line="380" w:lineRule="exact"/>
        <w:ind w:left="1191" w:hanging="737"/>
        <w:rPr>
          <w:rFonts w:ascii="宋体" w:hAnsi="宋体"/>
        </w:rPr>
      </w:pPr>
      <w:r>
        <w:rPr>
          <w:rFonts w:hint="eastAsia" w:ascii="宋体" w:hAnsi="宋体"/>
        </w:rPr>
        <w:t>比较与评价。按照招标文件中规定的评标方法和标准，对符合性检查合格的投标文件进行商务和技术评估，综合比较与评价。综合评分法评分权重详见评标细则。</w:t>
      </w:r>
    </w:p>
    <w:p>
      <w:pPr>
        <w:numPr>
          <w:ilvl w:val="0"/>
          <w:numId w:val="8"/>
        </w:numPr>
        <w:tabs>
          <w:tab w:val="left" w:pos="900"/>
          <w:tab w:val="left" w:pos="2160"/>
        </w:tabs>
        <w:spacing w:line="380" w:lineRule="exact"/>
        <w:ind w:left="1191" w:hanging="737"/>
        <w:rPr>
          <w:rFonts w:ascii="宋体" w:hAnsi="宋体"/>
        </w:rPr>
      </w:pPr>
      <w:r>
        <w:rPr>
          <w:rFonts w:hint="eastAsia" w:ascii="宋体" w:hAnsi="宋体"/>
        </w:rPr>
        <w:t>推荐中标候选人名单。综合评分法按评审后综合得分由高到低顺序排列。综合得分相同的，按投标报价由低到高排列。综合得分且投标报价相同的，</w:t>
      </w:r>
      <w:r>
        <w:rPr>
          <w:rFonts w:ascii="宋体" w:hAnsi="宋体"/>
        </w:rPr>
        <w:t>按技术评分由高到低顺序排列。综合评分相同，且</w:t>
      </w:r>
      <w:r>
        <w:rPr>
          <w:rFonts w:hint="eastAsia" w:ascii="宋体" w:hAnsi="宋体"/>
        </w:rPr>
        <w:t>投标报价</w:t>
      </w:r>
      <w:r>
        <w:rPr>
          <w:rFonts w:ascii="宋体" w:hAnsi="宋体"/>
        </w:rPr>
        <w:t>和技术评分均相同的，名次由评标委员会抽签决定。</w:t>
      </w:r>
    </w:p>
    <w:p>
      <w:pPr>
        <w:numPr>
          <w:ilvl w:val="0"/>
          <w:numId w:val="8"/>
        </w:numPr>
        <w:tabs>
          <w:tab w:val="left" w:pos="900"/>
          <w:tab w:val="left" w:pos="2160"/>
        </w:tabs>
        <w:spacing w:line="380" w:lineRule="exact"/>
        <w:ind w:left="1191" w:hanging="737"/>
        <w:rPr>
          <w:rFonts w:ascii="宋体" w:hAnsi="宋体"/>
        </w:rPr>
      </w:pPr>
      <w:r>
        <w:rPr>
          <w:rFonts w:hint="eastAsia" w:ascii="宋体" w:hAnsi="宋体"/>
        </w:rPr>
        <w:t>编写评审报告。</w:t>
      </w:r>
    </w:p>
    <w:p>
      <w:pPr>
        <w:numPr>
          <w:ilvl w:val="2"/>
          <w:numId w:val="5"/>
        </w:numPr>
        <w:tabs>
          <w:tab w:val="left" w:pos="-3600"/>
          <w:tab w:val="left" w:pos="720"/>
          <w:tab w:val="left" w:pos="780"/>
        </w:tabs>
        <w:spacing w:line="380" w:lineRule="exact"/>
        <w:ind w:left="1080" w:hanging="1080"/>
        <w:rPr>
          <w:rFonts w:ascii="宋体" w:hAnsi="宋体"/>
        </w:rPr>
      </w:pPr>
      <w:r>
        <w:rPr>
          <w:rFonts w:hint="eastAsia" w:ascii="宋体" w:hAnsi="宋体"/>
        </w:rPr>
        <w:t>废标的认定</w:t>
      </w:r>
    </w:p>
    <w:p>
      <w:pPr>
        <w:numPr>
          <w:ilvl w:val="0"/>
          <w:numId w:val="11"/>
        </w:numPr>
        <w:tabs>
          <w:tab w:val="left" w:pos="900"/>
          <w:tab w:val="left" w:pos="2160"/>
        </w:tabs>
        <w:spacing w:line="380" w:lineRule="exact"/>
        <w:ind w:left="1191" w:hanging="737"/>
        <w:rPr>
          <w:rFonts w:ascii="宋体" w:hAnsi="宋体"/>
        </w:rPr>
      </w:pPr>
      <w:r>
        <w:rPr>
          <w:rFonts w:hint="eastAsia" w:ascii="宋体" w:hAnsi="宋体"/>
        </w:rPr>
        <w:t>符合专业条件的承包商或者对招标文件作实质响应的承包商不足三家的；</w:t>
      </w:r>
    </w:p>
    <w:p>
      <w:pPr>
        <w:numPr>
          <w:ilvl w:val="0"/>
          <w:numId w:val="11"/>
        </w:numPr>
        <w:tabs>
          <w:tab w:val="left" w:pos="900"/>
          <w:tab w:val="left" w:pos="2160"/>
        </w:tabs>
        <w:spacing w:line="380" w:lineRule="exact"/>
        <w:ind w:left="1191" w:hanging="737"/>
        <w:rPr>
          <w:rFonts w:ascii="宋体" w:hAnsi="宋体"/>
        </w:rPr>
      </w:pPr>
      <w:r>
        <w:rPr>
          <w:rFonts w:hint="eastAsia" w:ascii="宋体" w:hAnsi="宋体"/>
        </w:rPr>
        <w:t>出现影响采购公正的违法、违规行为的；</w:t>
      </w:r>
    </w:p>
    <w:p>
      <w:pPr>
        <w:numPr>
          <w:ilvl w:val="0"/>
          <w:numId w:val="11"/>
        </w:numPr>
        <w:tabs>
          <w:tab w:val="left" w:pos="900"/>
          <w:tab w:val="left" w:pos="2160"/>
        </w:tabs>
        <w:spacing w:line="380" w:lineRule="exact"/>
        <w:ind w:left="1191" w:hanging="737"/>
        <w:rPr>
          <w:rFonts w:ascii="宋体" w:hAnsi="宋体"/>
        </w:rPr>
      </w:pPr>
      <w:r>
        <w:rPr>
          <w:rFonts w:hint="eastAsia" w:ascii="宋体" w:hAnsi="宋体"/>
        </w:rPr>
        <w:t>投标人的报价均超过了</w:t>
      </w:r>
      <w:r>
        <w:rPr>
          <w:rFonts w:ascii="宋体" w:hAnsi="宋体"/>
        </w:rPr>
        <w:t>最高限额</w:t>
      </w:r>
      <w:r>
        <w:rPr>
          <w:rFonts w:hint="eastAsia" w:ascii="宋体" w:hAnsi="宋体"/>
        </w:rPr>
        <w:t>的；</w:t>
      </w:r>
    </w:p>
    <w:p>
      <w:pPr>
        <w:numPr>
          <w:ilvl w:val="0"/>
          <w:numId w:val="11"/>
        </w:numPr>
        <w:tabs>
          <w:tab w:val="left" w:pos="900"/>
          <w:tab w:val="left" w:pos="2160"/>
        </w:tabs>
        <w:spacing w:line="380" w:lineRule="exact"/>
        <w:ind w:left="1191" w:hanging="737"/>
        <w:rPr>
          <w:rFonts w:ascii="宋体" w:hAnsi="宋体"/>
        </w:rPr>
      </w:pPr>
      <w:r>
        <w:rPr>
          <w:rFonts w:hint="eastAsia" w:ascii="宋体" w:hAnsi="宋体"/>
        </w:rPr>
        <w:t>因重大变故，采购任务取消的。</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43" w:name="_Toc8839"/>
      <w:r>
        <w:rPr>
          <w:sz w:val="21"/>
        </w:rPr>
        <w:t>定标</w:t>
      </w:r>
      <w:bookmarkEnd w:id="43"/>
    </w:p>
    <w:p>
      <w:pPr>
        <w:spacing w:line="380" w:lineRule="exact"/>
        <w:ind w:firstLine="420" w:firstLineChars="200"/>
        <w:rPr>
          <w:rFonts w:ascii="宋体" w:hAnsi="宋体"/>
        </w:rPr>
      </w:pPr>
      <w:r>
        <w:rPr>
          <w:rFonts w:hint="eastAsia" w:ascii="宋体" w:hAnsi="宋体"/>
        </w:rPr>
        <w:t>招标人确认评标委员会推荐的评标结果后，由招标人对中标候选人的资格和履约能力进行再次审查，凡发现中标候选人有下列情形之一的，将移交政府采购监督管理部门依法处理：</w:t>
      </w:r>
    </w:p>
    <w:p>
      <w:pPr>
        <w:numPr>
          <w:ilvl w:val="2"/>
          <w:numId w:val="5"/>
        </w:numPr>
        <w:tabs>
          <w:tab w:val="left" w:pos="-3600"/>
          <w:tab w:val="left" w:pos="720"/>
          <w:tab w:val="left" w:pos="780"/>
          <w:tab w:val="left" w:pos="1440"/>
        </w:tabs>
        <w:spacing w:line="380" w:lineRule="exact"/>
        <w:ind w:left="1497" w:leftChars="200" w:hanging="1077"/>
        <w:rPr>
          <w:rFonts w:ascii="宋体" w:hAnsi="宋体"/>
        </w:rPr>
      </w:pPr>
      <w:r>
        <w:rPr>
          <w:rFonts w:hint="eastAsia" w:ascii="宋体" w:hAnsi="宋体"/>
        </w:rPr>
        <w:t>提供虚假材料谋取中标的；</w:t>
      </w:r>
    </w:p>
    <w:p>
      <w:pPr>
        <w:numPr>
          <w:ilvl w:val="2"/>
          <w:numId w:val="5"/>
        </w:numPr>
        <w:tabs>
          <w:tab w:val="left" w:pos="-3600"/>
          <w:tab w:val="left" w:pos="720"/>
          <w:tab w:val="left" w:pos="780"/>
          <w:tab w:val="left" w:pos="1440"/>
        </w:tabs>
        <w:spacing w:line="380" w:lineRule="exact"/>
        <w:ind w:left="1497" w:leftChars="200" w:hanging="1077"/>
        <w:rPr>
          <w:rFonts w:ascii="宋体" w:hAnsi="宋体"/>
        </w:rPr>
      </w:pPr>
      <w:r>
        <w:rPr>
          <w:rFonts w:hint="eastAsia" w:ascii="宋体" w:hAnsi="宋体"/>
        </w:rPr>
        <w:t>采取不正当手段诋毁、排挤其他投标人的；</w:t>
      </w:r>
    </w:p>
    <w:p>
      <w:pPr>
        <w:numPr>
          <w:ilvl w:val="2"/>
          <w:numId w:val="5"/>
        </w:numPr>
        <w:tabs>
          <w:tab w:val="left" w:pos="-3600"/>
          <w:tab w:val="left" w:pos="720"/>
          <w:tab w:val="left" w:pos="780"/>
          <w:tab w:val="left" w:pos="1440"/>
        </w:tabs>
        <w:spacing w:line="380" w:lineRule="exact"/>
        <w:ind w:left="1497" w:leftChars="200" w:hanging="1077"/>
        <w:rPr>
          <w:rFonts w:ascii="宋体" w:hAnsi="宋体"/>
        </w:rPr>
      </w:pPr>
      <w:r>
        <w:rPr>
          <w:rFonts w:hint="eastAsia" w:ascii="宋体" w:hAnsi="宋体"/>
        </w:rPr>
        <w:t>与招标人、其他投标人恶意串通的；</w:t>
      </w:r>
    </w:p>
    <w:p>
      <w:pPr>
        <w:numPr>
          <w:ilvl w:val="2"/>
          <w:numId w:val="5"/>
        </w:numPr>
        <w:tabs>
          <w:tab w:val="left" w:pos="-3600"/>
          <w:tab w:val="left" w:pos="720"/>
          <w:tab w:val="left" w:pos="780"/>
          <w:tab w:val="left" w:pos="1440"/>
        </w:tabs>
        <w:spacing w:line="380" w:lineRule="exact"/>
        <w:ind w:left="1497" w:leftChars="200" w:hanging="1077"/>
        <w:rPr>
          <w:rFonts w:ascii="宋体" w:hAnsi="宋体"/>
        </w:rPr>
      </w:pPr>
      <w:r>
        <w:rPr>
          <w:rFonts w:hint="eastAsia" w:ascii="宋体" w:hAnsi="宋体"/>
        </w:rPr>
        <w:t>向招标人行贿或者提供其他不正当利益的；</w:t>
      </w:r>
    </w:p>
    <w:p>
      <w:pPr>
        <w:numPr>
          <w:ilvl w:val="2"/>
          <w:numId w:val="5"/>
        </w:numPr>
        <w:tabs>
          <w:tab w:val="left" w:pos="-3600"/>
          <w:tab w:val="left" w:pos="720"/>
          <w:tab w:val="left" w:pos="780"/>
        </w:tabs>
        <w:spacing w:line="380" w:lineRule="exact"/>
        <w:ind w:left="851" w:leftChars="200" w:hanging="431"/>
        <w:rPr>
          <w:rFonts w:ascii="宋体" w:hAnsi="宋体"/>
        </w:rPr>
      </w:pPr>
      <w:r>
        <w:rPr>
          <w:rFonts w:hint="eastAsia" w:ascii="宋体" w:hAnsi="宋体"/>
        </w:rPr>
        <w:t>在采购过程中与招标人进行协商谈判、不按照招标文件和中标人的投标文件订立合同，或者与招标人另行订立背离合同实质性内容的协议的；</w:t>
      </w:r>
    </w:p>
    <w:p>
      <w:pPr>
        <w:numPr>
          <w:ilvl w:val="2"/>
          <w:numId w:val="5"/>
        </w:numPr>
        <w:tabs>
          <w:tab w:val="left" w:pos="-3600"/>
          <w:tab w:val="left" w:pos="720"/>
          <w:tab w:val="left" w:pos="780"/>
          <w:tab w:val="left" w:pos="1440"/>
        </w:tabs>
        <w:spacing w:line="380" w:lineRule="exact"/>
        <w:ind w:left="1497" w:leftChars="200" w:hanging="1077"/>
        <w:rPr>
          <w:rFonts w:ascii="宋体" w:hAnsi="宋体"/>
        </w:rPr>
      </w:pPr>
      <w:r>
        <w:rPr>
          <w:rFonts w:hint="eastAsia" w:ascii="宋体" w:hAnsi="宋体"/>
        </w:rPr>
        <w:t>拒绝有关部门监督检查或者提供虚假情况的。</w:t>
      </w:r>
    </w:p>
    <w:p>
      <w:pPr>
        <w:spacing w:line="380" w:lineRule="exact"/>
        <w:ind w:firstLine="420" w:firstLineChars="200"/>
        <w:rPr>
          <w:rFonts w:ascii="宋体" w:hAnsi="宋体"/>
        </w:rPr>
      </w:pPr>
      <w:r>
        <w:rPr>
          <w:rFonts w:hint="eastAsia" w:ascii="宋体" w:hAnsi="宋体"/>
        </w:rPr>
        <w:t>投标人有前款1至6项情形之一的，中标无效。</w:t>
      </w:r>
    </w:p>
    <w:p>
      <w:pPr>
        <w:spacing w:line="380" w:lineRule="exact"/>
        <w:ind w:firstLine="420" w:firstLineChars="200"/>
        <w:rPr>
          <w:rFonts w:ascii="宋体" w:hAnsi="宋体"/>
        </w:rPr>
      </w:pPr>
      <w:r>
        <w:rPr>
          <w:rFonts w:hint="eastAsia" w:ascii="宋体" w:hAnsi="宋体"/>
        </w:rPr>
        <w:t>采购代理机构在评标结束后将评标推荐意见及采购结果确认书送招标人。招标人依法确定中标人。</w:t>
      </w:r>
    </w:p>
    <w:p>
      <w:pPr>
        <w:spacing w:line="380" w:lineRule="exact"/>
        <w:ind w:firstLine="420" w:firstLineChars="200"/>
        <w:rPr>
          <w:rFonts w:ascii="宋体" w:hAnsi="宋体"/>
        </w:rPr>
      </w:pPr>
      <w:r>
        <w:rPr>
          <w:rFonts w:hint="eastAsia" w:ascii="宋体" w:hAnsi="宋体"/>
        </w:rPr>
        <w:t>采购代理机构将中标结果在中国政府采购网(http://www.ccgp.gov.cn/)、采购与招标网（https://www.chinabidding.cn/）公告。</w:t>
      </w:r>
    </w:p>
    <w:p>
      <w:pPr>
        <w:spacing w:line="380" w:lineRule="exact"/>
        <w:ind w:firstLine="420" w:firstLineChars="200"/>
        <w:rPr>
          <w:rFonts w:ascii="宋体" w:hAnsi="宋体"/>
        </w:rPr>
      </w:pPr>
      <w:r>
        <w:rPr>
          <w:rFonts w:hint="eastAsia" w:ascii="宋体" w:hAnsi="宋体"/>
        </w:rPr>
        <w:t>中标人放弃中标的，应当依法承担法律责任。</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44" w:name="_Toc184442577"/>
      <w:bookmarkStart w:id="45" w:name="_Toc8905"/>
      <w:r>
        <w:rPr>
          <w:rFonts w:hint="eastAsia"/>
          <w:sz w:val="21"/>
        </w:rPr>
        <w:t>签约</w:t>
      </w:r>
      <w:bookmarkEnd w:id="44"/>
      <w:bookmarkEnd w:id="45"/>
    </w:p>
    <w:p>
      <w:pPr>
        <w:spacing w:line="380" w:lineRule="exact"/>
        <w:ind w:firstLine="420" w:firstLineChars="200"/>
        <w:rPr>
          <w:rFonts w:ascii="宋体" w:hAnsi="宋体"/>
        </w:rPr>
      </w:pPr>
      <w:r>
        <w:rPr>
          <w:rFonts w:ascii="宋体" w:hAnsi="宋体"/>
        </w:rPr>
        <w:t>中标</w:t>
      </w:r>
      <w:r>
        <w:rPr>
          <w:rFonts w:hint="eastAsia" w:ascii="宋体" w:hAnsi="宋体"/>
        </w:rPr>
        <w:t>人</w:t>
      </w:r>
      <w:r>
        <w:rPr>
          <w:rFonts w:ascii="宋体" w:hAnsi="宋体"/>
        </w:rPr>
        <w:t>应按中标通知书指定的时间和地点与用户签订合同。</w:t>
      </w:r>
    </w:p>
    <w:p>
      <w:pPr>
        <w:spacing w:line="380" w:lineRule="exact"/>
        <w:ind w:firstLine="420" w:firstLineChars="200"/>
        <w:rPr>
          <w:rFonts w:ascii="宋体" w:hAnsi="宋体"/>
        </w:rPr>
      </w:pPr>
      <w:r>
        <w:rPr>
          <w:rFonts w:hint="eastAsia" w:ascii="宋体" w:hAnsi="宋体"/>
        </w:rPr>
        <w:t>招标人</w:t>
      </w:r>
      <w:r>
        <w:rPr>
          <w:rFonts w:ascii="宋体" w:hAnsi="宋体"/>
        </w:rPr>
        <w:t>可以接受投标货物中任何一项、几项或全部的投标，并有权在授予合同时改变订货的数量。</w:t>
      </w:r>
    </w:p>
    <w:p>
      <w:pPr>
        <w:pStyle w:val="5"/>
        <w:keepLines w:val="0"/>
        <w:numPr>
          <w:ilvl w:val="1"/>
          <w:numId w:val="5"/>
        </w:numPr>
        <w:tabs>
          <w:tab w:val="left" w:pos="630"/>
          <w:tab w:val="left" w:pos="1981"/>
        </w:tabs>
        <w:adjustRightInd/>
        <w:spacing w:before="0" w:after="0" w:line="380" w:lineRule="exact"/>
        <w:ind w:left="630" w:hanging="630"/>
        <w:textAlignment w:val="auto"/>
        <w:rPr>
          <w:sz w:val="21"/>
        </w:rPr>
      </w:pPr>
      <w:bookmarkStart w:id="46" w:name="_Toc22610"/>
      <w:r>
        <w:rPr>
          <w:rFonts w:hint="eastAsia"/>
          <w:sz w:val="21"/>
        </w:rPr>
        <w:t>质疑与回复</w:t>
      </w:r>
      <w:bookmarkEnd w:id="46"/>
    </w:p>
    <w:p>
      <w:pPr>
        <w:numPr>
          <w:ilvl w:val="2"/>
          <w:numId w:val="5"/>
        </w:numPr>
        <w:tabs>
          <w:tab w:val="left" w:pos="-3600"/>
          <w:tab w:val="left" w:pos="720"/>
          <w:tab w:val="left" w:pos="780"/>
        </w:tabs>
        <w:spacing w:line="380" w:lineRule="exact"/>
        <w:ind w:left="851" w:leftChars="200" w:hanging="431"/>
        <w:rPr>
          <w:rFonts w:ascii="宋体" w:hAnsi="宋体"/>
        </w:rPr>
      </w:pPr>
      <w:r>
        <w:rPr>
          <w:rFonts w:hint="eastAsia" w:ascii="宋体" w:hAnsi="宋体"/>
        </w:rPr>
        <w:t>询问</w:t>
      </w:r>
    </w:p>
    <w:p>
      <w:pPr>
        <w:tabs>
          <w:tab w:val="left" w:pos="-3600"/>
          <w:tab w:val="left" w:pos="720"/>
          <w:tab w:val="left" w:pos="780"/>
        </w:tabs>
        <w:spacing w:line="380" w:lineRule="exact"/>
        <w:ind w:left="420" w:leftChars="200"/>
        <w:rPr>
          <w:rFonts w:ascii="宋体" w:hAnsi="宋体"/>
        </w:rPr>
      </w:pPr>
      <w:r>
        <w:rPr>
          <w:rFonts w:hint="eastAsia" w:ascii="宋体" w:hAnsi="宋体"/>
        </w:rPr>
        <w:t>（1）供应商对政府采购活动事项有疑问的，可以向招标人</w:t>
      </w:r>
      <w:r>
        <w:rPr>
          <w:rFonts w:hint="eastAsia" w:ascii="宋体" w:hAnsi="宋体"/>
          <w:lang w:eastAsia="zh-TW"/>
        </w:rPr>
        <w:t>或者采购代理机构</w:t>
      </w:r>
      <w:r>
        <w:rPr>
          <w:rFonts w:hint="eastAsia" w:ascii="宋体" w:hAnsi="宋体"/>
        </w:rPr>
        <w:t>提出询问，询问可以口头方式提出，也可以书面形式提出。</w:t>
      </w:r>
    </w:p>
    <w:p>
      <w:pPr>
        <w:tabs>
          <w:tab w:val="left" w:pos="-3600"/>
          <w:tab w:val="left" w:pos="720"/>
          <w:tab w:val="left" w:pos="780"/>
        </w:tabs>
        <w:spacing w:line="380" w:lineRule="exact"/>
        <w:ind w:left="420" w:leftChars="200"/>
        <w:rPr>
          <w:rFonts w:ascii="宋体" w:hAnsi="宋体"/>
        </w:rPr>
      </w:pPr>
      <w:r>
        <w:rPr>
          <w:rFonts w:hint="eastAsia" w:ascii="宋体" w:hAnsi="宋体"/>
        </w:rPr>
        <w:t>（2）如采用书面形式提出询问，供应商为自然人的，询问函应当由本人签字；供应商为法人或者其他组织的，应当由法定代表人、主要负责人或授权代表签字或者盖章，并加盖供应商公章。询问供应商若委托代理人提出询问的，询问函应按要求列明“授权代表”的有关内容，并提交由供应商签署的授权委托书及代理人身份证复印件，并加盖供应商公章。授权委托书应载明代理人的姓名或者名称、代理事项、具体权限、期限和相关事项。</w:t>
      </w:r>
    </w:p>
    <w:p>
      <w:pPr>
        <w:tabs>
          <w:tab w:val="left" w:pos="-3600"/>
          <w:tab w:val="left" w:pos="720"/>
          <w:tab w:val="left" w:pos="780"/>
        </w:tabs>
        <w:spacing w:line="380" w:lineRule="exact"/>
        <w:ind w:left="420" w:leftChars="200"/>
        <w:rPr>
          <w:rFonts w:ascii="宋体" w:hAnsi="宋体"/>
        </w:rPr>
      </w:pPr>
      <w:r>
        <w:rPr>
          <w:rFonts w:hint="eastAsia" w:ascii="宋体" w:hAnsi="宋体"/>
        </w:rPr>
        <w:t>（3）招标人</w:t>
      </w:r>
      <w:r>
        <w:rPr>
          <w:rFonts w:hint="eastAsia" w:ascii="宋体" w:hAnsi="宋体"/>
          <w:lang w:eastAsia="zh-TW"/>
        </w:rPr>
        <w:t>或者采购代理机构</w:t>
      </w:r>
      <w:r>
        <w:rPr>
          <w:rFonts w:hint="eastAsia" w:ascii="宋体" w:hAnsi="宋体"/>
        </w:rPr>
        <w:t>在三个工作日内对供应商依法提出的询问作出答复。</w:t>
      </w:r>
    </w:p>
    <w:p>
      <w:pPr>
        <w:tabs>
          <w:tab w:val="left" w:pos="-3600"/>
          <w:tab w:val="left" w:pos="720"/>
          <w:tab w:val="left" w:pos="780"/>
        </w:tabs>
        <w:spacing w:line="380" w:lineRule="exact"/>
        <w:ind w:left="420" w:leftChars="200"/>
        <w:rPr>
          <w:rFonts w:ascii="宋体" w:hAnsi="宋体"/>
          <w:color w:val="FF0000"/>
          <w:highlight w:val="yellow"/>
        </w:rPr>
      </w:pPr>
      <w:r>
        <w:rPr>
          <w:rFonts w:hint="eastAsia" w:ascii="宋体" w:hAnsi="宋体"/>
          <w:color w:val="FF0000"/>
          <w:highlight w:val="yellow"/>
        </w:rPr>
        <w:t>（4）询问联系人：</w:t>
      </w:r>
    </w:p>
    <w:p>
      <w:pPr>
        <w:tabs>
          <w:tab w:val="left" w:pos="-3600"/>
          <w:tab w:val="left" w:pos="720"/>
          <w:tab w:val="left" w:pos="780"/>
        </w:tabs>
        <w:spacing w:line="380" w:lineRule="exact"/>
        <w:ind w:left="420" w:leftChars="200"/>
        <w:rPr>
          <w:rFonts w:ascii="宋体" w:hAnsi="宋体"/>
          <w:color w:val="FF0000"/>
          <w:highlight w:val="yellow"/>
        </w:rPr>
      </w:pPr>
      <w:r>
        <w:rPr>
          <w:rFonts w:hint="eastAsia" w:ascii="宋体" w:hAnsi="宋体"/>
          <w:color w:val="FF0000"/>
          <w:highlight w:val="yellow"/>
        </w:rPr>
        <w:t>①采购代理机构 ：广东国达工程项目咨询有限公司</w:t>
      </w:r>
    </w:p>
    <w:p>
      <w:pPr>
        <w:tabs>
          <w:tab w:val="left" w:pos="-3600"/>
          <w:tab w:val="left" w:pos="720"/>
          <w:tab w:val="left" w:pos="780"/>
        </w:tabs>
        <w:spacing w:line="380" w:lineRule="exact"/>
        <w:ind w:left="420" w:leftChars="200"/>
        <w:rPr>
          <w:rFonts w:ascii="宋体" w:hAnsi="宋体"/>
          <w:color w:val="FF0000"/>
          <w:highlight w:val="yellow"/>
        </w:rPr>
      </w:pPr>
      <w:r>
        <w:rPr>
          <w:rFonts w:hint="eastAsia" w:ascii="宋体" w:hAnsi="宋体"/>
          <w:color w:val="FF0000"/>
          <w:highlight w:val="yellow"/>
        </w:rPr>
        <w:t>地址：阳江市江城区城北街道创业北路御景豪园36幢246号</w:t>
      </w:r>
    </w:p>
    <w:p>
      <w:pPr>
        <w:tabs>
          <w:tab w:val="left" w:pos="-3600"/>
          <w:tab w:val="left" w:pos="720"/>
          <w:tab w:val="left" w:pos="780"/>
        </w:tabs>
        <w:spacing w:line="380" w:lineRule="exact"/>
        <w:ind w:left="420" w:leftChars="200"/>
        <w:rPr>
          <w:rFonts w:ascii="宋体" w:hAnsi="宋体"/>
          <w:color w:val="FF0000"/>
          <w:highlight w:val="yellow"/>
        </w:rPr>
      </w:pPr>
      <w:r>
        <w:rPr>
          <w:rFonts w:hint="eastAsia" w:ascii="宋体" w:hAnsi="宋体"/>
          <w:color w:val="FF0000"/>
          <w:highlight w:val="yellow"/>
        </w:rPr>
        <w:t>联系人：林工</w:t>
      </w:r>
      <w:r>
        <w:rPr>
          <w:rFonts w:hint="eastAsia" w:ascii="宋体" w:hAnsi="宋体"/>
          <w:color w:val="FF0000"/>
          <w:highlight w:val="yellow"/>
        </w:rPr>
        <w:tab/>
      </w:r>
      <w:r>
        <w:rPr>
          <w:rFonts w:hint="eastAsia" w:ascii="宋体" w:hAnsi="宋体"/>
          <w:color w:val="FF0000"/>
          <w:highlight w:val="yellow"/>
        </w:rPr>
        <w:t xml:space="preserve">        联系电话：0662-6636022</w:t>
      </w:r>
    </w:p>
    <w:p>
      <w:pPr>
        <w:tabs>
          <w:tab w:val="left" w:pos="-3600"/>
          <w:tab w:val="left" w:pos="720"/>
          <w:tab w:val="left" w:pos="780"/>
        </w:tabs>
        <w:spacing w:line="380" w:lineRule="exact"/>
        <w:ind w:left="420" w:leftChars="200"/>
        <w:rPr>
          <w:rFonts w:ascii="宋体" w:hAnsi="宋体"/>
          <w:color w:val="FF0000"/>
          <w:highlight w:val="yellow"/>
        </w:rPr>
      </w:pPr>
      <w:r>
        <w:rPr>
          <w:rFonts w:hint="eastAsia" w:ascii="宋体" w:hAnsi="宋体"/>
          <w:color w:val="FF0000"/>
          <w:highlight w:val="yellow"/>
        </w:rPr>
        <w:t>②招标人：国家税务总局阳江高新技术产业开发区税务局</w:t>
      </w:r>
    </w:p>
    <w:p>
      <w:pPr>
        <w:tabs>
          <w:tab w:val="left" w:pos="-3600"/>
          <w:tab w:val="left" w:pos="720"/>
          <w:tab w:val="left" w:pos="780"/>
        </w:tabs>
        <w:spacing w:line="380" w:lineRule="exact"/>
        <w:ind w:left="420" w:leftChars="200"/>
        <w:rPr>
          <w:rFonts w:ascii="宋体" w:hAnsi="宋体"/>
          <w:color w:val="FF0000"/>
          <w:highlight w:val="yellow"/>
        </w:rPr>
      </w:pPr>
      <w:r>
        <w:rPr>
          <w:rFonts w:hint="eastAsia" w:ascii="宋体" w:hAnsi="宋体"/>
          <w:color w:val="FF0000"/>
          <w:highlight w:val="yellow"/>
        </w:rPr>
        <w:t>地址：广东省阳江高新技术产业开发区政德路西2号</w:t>
      </w:r>
    </w:p>
    <w:p>
      <w:pPr>
        <w:tabs>
          <w:tab w:val="left" w:pos="-3600"/>
          <w:tab w:val="left" w:pos="720"/>
          <w:tab w:val="left" w:pos="780"/>
        </w:tabs>
        <w:spacing w:line="380" w:lineRule="exact"/>
        <w:ind w:left="420" w:leftChars="200"/>
        <w:rPr>
          <w:rFonts w:ascii="宋体" w:hAnsi="宋体"/>
          <w:color w:val="FF0000"/>
          <w:highlight w:val="yellow"/>
        </w:rPr>
      </w:pPr>
      <w:r>
        <w:rPr>
          <w:rFonts w:hint="eastAsia" w:ascii="宋体" w:hAnsi="宋体"/>
          <w:color w:val="FF0000"/>
          <w:highlight w:val="yellow"/>
        </w:rPr>
        <w:t>联系人：陈主任        联系电话：0662-3831370</w:t>
      </w:r>
    </w:p>
    <w:p>
      <w:pPr>
        <w:tabs>
          <w:tab w:val="left" w:pos="-3600"/>
          <w:tab w:val="left" w:pos="720"/>
          <w:tab w:val="left" w:pos="780"/>
        </w:tabs>
        <w:spacing w:line="380" w:lineRule="exact"/>
        <w:ind w:left="420" w:leftChars="200"/>
        <w:rPr>
          <w:rFonts w:ascii="宋体" w:hAnsi="宋体"/>
        </w:rPr>
      </w:pPr>
      <w:r>
        <w:rPr>
          <w:rFonts w:hint="eastAsia" w:ascii="宋体" w:hAnsi="宋体"/>
        </w:rPr>
        <w:t>2、质疑</w:t>
      </w:r>
    </w:p>
    <w:p>
      <w:pPr>
        <w:tabs>
          <w:tab w:val="left" w:pos="-3600"/>
          <w:tab w:val="left" w:pos="720"/>
          <w:tab w:val="left" w:pos="780"/>
        </w:tabs>
        <w:spacing w:line="380" w:lineRule="exact"/>
        <w:ind w:left="420" w:leftChars="200"/>
        <w:rPr>
          <w:rFonts w:ascii="宋体" w:hAnsi="宋体"/>
        </w:rPr>
      </w:pPr>
      <w:r>
        <w:rPr>
          <w:rFonts w:hint="eastAsia" w:ascii="宋体" w:hAnsi="宋体"/>
        </w:rPr>
        <w:t>（1）提出质疑的供应商（以下简称质疑供应商）应当是参与所质疑项目采购活动的供应商。</w:t>
      </w:r>
    </w:p>
    <w:p>
      <w:pPr>
        <w:tabs>
          <w:tab w:val="left" w:pos="-3600"/>
          <w:tab w:val="left" w:pos="720"/>
          <w:tab w:val="left" w:pos="780"/>
        </w:tabs>
        <w:spacing w:line="380" w:lineRule="exact"/>
        <w:ind w:left="420" w:leftChars="200"/>
        <w:rPr>
          <w:rFonts w:ascii="宋体" w:hAnsi="宋体"/>
        </w:rPr>
      </w:pPr>
      <w:r>
        <w:rPr>
          <w:rFonts w:hint="eastAsia" w:ascii="宋体" w:hAnsi="宋体"/>
        </w:rPr>
        <w:t>（2）质疑期限：</w:t>
      </w:r>
    </w:p>
    <w:p>
      <w:pPr>
        <w:tabs>
          <w:tab w:val="left" w:pos="-3600"/>
          <w:tab w:val="left" w:pos="720"/>
          <w:tab w:val="left" w:pos="780"/>
        </w:tabs>
        <w:spacing w:line="380" w:lineRule="exact"/>
        <w:ind w:left="420" w:leftChars="200"/>
        <w:rPr>
          <w:rFonts w:ascii="宋体" w:hAnsi="宋体"/>
        </w:rPr>
      </w:pPr>
      <w:r>
        <w:rPr>
          <w:rFonts w:hint="eastAsia" w:ascii="宋体" w:hAnsi="宋体"/>
        </w:rPr>
        <w:t>1）供应商认为招标文件的内容损害其权益的，应当在投标报名登记之日或者招标文件公告期届满之日起七个工作日内。（注：供应商投标报名登记之日早于招标文件公告期限届满之日的，则以供应商投标报名登记之日为质疑时效期间的起算日期；否则，以招标文件公告期限届满之日为质疑时效期间的起算日期）</w:t>
      </w:r>
    </w:p>
    <w:p>
      <w:pPr>
        <w:tabs>
          <w:tab w:val="left" w:pos="-3600"/>
          <w:tab w:val="left" w:pos="720"/>
          <w:tab w:val="left" w:pos="780"/>
        </w:tabs>
        <w:spacing w:line="380" w:lineRule="exact"/>
        <w:ind w:left="420" w:leftChars="200"/>
        <w:rPr>
          <w:rFonts w:ascii="宋体" w:hAnsi="宋体"/>
        </w:rPr>
      </w:pPr>
      <w:r>
        <w:rPr>
          <w:rFonts w:hint="eastAsia" w:ascii="宋体" w:hAnsi="宋体"/>
        </w:rPr>
        <w:t>2）供应商认为采购过程损害其权益的，应在各采购程序环节结束之日起七个工作日内。</w:t>
      </w:r>
    </w:p>
    <w:p>
      <w:pPr>
        <w:tabs>
          <w:tab w:val="left" w:pos="-3600"/>
          <w:tab w:val="left" w:pos="720"/>
          <w:tab w:val="left" w:pos="780"/>
        </w:tabs>
        <w:spacing w:line="380" w:lineRule="exact"/>
        <w:ind w:left="420" w:leftChars="200"/>
        <w:rPr>
          <w:rFonts w:ascii="宋体" w:hAnsi="宋体"/>
        </w:rPr>
      </w:pPr>
      <w:r>
        <w:rPr>
          <w:rFonts w:hint="eastAsia" w:ascii="宋体" w:hAnsi="宋体"/>
        </w:rPr>
        <w:t>3）供应商认为中标或者成交结果损害其权益的，应在中标或者成交结果公告期限届满之日起七个工作日内。</w:t>
      </w:r>
    </w:p>
    <w:p>
      <w:pPr>
        <w:tabs>
          <w:tab w:val="left" w:pos="-3600"/>
          <w:tab w:val="left" w:pos="720"/>
          <w:tab w:val="left" w:pos="780"/>
        </w:tabs>
        <w:spacing w:line="380" w:lineRule="exact"/>
        <w:ind w:left="420" w:leftChars="200"/>
        <w:rPr>
          <w:rFonts w:ascii="宋体" w:hAnsi="宋体"/>
        </w:rPr>
      </w:pPr>
      <w:r>
        <w:rPr>
          <w:rFonts w:hint="eastAsia" w:ascii="宋体" w:hAnsi="宋体"/>
        </w:rPr>
        <w:t>（3）提交要求：</w:t>
      </w:r>
    </w:p>
    <w:p>
      <w:pPr>
        <w:tabs>
          <w:tab w:val="left" w:pos="-3600"/>
          <w:tab w:val="left" w:pos="720"/>
          <w:tab w:val="left" w:pos="780"/>
        </w:tabs>
        <w:spacing w:line="380" w:lineRule="exact"/>
        <w:ind w:left="420" w:leftChars="200"/>
        <w:rPr>
          <w:rFonts w:ascii="宋体" w:hAnsi="宋体"/>
        </w:rPr>
      </w:pPr>
      <w:r>
        <w:rPr>
          <w:rFonts w:hint="eastAsia" w:ascii="宋体" w:hAnsi="宋体"/>
        </w:rPr>
        <w:t>1）以书面形式（指加盖供应商公章的原件）向招标人或者采购代理机构一次性提出针对同一采购程序环节的质疑。</w:t>
      </w:r>
    </w:p>
    <w:p>
      <w:pPr>
        <w:tabs>
          <w:tab w:val="left" w:pos="-3600"/>
          <w:tab w:val="left" w:pos="720"/>
          <w:tab w:val="left" w:pos="780"/>
        </w:tabs>
        <w:spacing w:line="380" w:lineRule="exact"/>
        <w:ind w:left="420" w:leftChars="200"/>
        <w:rPr>
          <w:rFonts w:ascii="宋体" w:hAnsi="宋体"/>
        </w:rPr>
      </w:pPr>
      <w:r>
        <w:rPr>
          <w:rFonts w:hint="eastAsia" w:ascii="宋体" w:hAnsi="宋体"/>
        </w:rPr>
        <w:t>2)质疑函应当包括下列内容：</w:t>
      </w:r>
    </w:p>
    <w:p>
      <w:pPr>
        <w:tabs>
          <w:tab w:val="left" w:pos="-3600"/>
          <w:tab w:val="left" w:pos="720"/>
          <w:tab w:val="left" w:pos="780"/>
        </w:tabs>
        <w:spacing w:line="380" w:lineRule="exact"/>
        <w:ind w:left="420" w:leftChars="200"/>
        <w:rPr>
          <w:rFonts w:ascii="宋体" w:hAnsi="宋体"/>
        </w:rPr>
      </w:pPr>
      <w:r>
        <w:rPr>
          <w:rFonts w:cs="Calibri"/>
        </w:rPr>
        <w:t>①</w:t>
      </w:r>
      <w:r>
        <w:rPr>
          <w:rFonts w:hint="eastAsia" w:ascii="宋体" w:hAnsi="宋体"/>
        </w:rPr>
        <w:t>供应商的姓名或者名称、地址、邮编、联系人及联系电话；</w:t>
      </w:r>
    </w:p>
    <w:p>
      <w:pPr>
        <w:tabs>
          <w:tab w:val="left" w:pos="-3600"/>
          <w:tab w:val="left" w:pos="720"/>
          <w:tab w:val="left" w:pos="780"/>
        </w:tabs>
        <w:spacing w:line="380" w:lineRule="exact"/>
        <w:ind w:left="420" w:leftChars="200"/>
        <w:rPr>
          <w:rFonts w:ascii="宋体" w:hAnsi="宋体"/>
        </w:rPr>
      </w:pPr>
      <w:r>
        <w:rPr>
          <w:rFonts w:cs="Calibri"/>
        </w:rPr>
        <w:t>②</w:t>
      </w:r>
      <w:r>
        <w:rPr>
          <w:rFonts w:hint="eastAsia" w:ascii="宋体" w:hAnsi="宋体"/>
        </w:rPr>
        <w:t>质疑项目的名称和项目编号，若对项目的某一分包进行质疑，应列明具体的包组号；</w:t>
      </w:r>
    </w:p>
    <w:p>
      <w:pPr>
        <w:tabs>
          <w:tab w:val="left" w:pos="-3600"/>
          <w:tab w:val="left" w:pos="720"/>
          <w:tab w:val="left" w:pos="780"/>
        </w:tabs>
        <w:spacing w:line="380" w:lineRule="exact"/>
        <w:ind w:left="420" w:leftChars="200"/>
        <w:rPr>
          <w:rFonts w:ascii="宋体" w:hAnsi="宋体"/>
        </w:rPr>
      </w:pPr>
      <w:r>
        <w:rPr>
          <w:rFonts w:cs="Calibri"/>
        </w:rPr>
        <w:t>③</w:t>
      </w:r>
      <w:r>
        <w:rPr>
          <w:rFonts w:hint="eastAsia" w:ascii="宋体" w:hAnsi="宋体"/>
        </w:rPr>
        <w:t>具体、明确的质疑事项和与质疑事项相关的请求；</w:t>
      </w:r>
    </w:p>
    <w:p>
      <w:pPr>
        <w:tabs>
          <w:tab w:val="left" w:pos="-3600"/>
          <w:tab w:val="left" w:pos="720"/>
          <w:tab w:val="left" w:pos="780"/>
        </w:tabs>
        <w:spacing w:line="380" w:lineRule="exact"/>
        <w:ind w:left="420" w:leftChars="200"/>
        <w:rPr>
          <w:rFonts w:ascii="宋体" w:hAnsi="宋体"/>
        </w:rPr>
      </w:pPr>
      <w:r>
        <w:rPr>
          <w:rFonts w:cs="Calibri"/>
        </w:rPr>
        <w:t>④</w:t>
      </w:r>
      <w:r>
        <w:rPr>
          <w:rFonts w:hint="eastAsia" w:ascii="宋体" w:hAnsi="宋体"/>
        </w:rPr>
        <w:t>事实依据；</w:t>
      </w:r>
    </w:p>
    <w:p>
      <w:pPr>
        <w:tabs>
          <w:tab w:val="left" w:pos="-3600"/>
          <w:tab w:val="left" w:pos="720"/>
          <w:tab w:val="left" w:pos="780"/>
        </w:tabs>
        <w:spacing w:line="380" w:lineRule="exact"/>
        <w:ind w:left="420" w:leftChars="200"/>
        <w:rPr>
          <w:rFonts w:ascii="宋体" w:hAnsi="宋体"/>
        </w:rPr>
      </w:pPr>
      <w:r>
        <w:rPr>
          <w:rFonts w:cs="Calibri"/>
        </w:rPr>
        <w:t>⑤</w:t>
      </w:r>
      <w:r>
        <w:rPr>
          <w:rFonts w:hint="eastAsia" w:ascii="宋体" w:hAnsi="宋体"/>
        </w:rPr>
        <w:t>必要的法律依据；</w:t>
      </w:r>
    </w:p>
    <w:p>
      <w:pPr>
        <w:tabs>
          <w:tab w:val="left" w:pos="-3600"/>
          <w:tab w:val="left" w:pos="720"/>
          <w:tab w:val="left" w:pos="780"/>
        </w:tabs>
        <w:spacing w:line="380" w:lineRule="exact"/>
        <w:ind w:left="420" w:leftChars="200"/>
        <w:rPr>
          <w:rFonts w:ascii="宋体" w:hAnsi="宋体"/>
        </w:rPr>
      </w:pPr>
      <w:r>
        <w:rPr>
          <w:rFonts w:cs="Calibri"/>
        </w:rPr>
        <w:t>⑥</w:t>
      </w:r>
      <w:r>
        <w:rPr>
          <w:rFonts w:hint="eastAsia" w:ascii="宋体" w:hAnsi="宋体"/>
        </w:rPr>
        <w:t>提出质疑的日期。</w:t>
      </w:r>
    </w:p>
    <w:p>
      <w:pPr>
        <w:tabs>
          <w:tab w:val="left" w:pos="-3600"/>
          <w:tab w:val="left" w:pos="720"/>
          <w:tab w:val="left" w:pos="780"/>
        </w:tabs>
        <w:spacing w:line="380" w:lineRule="exact"/>
        <w:ind w:left="420" w:leftChars="200"/>
        <w:rPr>
          <w:rFonts w:ascii="宋体" w:hAnsi="宋体"/>
        </w:rPr>
      </w:pPr>
      <w:r>
        <w:rPr>
          <w:rFonts w:cs="Calibri"/>
        </w:rPr>
        <w:t>⑦</w:t>
      </w:r>
      <w:r>
        <w:rPr>
          <w:rFonts w:hint="eastAsia" w:ascii="宋体" w:hAnsi="宋体"/>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pPr>
        <w:tabs>
          <w:tab w:val="left" w:pos="-3600"/>
          <w:tab w:val="left" w:pos="720"/>
          <w:tab w:val="left" w:pos="780"/>
        </w:tabs>
        <w:spacing w:line="380" w:lineRule="exact"/>
        <w:ind w:left="420" w:leftChars="200"/>
        <w:rPr>
          <w:rFonts w:ascii="宋体" w:hAnsi="宋体"/>
        </w:rPr>
      </w:pPr>
      <w:r>
        <w:rPr>
          <w:rFonts w:hint="eastAsia" w:ascii="宋体" w:hAnsi="宋体"/>
        </w:rPr>
        <w:t>（4）以联合体形式参加政府采购活动的，其质疑应当由组成联合体的所有供应商共同提出。</w:t>
      </w:r>
    </w:p>
    <w:p>
      <w:pPr>
        <w:tabs>
          <w:tab w:val="left" w:pos="-3600"/>
          <w:tab w:val="left" w:pos="720"/>
          <w:tab w:val="left" w:pos="780"/>
        </w:tabs>
        <w:spacing w:line="380" w:lineRule="exact"/>
        <w:ind w:left="420" w:leftChars="200"/>
        <w:rPr>
          <w:rFonts w:ascii="宋体" w:hAnsi="宋体"/>
        </w:rPr>
      </w:pPr>
      <w:r>
        <w:rPr>
          <w:rFonts w:hint="eastAsia" w:ascii="宋体" w:hAnsi="宋体"/>
        </w:rPr>
        <w:t>（5）供应商捏造事实、提供虚假材料或者以非法手段取得证明材料不能作为质疑的证明材料。</w:t>
      </w:r>
    </w:p>
    <w:p>
      <w:pPr>
        <w:tabs>
          <w:tab w:val="left" w:pos="-3600"/>
          <w:tab w:val="left" w:pos="720"/>
          <w:tab w:val="left" w:pos="780"/>
        </w:tabs>
        <w:spacing w:line="380" w:lineRule="exact"/>
        <w:ind w:left="420" w:leftChars="200"/>
        <w:rPr>
          <w:rFonts w:ascii="宋体" w:hAnsi="宋体"/>
        </w:rPr>
      </w:pPr>
      <w:r>
        <w:rPr>
          <w:rFonts w:hint="eastAsia" w:ascii="宋体" w:hAnsi="宋体"/>
        </w:rPr>
        <w:t>（6）招标人</w:t>
      </w:r>
      <w:r>
        <w:rPr>
          <w:rFonts w:hint="eastAsia" w:ascii="宋体" w:hAnsi="宋体"/>
          <w:lang w:eastAsia="zh-TW"/>
        </w:rPr>
        <w:t>或者采购代理机构</w:t>
      </w:r>
      <w:r>
        <w:rPr>
          <w:rFonts w:hint="eastAsia" w:ascii="宋体" w:hAnsi="宋体"/>
        </w:rPr>
        <w:t>在收到质疑函后7个工作日内作出答复，并以书面形式通知质疑供应商和其他有关供应商，但答复内容不涉及商业秘密。</w:t>
      </w:r>
    </w:p>
    <w:p>
      <w:pPr>
        <w:tabs>
          <w:tab w:val="left" w:pos="-3600"/>
          <w:tab w:val="left" w:pos="720"/>
          <w:tab w:val="left" w:pos="780"/>
        </w:tabs>
        <w:spacing w:line="380" w:lineRule="exact"/>
        <w:ind w:left="420" w:leftChars="200"/>
        <w:rPr>
          <w:rFonts w:ascii="宋体" w:hAnsi="宋体"/>
        </w:rPr>
      </w:pPr>
      <w:r>
        <w:rPr>
          <w:rFonts w:hint="eastAsia" w:ascii="宋体" w:hAnsi="宋体"/>
        </w:rPr>
        <w:t>（7）询问、质疑的期间开始之日，不计算在期间内。期间届满的最后一日是节假日的，以节假日后的第一日为期间届满的日期。期间不包括在途时间，询问和质疑文书在期满前交邮的，不算过期。</w:t>
      </w:r>
    </w:p>
    <w:p>
      <w:pPr>
        <w:tabs>
          <w:tab w:val="left" w:pos="-3600"/>
          <w:tab w:val="left" w:pos="720"/>
          <w:tab w:val="left" w:pos="780"/>
        </w:tabs>
        <w:spacing w:line="380" w:lineRule="exact"/>
        <w:ind w:left="420" w:leftChars="200"/>
        <w:rPr>
          <w:rFonts w:ascii="宋体" w:hAnsi="宋体"/>
        </w:rPr>
      </w:pPr>
      <w:r>
        <w:rPr>
          <w:rFonts w:hint="eastAsia" w:ascii="宋体" w:hAnsi="宋体"/>
        </w:rPr>
        <w:t>（8）对于捏造事实、滥用维权扰乱采购秩序的恶意质疑者或举证不全查无实据被驳回次数在一年内达三次以上，将纳入不良行为记录名单并承担相应的法律责任。</w:t>
      </w:r>
    </w:p>
    <w:p>
      <w:pPr>
        <w:tabs>
          <w:tab w:val="left" w:pos="-3600"/>
          <w:tab w:val="left" w:pos="720"/>
          <w:tab w:val="left" w:pos="780"/>
        </w:tabs>
        <w:spacing w:line="380" w:lineRule="exact"/>
        <w:ind w:left="420" w:leftChars="200"/>
        <w:rPr>
          <w:rFonts w:ascii="宋体" w:hAnsi="宋体"/>
          <w:color w:val="FF0000"/>
          <w:highlight w:val="yellow"/>
        </w:rPr>
      </w:pPr>
      <w:r>
        <w:rPr>
          <w:rFonts w:hint="eastAsia" w:ascii="宋体" w:hAnsi="宋体"/>
          <w:color w:val="FF0000"/>
          <w:highlight w:val="yellow"/>
        </w:rPr>
        <w:t>（9）质疑联系人：</w:t>
      </w:r>
    </w:p>
    <w:p>
      <w:pPr>
        <w:tabs>
          <w:tab w:val="left" w:pos="-3600"/>
          <w:tab w:val="left" w:pos="720"/>
          <w:tab w:val="left" w:pos="780"/>
        </w:tabs>
        <w:spacing w:line="380" w:lineRule="exact"/>
        <w:ind w:left="420" w:leftChars="200"/>
        <w:rPr>
          <w:rFonts w:ascii="宋体" w:hAnsi="宋体"/>
          <w:color w:val="FF0000"/>
          <w:highlight w:val="yellow"/>
        </w:rPr>
      </w:pPr>
      <w:r>
        <w:rPr>
          <w:rFonts w:hint="eastAsia" w:ascii="宋体" w:hAnsi="宋体"/>
          <w:color w:val="FF0000"/>
          <w:highlight w:val="yellow"/>
        </w:rPr>
        <w:t>①采购代理机构 ：广东国达工程项目咨询有限公司</w:t>
      </w:r>
    </w:p>
    <w:p>
      <w:pPr>
        <w:tabs>
          <w:tab w:val="left" w:pos="-3600"/>
          <w:tab w:val="left" w:pos="720"/>
          <w:tab w:val="left" w:pos="780"/>
        </w:tabs>
        <w:spacing w:line="380" w:lineRule="exact"/>
        <w:ind w:left="420" w:leftChars="200"/>
        <w:rPr>
          <w:rFonts w:ascii="宋体" w:hAnsi="宋体"/>
          <w:color w:val="FF0000"/>
          <w:highlight w:val="yellow"/>
        </w:rPr>
      </w:pPr>
      <w:r>
        <w:rPr>
          <w:rFonts w:hint="eastAsia" w:ascii="宋体" w:hAnsi="宋体"/>
          <w:color w:val="FF0000"/>
          <w:highlight w:val="yellow"/>
        </w:rPr>
        <w:t>地址：阳江市江城区城北街道创业北路御景豪园36幢246号</w:t>
      </w:r>
    </w:p>
    <w:p>
      <w:pPr>
        <w:tabs>
          <w:tab w:val="left" w:pos="-3600"/>
          <w:tab w:val="left" w:pos="720"/>
          <w:tab w:val="left" w:pos="780"/>
        </w:tabs>
        <w:spacing w:line="380" w:lineRule="exact"/>
        <w:ind w:left="420" w:leftChars="200"/>
        <w:rPr>
          <w:rFonts w:ascii="宋体" w:hAnsi="宋体"/>
          <w:color w:val="FF0000"/>
          <w:highlight w:val="yellow"/>
        </w:rPr>
      </w:pPr>
      <w:r>
        <w:rPr>
          <w:rFonts w:hint="eastAsia" w:ascii="宋体" w:hAnsi="宋体"/>
          <w:color w:val="FF0000"/>
          <w:highlight w:val="yellow"/>
        </w:rPr>
        <w:t>联系人：林工</w:t>
      </w:r>
      <w:r>
        <w:rPr>
          <w:rFonts w:hint="eastAsia" w:ascii="宋体" w:hAnsi="宋体"/>
          <w:color w:val="FF0000"/>
          <w:highlight w:val="yellow"/>
        </w:rPr>
        <w:tab/>
      </w:r>
      <w:r>
        <w:rPr>
          <w:rFonts w:hint="eastAsia" w:ascii="宋体" w:hAnsi="宋体"/>
          <w:color w:val="FF0000"/>
          <w:highlight w:val="yellow"/>
        </w:rPr>
        <w:t xml:space="preserve">        联系电话：0662-6636022</w:t>
      </w:r>
    </w:p>
    <w:p>
      <w:pPr>
        <w:tabs>
          <w:tab w:val="left" w:pos="-3600"/>
          <w:tab w:val="left" w:pos="720"/>
          <w:tab w:val="left" w:pos="780"/>
        </w:tabs>
        <w:spacing w:line="380" w:lineRule="exact"/>
        <w:ind w:left="420" w:leftChars="200"/>
        <w:rPr>
          <w:rFonts w:ascii="宋体" w:hAnsi="宋体"/>
          <w:color w:val="FF0000"/>
          <w:highlight w:val="yellow"/>
        </w:rPr>
      </w:pPr>
      <w:r>
        <w:rPr>
          <w:rFonts w:hint="eastAsia" w:ascii="宋体" w:hAnsi="宋体"/>
          <w:color w:val="FF0000"/>
          <w:highlight w:val="yellow"/>
        </w:rPr>
        <w:t>②招标人：国家税务总局阳江高新技术产业开发区税务局</w:t>
      </w:r>
    </w:p>
    <w:p>
      <w:pPr>
        <w:tabs>
          <w:tab w:val="left" w:pos="-3600"/>
          <w:tab w:val="left" w:pos="720"/>
          <w:tab w:val="left" w:pos="780"/>
        </w:tabs>
        <w:spacing w:line="380" w:lineRule="exact"/>
        <w:ind w:left="420" w:leftChars="200"/>
        <w:rPr>
          <w:rFonts w:ascii="宋体" w:hAnsi="宋体"/>
          <w:color w:val="FF0000"/>
          <w:highlight w:val="yellow"/>
        </w:rPr>
      </w:pPr>
      <w:r>
        <w:rPr>
          <w:rFonts w:hint="eastAsia" w:ascii="宋体" w:hAnsi="宋体"/>
          <w:color w:val="FF0000"/>
          <w:highlight w:val="yellow"/>
        </w:rPr>
        <w:t>地址：广东省阳江高新技术产业开发区政德路西2号</w:t>
      </w:r>
    </w:p>
    <w:p>
      <w:pPr>
        <w:tabs>
          <w:tab w:val="left" w:pos="-3600"/>
          <w:tab w:val="left" w:pos="720"/>
          <w:tab w:val="left" w:pos="780"/>
        </w:tabs>
        <w:spacing w:line="380" w:lineRule="exact"/>
        <w:ind w:left="420" w:leftChars="200"/>
        <w:rPr>
          <w:rFonts w:ascii="宋体" w:hAnsi="宋体"/>
          <w:color w:val="FF0000"/>
          <w:highlight w:val="yellow"/>
        </w:rPr>
      </w:pPr>
      <w:r>
        <w:rPr>
          <w:rFonts w:hint="eastAsia" w:ascii="宋体" w:hAnsi="宋体"/>
          <w:color w:val="FF0000"/>
          <w:highlight w:val="yellow"/>
        </w:rPr>
        <w:t>联系人：陈主任        联系电话：0662-3831370</w:t>
      </w:r>
    </w:p>
    <w:p>
      <w:pPr>
        <w:tabs>
          <w:tab w:val="left" w:pos="-3600"/>
          <w:tab w:val="left" w:pos="720"/>
          <w:tab w:val="left" w:pos="780"/>
        </w:tabs>
        <w:spacing w:line="380" w:lineRule="exact"/>
        <w:ind w:left="420" w:leftChars="200"/>
        <w:rPr>
          <w:rFonts w:ascii="宋体" w:hAnsi="宋体"/>
          <w:color w:val="FF0000"/>
          <w:highlight w:val="yellow"/>
        </w:rPr>
      </w:pPr>
      <w:r>
        <w:rPr>
          <w:rFonts w:hint="eastAsia" w:ascii="宋体" w:hAnsi="宋体"/>
          <w:color w:val="FF0000"/>
          <w:highlight w:val="yellow"/>
        </w:rPr>
        <w:t>3、投诉</w:t>
      </w:r>
    </w:p>
    <w:p>
      <w:pPr>
        <w:tabs>
          <w:tab w:val="left" w:pos="-3600"/>
          <w:tab w:val="left" w:pos="720"/>
          <w:tab w:val="left" w:pos="780"/>
        </w:tabs>
        <w:spacing w:line="380" w:lineRule="exact"/>
        <w:ind w:left="420" w:leftChars="200"/>
        <w:rPr>
          <w:rFonts w:ascii="宋体" w:hAnsi="宋体"/>
          <w:color w:val="FF0000"/>
          <w:highlight w:val="yellow"/>
        </w:rPr>
      </w:pPr>
      <w:r>
        <w:rPr>
          <w:rFonts w:hint="eastAsia" w:ascii="宋体" w:hAnsi="宋体"/>
          <w:color w:val="FF0000"/>
          <w:highlight w:val="yellow"/>
        </w:rPr>
        <w:t>（1）质疑供应商对招标人、</w:t>
      </w:r>
      <w:r>
        <w:rPr>
          <w:rFonts w:hint="eastAsia" w:ascii="宋体" w:hAnsi="宋体"/>
          <w:color w:val="FF0000"/>
          <w:highlight w:val="yellow"/>
          <w:lang w:eastAsia="zh-TW"/>
        </w:rPr>
        <w:t>采购代理机构</w:t>
      </w:r>
      <w:r>
        <w:rPr>
          <w:rFonts w:hint="eastAsia" w:ascii="宋体" w:hAnsi="宋体"/>
          <w:color w:val="FF0000"/>
          <w:highlight w:val="yellow"/>
        </w:rPr>
        <w:t>的质疑答复不满意，或招标人</w:t>
      </w:r>
      <w:r>
        <w:rPr>
          <w:rFonts w:hint="eastAsia" w:ascii="宋体" w:hAnsi="宋体"/>
          <w:color w:val="FF0000"/>
          <w:highlight w:val="yellow"/>
          <w:lang w:eastAsia="zh-TW"/>
        </w:rPr>
        <w:t>或者采购代理机构</w:t>
      </w:r>
      <w:r>
        <w:rPr>
          <w:rFonts w:hint="eastAsia" w:ascii="宋体" w:hAnsi="宋体"/>
          <w:color w:val="FF0000"/>
          <w:highlight w:val="yellow"/>
        </w:rPr>
        <w:t>未在规定期限内作出答复的，可以在答复期满后十五个工作日内</w:t>
      </w:r>
      <w:r>
        <w:rPr>
          <w:rFonts w:hint="eastAsia" w:ascii="宋体" w:hAnsi="宋体"/>
          <w:b/>
          <w:bCs/>
          <w:color w:val="FF0000"/>
          <w:highlight w:val="yellow"/>
        </w:rPr>
        <w:t>向同级政府采购监督部门或财政部</w:t>
      </w:r>
      <w:r>
        <w:rPr>
          <w:rFonts w:hint="eastAsia" w:ascii="宋体" w:hAnsi="宋体"/>
          <w:color w:val="FF0000"/>
          <w:highlight w:val="yellow"/>
        </w:rPr>
        <w:t>提起投诉。</w:t>
      </w:r>
    </w:p>
    <w:p>
      <w:r>
        <w:rPr>
          <w:rFonts w:hint="eastAsia"/>
        </w:rPr>
        <w:br w:type="page"/>
      </w:r>
    </w:p>
    <w:p>
      <w:pPr>
        <w:rPr>
          <w:sz w:val="28"/>
          <w:szCs w:val="28"/>
        </w:rPr>
      </w:pPr>
    </w:p>
    <w:p/>
    <w:p>
      <w:pPr>
        <w:rPr>
          <w:rFonts w:ascii="宋体" w:hAnsi="宋体"/>
          <w:b/>
          <w:sz w:val="28"/>
          <w:szCs w:val="28"/>
        </w:rPr>
      </w:pPr>
    </w:p>
    <w:p>
      <w:pPr>
        <w:rPr>
          <w:sz w:val="44"/>
        </w:rPr>
      </w:pPr>
    </w:p>
    <w:p>
      <w:pPr>
        <w:rPr>
          <w:sz w:val="28"/>
          <w:szCs w:val="28"/>
        </w:rPr>
      </w:pPr>
    </w:p>
    <w:p>
      <w:pPr>
        <w:rPr>
          <w:rFonts w:ascii="宋体" w:hAnsi="宋体"/>
          <w:b/>
          <w:sz w:val="28"/>
          <w:szCs w:val="28"/>
        </w:rPr>
      </w:pPr>
    </w:p>
    <w:p>
      <w:pPr>
        <w:pStyle w:val="3"/>
      </w:pPr>
    </w:p>
    <w:p>
      <w:pPr>
        <w:rPr>
          <w:rFonts w:ascii="宋体" w:hAnsi="宋体"/>
          <w:b/>
          <w:sz w:val="28"/>
          <w:szCs w:val="28"/>
        </w:rPr>
      </w:pPr>
    </w:p>
    <w:p>
      <w:pPr>
        <w:rPr>
          <w:sz w:val="44"/>
        </w:rPr>
      </w:pPr>
    </w:p>
    <w:p>
      <w:pPr>
        <w:pStyle w:val="3"/>
        <w:rPr>
          <w:sz w:val="44"/>
        </w:rPr>
      </w:pPr>
      <w:bookmarkStart w:id="47" w:name="_Toc3001"/>
      <w:bookmarkStart w:id="48" w:name="_Toc31735"/>
      <w:r>
        <w:rPr>
          <w:rFonts w:hint="eastAsia"/>
          <w:sz w:val="44"/>
        </w:rPr>
        <w:t>第三章</w:t>
      </w:r>
      <w:bookmarkStart w:id="49" w:name="_Toc10525517"/>
      <w:r>
        <w:rPr>
          <w:rFonts w:hint="eastAsia"/>
          <w:sz w:val="44"/>
        </w:rPr>
        <w:t>采购人需求书</w:t>
      </w:r>
      <w:bookmarkEnd w:id="47"/>
      <w:bookmarkEnd w:id="48"/>
      <w:bookmarkEnd w:id="49"/>
    </w:p>
    <w:p/>
    <w:p>
      <w:pPr>
        <w:rPr>
          <w:rFonts w:ascii="宋体" w:hAnsi="宋体"/>
          <w:b/>
          <w:sz w:val="28"/>
          <w:szCs w:val="28"/>
        </w:rPr>
      </w:pPr>
    </w:p>
    <w:p>
      <w:pPr>
        <w:rPr>
          <w:sz w:val="28"/>
          <w:szCs w:val="28"/>
        </w:rPr>
      </w:pPr>
    </w:p>
    <w:p>
      <w:pPr>
        <w:rPr>
          <w:rFonts w:ascii="宋体" w:hAnsi="宋体"/>
          <w:b/>
          <w:sz w:val="28"/>
          <w:szCs w:val="28"/>
        </w:rPr>
      </w:pPr>
    </w:p>
    <w:p>
      <w:pPr>
        <w:rPr>
          <w:sz w:val="28"/>
          <w:szCs w:val="28"/>
        </w:rPr>
      </w:pPr>
    </w:p>
    <w:p>
      <w:pPr>
        <w:rPr>
          <w:rFonts w:ascii="宋体" w:hAnsi="宋体"/>
          <w:b/>
          <w:sz w:val="28"/>
          <w:szCs w:val="28"/>
        </w:rPr>
      </w:pPr>
    </w:p>
    <w:p>
      <w:pPr>
        <w:rPr>
          <w:sz w:val="28"/>
          <w:szCs w:val="28"/>
        </w:rPr>
      </w:pPr>
    </w:p>
    <w:p>
      <w:pPr>
        <w:rPr>
          <w:rFonts w:ascii="宋体" w:hAnsi="宋体"/>
          <w:b/>
          <w:sz w:val="28"/>
          <w:szCs w:val="28"/>
        </w:rPr>
      </w:pPr>
    </w:p>
    <w:p>
      <w:pPr>
        <w:rPr>
          <w:sz w:val="28"/>
          <w:szCs w:val="28"/>
        </w:rPr>
      </w:pPr>
    </w:p>
    <w:p>
      <w:pPr>
        <w:rPr>
          <w:rFonts w:ascii="宋体" w:hAnsi="宋体"/>
          <w:b/>
          <w:sz w:val="28"/>
          <w:szCs w:val="28"/>
        </w:rPr>
      </w:pPr>
    </w:p>
    <w:p>
      <w:pPr>
        <w:rPr>
          <w:sz w:val="28"/>
          <w:szCs w:val="28"/>
        </w:rPr>
      </w:pPr>
    </w:p>
    <w:p>
      <w:pPr>
        <w:rPr>
          <w:rFonts w:ascii="宋体" w:hAnsi="宋体"/>
          <w:b/>
          <w:sz w:val="28"/>
          <w:szCs w:val="28"/>
        </w:rPr>
      </w:pPr>
    </w:p>
    <w:p>
      <w:pPr>
        <w:rPr>
          <w:rFonts w:ascii="宋体" w:hAnsi="宋体"/>
          <w:b/>
          <w:sz w:val="28"/>
          <w:szCs w:val="28"/>
        </w:rPr>
      </w:pPr>
    </w:p>
    <w:p>
      <w:pPr>
        <w:spacing w:line="480" w:lineRule="auto"/>
        <w:jc w:val="center"/>
        <w:rPr>
          <w:b/>
          <w:bCs/>
          <w:sz w:val="44"/>
          <w:szCs w:val="28"/>
        </w:rPr>
      </w:pPr>
      <w:r>
        <w:rPr>
          <w:rFonts w:hint="eastAsia"/>
          <w:b/>
          <w:bCs/>
          <w:sz w:val="44"/>
          <w:szCs w:val="28"/>
        </w:rPr>
        <w:t>国家税务总局阳江高新技术产业开发区税务局物业管理服务项目</w:t>
      </w:r>
    </w:p>
    <w:p>
      <w:pPr>
        <w:spacing w:line="480" w:lineRule="auto"/>
        <w:jc w:val="center"/>
        <w:rPr>
          <w:b/>
          <w:bCs/>
          <w:sz w:val="32"/>
          <w:szCs w:val="28"/>
        </w:rPr>
      </w:pPr>
      <w:r>
        <w:rPr>
          <w:rFonts w:hint="eastAsia"/>
          <w:b/>
          <w:bCs/>
          <w:sz w:val="44"/>
          <w:szCs w:val="28"/>
        </w:rPr>
        <w:t>采购人</w:t>
      </w:r>
      <w:r>
        <w:rPr>
          <w:b/>
          <w:bCs/>
          <w:sz w:val="44"/>
          <w:szCs w:val="28"/>
        </w:rPr>
        <w:t>需求书</w:t>
      </w:r>
    </w:p>
    <w:p>
      <w:pPr>
        <w:autoSpaceDE w:val="0"/>
        <w:autoSpaceDN w:val="0"/>
        <w:spacing w:line="400" w:lineRule="atLeast"/>
        <w:rPr>
          <w:rFonts w:ascii="宋体" w:hAnsi="宋体" w:cs="宋体"/>
          <w:b/>
          <w:sz w:val="24"/>
        </w:rPr>
      </w:pPr>
      <w:r>
        <w:rPr>
          <w:rFonts w:hint="eastAsia" w:ascii="宋体" w:hAnsi="宋体" w:cs="宋体"/>
          <w:b/>
          <w:sz w:val="24"/>
        </w:rPr>
        <w:t>“</w:t>
      </w:r>
      <w:r>
        <w:rPr>
          <w:rFonts w:hint="eastAsia" w:ascii="宋体" w:hAnsi="宋体" w:cs="宋体"/>
          <w:sz w:val="24"/>
        </w:rPr>
        <w:t>★</w:t>
      </w:r>
      <w:r>
        <w:rPr>
          <w:rFonts w:hint="eastAsia" w:ascii="宋体" w:hAnsi="宋体" w:cs="宋体"/>
          <w:b/>
          <w:sz w:val="24"/>
        </w:rPr>
        <w:t>”号条款</w:t>
      </w:r>
    </w:p>
    <w:p>
      <w:pPr>
        <w:autoSpaceDE w:val="0"/>
        <w:autoSpaceDN w:val="0"/>
        <w:spacing w:line="400" w:lineRule="atLeast"/>
        <w:ind w:firstLine="480" w:firstLineChars="200"/>
        <w:rPr>
          <w:rFonts w:ascii="宋体" w:hAnsi="宋体" w:cs="宋体"/>
          <w:sz w:val="24"/>
        </w:rPr>
      </w:pPr>
      <w:r>
        <w:rPr>
          <w:rFonts w:hint="eastAsia" w:ascii="宋体" w:hAnsi="宋体" w:cs="宋体"/>
          <w:sz w:val="24"/>
          <w:lang w:val="zh-CN"/>
        </w:rPr>
        <w:t>《用户需求书》中标注有“</w:t>
      </w:r>
      <w:r>
        <w:rPr>
          <w:rFonts w:hint="eastAsia" w:ascii="宋体" w:hAnsi="宋体" w:cs="宋体"/>
          <w:sz w:val="24"/>
        </w:rPr>
        <w:t>★”号的条款或指标项必须实质性响应，不响应或负偏离（不满足要求）将导致投标无效。</w:t>
      </w:r>
    </w:p>
    <w:p>
      <w:pPr>
        <w:autoSpaceDE w:val="0"/>
        <w:autoSpaceDN w:val="0"/>
        <w:spacing w:line="400" w:lineRule="atLeast"/>
        <w:rPr>
          <w:rFonts w:ascii="宋体" w:hAnsi="宋体" w:cs="宋体"/>
          <w:b/>
          <w:sz w:val="24"/>
        </w:rPr>
      </w:pPr>
      <w:r>
        <w:rPr>
          <w:rFonts w:hint="eastAsia" w:ascii="宋体" w:hAnsi="宋体" w:cs="宋体"/>
          <w:b/>
          <w:sz w:val="24"/>
        </w:rPr>
        <w:t>“▲”号条款</w:t>
      </w:r>
    </w:p>
    <w:p>
      <w:pPr>
        <w:ind w:firstLine="484" w:firstLineChars="202"/>
        <w:rPr>
          <w:rFonts w:ascii="宋体" w:hAnsi="宋体" w:cs="宋体"/>
          <w:sz w:val="24"/>
        </w:rPr>
      </w:pPr>
      <w:r>
        <w:rPr>
          <w:rFonts w:hint="eastAsia" w:ascii="宋体" w:hAnsi="宋体" w:cs="宋体"/>
          <w:sz w:val="24"/>
        </w:rPr>
        <w:t>带“▲”号或非带“▲”号标注的指标项，如不满足将导致严重失分。</w:t>
      </w:r>
    </w:p>
    <w:p>
      <w:pPr>
        <w:tabs>
          <w:tab w:val="left" w:pos="540"/>
        </w:tabs>
        <w:snapToGrid w:val="0"/>
        <w:spacing w:line="360" w:lineRule="auto"/>
        <w:ind w:firstLine="2811" w:firstLineChars="1000"/>
        <w:rPr>
          <w:rFonts w:ascii="宋体" w:hAnsi="宋体"/>
          <w:b/>
          <w:sz w:val="28"/>
          <w:szCs w:val="28"/>
        </w:rPr>
      </w:pPr>
    </w:p>
    <w:p>
      <w:pPr>
        <w:pStyle w:val="4"/>
        <w:spacing w:before="62" w:after="62"/>
        <w:jc w:val="center"/>
        <w:rPr>
          <w:sz w:val="28"/>
          <w:szCs w:val="28"/>
        </w:rPr>
      </w:pPr>
      <w:r>
        <w:rPr>
          <w:rFonts w:hint="eastAsia"/>
          <w:sz w:val="28"/>
          <w:szCs w:val="28"/>
        </w:rPr>
        <w:t>A.商务要求</w:t>
      </w:r>
    </w:p>
    <w:p>
      <w:pPr>
        <w:spacing w:line="360" w:lineRule="auto"/>
        <w:rPr>
          <w:rFonts w:ascii="宋体" w:hAnsi="宋体"/>
          <w:b/>
          <w:sz w:val="24"/>
          <w:szCs w:val="28"/>
        </w:rPr>
      </w:pPr>
      <w:r>
        <w:rPr>
          <w:rFonts w:hint="eastAsia" w:ascii="宋体" w:hAnsi="宋体"/>
          <w:b/>
          <w:sz w:val="24"/>
          <w:szCs w:val="28"/>
        </w:rPr>
        <w:t>一、供应商资格要求</w:t>
      </w:r>
    </w:p>
    <w:p>
      <w:pPr>
        <w:widowControl/>
        <w:numPr>
          <w:ilvl w:val="0"/>
          <w:numId w:val="12"/>
        </w:numPr>
        <w:tabs>
          <w:tab w:val="left" w:pos="360"/>
          <w:tab w:val="left" w:pos="735"/>
        </w:tabs>
        <w:adjustRightInd w:val="0"/>
        <w:snapToGrid w:val="0"/>
        <w:spacing w:line="360" w:lineRule="auto"/>
        <w:rPr>
          <w:rFonts w:ascii="宋体" w:hAnsi="宋体"/>
          <w:sz w:val="24"/>
          <w:szCs w:val="28"/>
        </w:rPr>
      </w:pPr>
      <w:r>
        <w:rPr>
          <w:rFonts w:hint="eastAsia" w:ascii="宋体" w:hAnsi="宋体"/>
          <w:sz w:val="24"/>
          <w:szCs w:val="28"/>
        </w:rPr>
        <w:t>供应商须符合《中华人民共和国政府采购法》第二十二条规定的条件：</w:t>
      </w:r>
    </w:p>
    <w:p>
      <w:pPr>
        <w:spacing w:line="360" w:lineRule="auto"/>
        <w:ind w:firstLine="480" w:firstLineChars="200"/>
        <w:rPr>
          <w:rFonts w:ascii="宋体" w:hAnsi="宋体"/>
          <w:sz w:val="24"/>
          <w:szCs w:val="28"/>
        </w:rPr>
      </w:pPr>
      <w:r>
        <w:rPr>
          <w:rFonts w:hint="eastAsia" w:ascii="宋体" w:hAnsi="宋体"/>
          <w:sz w:val="24"/>
          <w:szCs w:val="28"/>
        </w:rPr>
        <w:t>1.具有独立承担民事责任的能力（提供《关于资格的声明函》）；</w:t>
      </w:r>
    </w:p>
    <w:p>
      <w:pPr>
        <w:spacing w:line="360" w:lineRule="auto"/>
        <w:ind w:firstLine="480" w:firstLineChars="200"/>
        <w:rPr>
          <w:rFonts w:ascii="宋体" w:hAnsi="宋体"/>
          <w:sz w:val="24"/>
          <w:szCs w:val="28"/>
        </w:rPr>
      </w:pPr>
      <w:r>
        <w:rPr>
          <w:rFonts w:hint="eastAsia" w:ascii="宋体" w:hAnsi="宋体"/>
          <w:sz w:val="24"/>
          <w:szCs w:val="28"/>
        </w:rPr>
        <w:t>2.具有良好的商业信誉和健全的财务会计制度（提供《关于资格的声明函》）；</w:t>
      </w:r>
    </w:p>
    <w:p>
      <w:pPr>
        <w:spacing w:line="360" w:lineRule="auto"/>
        <w:ind w:firstLine="480" w:firstLineChars="200"/>
        <w:rPr>
          <w:rFonts w:ascii="宋体" w:hAnsi="宋体"/>
          <w:sz w:val="24"/>
          <w:szCs w:val="28"/>
        </w:rPr>
      </w:pPr>
      <w:r>
        <w:rPr>
          <w:rFonts w:hint="eastAsia" w:ascii="宋体" w:hAnsi="宋体"/>
          <w:sz w:val="24"/>
          <w:szCs w:val="28"/>
        </w:rPr>
        <w:t>3.具有履行合同所必需的设备和专业技术能力（提供《关于资格的声明函》）；</w:t>
      </w:r>
    </w:p>
    <w:p>
      <w:pPr>
        <w:spacing w:line="360" w:lineRule="auto"/>
        <w:ind w:firstLine="480" w:firstLineChars="200"/>
        <w:rPr>
          <w:rFonts w:ascii="宋体" w:hAnsi="宋体"/>
          <w:sz w:val="24"/>
          <w:szCs w:val="28"/>
        </w:rPr>
      </w:pPr>
      <w:r>
        <w:rPr>
          <w:rFonts w:hint="eastAsia" w:ascii="宋体" w:hAnsi="宋体"/>
          <w:sz w:val="24"/>
          <w:szCs w:val="28"/>
        </w:rPr>
        <w:t>4.有依法缴纳税收和社会保障资金的良好记录（提供《关于资格的声明函》）；</w:t>
      </w:r>
    </w:p>
    <w:p>
      <w:pPr>
        <w:spacing w:line="360" w:lineRule="auto"/>
        <w:ind w:firstLine="480" w:firstLineChars="200"/>
        <w:rPr>
          <w:rFonts w:ascii="宋体" w:hAnsi="宋体"/>
          <w:sz w:val="24"/>
          <w:szCs w:val="28"/>
        </w:rPr>
      </w:pPr>
      <w:r>
        <w:rPr>
          <w:rFonts w:hint="eastAsia" w:ascii="宋体" w:hAnsi="宋体"/>
          <w:sz w:val="24"/>
          <w:szCs w:val="28"/>
        </w:rPr>
        <w:t>5.参加政府采购活动前三年内，在经营活动中没有重大违法记录（提供《关于资格的声明函》）；</w:t>
      </w:r>
    </w:p>
    <w:p>
      <w:pPr>
        <w:spacing w:line="360" w:lineRule="auto"/>
        <w:ind w:firstLine="480" w:firstLineChars="200"/>
        <w:rPr>
          <w:rFonts w:ascii="宋体" w:hAnsi="宋体"/>
          <w:sz w:val="24"/>
          <w:szCs w:val="28"/>
        </w:rPr>
      </w:pPr>
      <w:r>
        <w:rPr>
          <w:rFonts w:hint="eastAsia" w:ascii="宋体" w:hAnsi="宋体"/>
          <w:sz w:val="24"/>
          <w:szCs w:val="28"/>
        </w:rPr>
        <w:t>6.法律、行政法规规定的其他条件（提供《关于资格的声明函》）。</w:t>
      </w:r>
    </w:p>
    <w:p>
      <w:pPr>
        <w:widowControl/>
        <w:numPr>
          <w:ilvl w:val="0"/>
          <w:numId w:val="12"/>
        </w:numPr>
        <w:tabs>
          <w:tab w:val="left" w:pos="360"/>
          <w:tab w:val="left" w:pos="735"/>
        </w:tabs>
        <w:adjustRightInd w:val="0"/>
        <w:snapToGrid w:val="0"/>
        <w:spacing w:line="360" w:lineRule="auto"/>
        <w:rPr>
          <w:rFonts w:ascii="宋体" w:hAnsi="宋体"/>
          <w:sz w:val="24"/>
          <w:szCs w:val="28"/>
        </w:rPr>
      </w:pPr>
      <w:r>
        <w:rPr>
          <w:rFonts w:hint="eastAsia" w:ascii="宋体" w:hAnsi="宋体"/>
          <w:sz w:val="24"/>
          <w:szCs w:val="28"/>
        </w:rPr>
        <w:t>落实政府采购政策需满足的资格要求：</w:t>
      </w:r>
    </w:p>
    <w:p>
      <w:pPr>
        <w:shd w:val="clear" w:color="auto" w:fill="FFFFFF"/>
        <w:spacing w:line="360" w:lineRule="auto"/>
        <w:ind w:firstLine="420" w:firstLineChars="200"/>
        <w:jc w:val="left"/>
        <w:rPr>
          <w:rFonts w:ascii="宋体" w:hAnsi="宋体" w:cs="Futura-Heavy"/>
          <w:szCs w:val="21"/>
          <w:shd w:val="clear" w:color="auto" w:fill="FFFFFF"/>
        </w:rPr>
      </w:pPr>
      <w:r>
        <w:rPr>
          <w:rFonts w:hint="eastAsia" w:ascii="宋体" w:hAnsi="宋体" w:cs="Futura-Heavy"/>
          <w:szCs w:val="21"/>
          <w:shd w:val="clear" w:color="auto" w:fill="FFFFFF"/>
        </w:rPr>
        <w:t>本项目属于专门面向中小企业采购。</w:t>
      </w:r>
    </w:p>
    <w:p>
      <w:pPr>
        <w:widowControl/>
        <w:numPr>
          <w:ilvl w:val="0"/>
          <w:numId w:val="12"/>
        </w:numPr>
        <w:tabs>
          <w:tab w:val="left" w:pos="360"/>
          <w:tab w:val="left" w:pos="735"/>
        </w:tabs>
        <w:adjustRightInd w:val="0"/>
        <w:snapToGrid w:val="0"/>
        <w:spacing w:line="360" w:lineRule="auto"/>
        <w:rPr>
          <w:rFonts w:ascii="宋体" w:hAnsi="宋体"/>
          <w:sz w:val="24"/>
          <w:szCs w:val="28"/>
        </w:rPr>
      </w:pPr>
      <w:r>
        <w:rPr>
          <w:rFonts w:hint="eastAsia" w:ascii="宋体" w:hAnsi="宋体"/>
          <w:sz w:val="24"/>
          <w:szCs w:val="28"/>
        </w:rPr>
        <w:t>本项目的特定资格要求：</w:t>
      </w:r>
    </w:p>
    <w:p>
      <w:pPr>
        <w:shd w:val="clear" w:color="auto" w:fill="FFFFFF"/>
        <w:spacing w:line="360" w:lineRule="auto"/>
        <w:ind w:firstLine="336"/>
        <w:jc w:val="left"/>
        <w:rPr>
          <w:rFonts w:ascii="宋体" w:hAnsi="宋体" w:cs="Futura-Heavy"/>
          <w:szCs w:val="21"/>
          <w:shd w:val="clear" w:color="auto" w:fill="FFFFFF"/>
        </w:rPr>
      </w:pPr>
      <w:r>
        <w:rPr>
          <w:rFonts w:ascii="宋体" w:hAnsi="宋体" w:cs="Futura-Heavy"/>
          <w:szCs w:val="21"/>
          <w:shd w:val="clear" w:color="auto" w:fill="FFFFFF"/>
        </w:rPr>
        <w:t>1.为采购项目提供整体设计、规范编制或者项目管理、监理、检测等服务的供应商，不再参加该采购项目的其他采购活动。（提供《关于资格的声明函》）</w:t>
      </w:r>
    </w:p>
    <w:p>
      <w:pPr>
        <w:shd w:val="clear" w:color="auto" w:fill="FFFFFF"/>
        <w:spacing w:line="360" w:lineRule="auto"/>
        <w:ind w:firstLine="336"/>
        <w:jc w:val="left"/>
        <w:rPr>
          <w:rFonts w:ascii="宋体" w:hAnsi="宋体" w:cs="Futura-Heavy"/>
          <w:szCs w:val="21"/>
          <w:shd w:val="clear" w:color="auto" w:fill="FFFFFF"/>
        </w:rPr>
      </w:pPr>
      <w:r>
        <w:rPr>
          <w:rFonts w:ascii="宋体" w:hAnsi="宋体" w:cs="Futura-Heavy"/>
          <w:szCs w:val="21"/>
          <w:shd w:val="clear" w:color="auto" w:fill="FFFFFF"/>
        </w:rPr>
        <w:t>2.单位负责人为同一人或者存在直接控股、管理关系的不同供应商，不得参加同一合同项下的政府采购活动。（提供《关于资格的声明函》）</w:t>
      </w:r>
    </w:p>
    <w:p>
      <w:pPr>
        <w:shd w:val="clear" w:color="auto" w:fill="FFFFFF"/>
        <w:spacing w:line="360" w:lineRule="auto"/>
        <w:ind w:firstLine="336"/>
        <w:jc w:val="left"/>
        <w:rPr>
          <w:rFonts w:ascii="宋体" w:hAnsi="宋体" w:cs="Futura-Heavy"/>
          <w:szCs w:val="21"/>
          <w:shd w:val="clear" w:color="auto" w:fill="FFFFFF"/>
        </w:rPr>
      </w:pPr>
      <w:r>
        <w:rPr>
          <w:rFonts w:ascii="宋体" w:hAnsi="宋体" w:cs="Futura-Heavy"/>
          <w:szCs w:val="21"/>
          <w:shd w:val="clear" w:color="auto" w:fill="FFFFFF"/>
        </w:rPr>
        <w:t>3.投标人未被列入“信用中国”网站(</w:t>
      </w:r>
      <w:r>
        <w:fldChar w:fldCharType="begin"/>
      </w:r>
      <w:r>
        <w:instrText xml:space="preserve"> HYPERLINK "http://www.creditchina.gov.cn" </w:instrText>
      </w:r>
      <w:r>
        <w:fldChar w:fldCharType="separate"/>
      </w:r>
      <w:r>
        <w:rPr>
          <w:rStyle w:val="24"/>
          <w:rFonts w:hAnsi="宋体" w:cs="Futura-Heavy"/>
          <w:szCs w:val="21"/>
          <w:shd w:val="clear" w:color="auto" w:fill="FFFFFF"/>
        </w:rPr>
        <w:t>www.creditchina.gov.cn</w:t>
      </w:r>
      <w:r>
        <w:rPr>
          <w:rStyle w:val="24"/>
          <w:rFonts w:hAnsi="宋体" w:cs="Futura-Heavy"/>
          <w:szCs w:val="21"/>
          <w:shd w:val="clear" w:color="auto" w:fill="FFFFFF"/>
        </w:rPr>
        <w:fldChar w:fldCharType="end"/>
      </w:r>
      <w:r>
        <w:rPr>
          <w:rFonts w:ascii="宋体" w:hAnsi="宋体" w:cs="Futura-Heavy"/>
          <w:szCs w:val="21"/>
          <w:shd w:val="clear" w:color="auto" w:fill="FFFFFF"/>
        </w:rPr>
        <w:t xml:space="preserve">)以下任意名单之一：①失信被执行人名单；②重大税收违法案件当事人名单；③政府采购严重违法失信名单。同时，不处于中国政府采购网（www.ccgp.gov.cn </w:t>
      </w:r>
      <w:r>
        <w:rPr>
          <w:rFonts w:hint="eastAsia" w:ascii="宋体" w:hAnsi="宋体" w:cs="Futura-Heavy"/>
          <w:szCs w:val="21"/>
          <w:shd w:val="clear" w:color="auto" w:fill="FFFFFF"/>
        </w:rPr>
        <w:t>）“政府采购严重违法失信行为信息记录”中的禁止参加政府采购活动期间。（以采购代理机构于评审当天在上述网站查询结果为准，如在上述网站查询结果均显示没有相关记录，视为没有上述不良信用记录。同时对信用信息查询记录和证据截图存档。如相关失信记录已失效，供应商须提供相关证明资料。）</w:t>
      </w:r>
    </w:p>
    <w:p>
      <w:pPr>
        <w:spacing w:line="360" w:lineRule="auto"/>
        <w:ind w:firstLine="422" w:firstLineChars="200"/>
        <w:rPr>
          <w:rFonts w:ascii="宋体" w:hAnsi="宋体" w:cs="Futura-Heavy"/>
          <w:b/>
          <w:bCs/>
          <w:szCs w:val="21"/>
          <w:shd w:val="clear" w:color="auto" w:fill="FFFFFF"/>
        </w:rPr>
      </w:pPr>
      <w:r>
        <w:rPr>
          <w:rFonts w:hint="eastAsia" w:ascii="宋体" w:hAnsi="宋体" w:cs="Futura-Heavy"/>
          <w:b/>
          <w:bCs/>
          <w:szCs w:val="21"/>
          <w:shd w:val="clear" w:color="auto" w:fill="FFFFFF"/>
        </w:rPr>
        <w:t>注：需要落实的政府采购政策：</w:t>
      </w:r>
    </w:p>
    <w:p>
      <w:pPr>
        <w:shd w:val="clear" w:color="auto" w:fill="FFFFFF"/>
        <w:spacing w:beforeLines="50" w:line="360" w:lineRule="auto"/>
        <w:ind w:firstLine="840" w:firstLineChars="400"/>
        <w:rPr>
          <w:rFonts w:ascii="宋体" w:hAnsi="宋体" w:cs="Futura-Heavy"/>
          <w:szCs w:val="21"/>
          <w:shd w:val="clear" w:color="auto" w:fill="FFFFFF"/>
        </w:rPr>
      </w:pPr>
      <w:r>
        <w:rPr>
          <w:rFonts w:hint="eastAsia" w:ascii="宋体" w:hAnsi="宋体" w:cs="Futura-Heavy"/>
          <w:szCs w:val="21"/>
          <w:shd w:val="clear" w:color="auto" w:fill="FFFFFF"/>
        </w:rPr>
        <w:t>（</w:t>
      </w:r>
      <w:r>
        <w:rPr>
          <w:rFonts w:ascii="宋体" w:hAnsi="宋体" w:cs="Futura-Heavy"/>
          <w:szCs w:val="21"/>
          <w:shd w:val="clear" w:color="auto" w:fill="FFFFFF"/>
        </w:rPr>
        <w:t>1）《政府采购促进中小企业发展管理办法》的通知(财库[2020]46号)；</w:t>
      </w:r>
    </w:p>
    <w:p>
      <w:pPr>
        <w:shd w:val="clear" w:color="auto" w:fill="FFFFFF"/>
        <w:spacing w:beforeLines="50" w:line="360" w:lineRule="auto"/>
        <w:ind w:firstLine="840" w:firstLineChars="400"/>
        <w:rPr>
          <w:rFonts w:ascii="宋体" w:hAnsi="宋体" w:cs="Futura-Heavy"/>
          <w:szCs w:val="21"/>
          <w:shd w:val="clear" w:color="auto" w:fill="FFFFFF"/>
        </w:rPr>
      </w:pPr>
      <w:r>
        <w:rPr>
          <w:rFonts w:hint="eastAsia" w:ascii="宋体" w:hAnsi="宋体" w:cs="Futura-Heavy"/>
          <w:szCs w:val="21"/>
          <w:shd w:val="clear" w:color="auto" w:fill="FFFFFF"/>
        </w:rPr>
        <w:t>（</w:t>
      </w:r>
      <w:r>
        <w:rPr>
          <w:rFonts w:ascii="宋体" w:hAnsi="宋体" w:cs="Futura-Heavy"/>
          <w:szCs w:val="21"/>
          <w:shd w:val="clear" w:color="auto" w:fill="FFFFFF"/>
        </w:rPr>
        <w:t>2）《关于政府采购支持监狱企业发展有关问题的通知》(财库(2014)68号)；</w:t>
      </w:r>
    </w:p>
    <w:p>
      <w:pPr>
        <w:shd w:val="clear" w:color="auto" w:fill="FFFFFF"/>
        <w:spacing w:beforeLines="50" w:line="360" w:lineRule="auto"/>
        <w:ind w:firstLine="840" w:firstLineChars="400"/>
        <w:rPr>
          <w:rFonts w:ascii="宋体" w:hAnsi="宋体" w:cs="Futura-Heavy"/>
          <w:szCs w:val="21"/>
          <w:shd w:val="clear" w:color="auto" w:fill="FFFFFF"/>
        </w:rPr>
      </w:pPr>
      <w:r>
        <w:rPr>
          <w:rFonts w:hint="eastAsia" w:ascii="宋体" w:hAnsi="宋体" w:cs="Futura-Heavy"/>
          <w:szCs w:val="21"/>
          <w:shd w:val="clear" w:color="auto" w:fill="FFFFFF"/>
        </w:rPr>
        <w:t>（3）《关于促进残疾人就业政府采购政策的通知》(财库(2017)141号)；</w:t>
      </w:r>
    </w:p>
    <w:p>
      <w:pPr>
        <w:shd w:val="clear" w:color="auto" w:fill="FFFFFF"/>
        <w:spacing w:beforeLines="50" w:line="360" w:lineRule="auto"/>
        <w:ind w:firstLine="840" w:firstLineChars="400"/>
        <w:rPr>
          <w:rFonts w:ascii="宋体" w:hAnsi="宋体" w:cs="Futura-Heavy"/>
          <w:szCs w:val="21"/>
          <w:shd w:val="clear" w:color="auto" w:fill="FFFFFF"/>
        </w:rPr>
      </w:pPr>
      <w:r>
        <w:rPr>
          <w:rFonts w:hint="eastAsia" w:ascii="宋体" w:hAnsi="宋体" w:cs="Futura-Heavy"/>
          <w:szCs w:val="21"/>
          <w:shd w:val="clear" w:color="auto" w:fill="FFFFFF"/>
        </w:rPr>
        <w:t>（4）《关于运用政府采购政策支持乡村产业振兴的通知》(财库(2021)19号)等。</w:t>
      </w:r>
    </w:p>
    <w:p>
      <w:pPr>
        <w:widowControl/>
        <w:numPr>
          <w:ilvl w:val="0"/>
          <w:numId w:val="12"/>
        </w:numPr>
        <w:tabs>
          <w:tab w:val="left" w:pos="360"/>
          <w:tab w:val="left" w:pos="735"/>
        </w:tabs>
        <w:adjustRightInd w:val="0"/>
        <w:snapToGrid w:val="0"/>
        <w:spacing w:line="360" w:lineRule="auto"/>
        <w:rPr>
          <w:rFonts w:ascii="宋体" w:hAnsi="宋体"/>
          <w:sz w:val="24"/>
          <w:szCs w:val="28"/>
        </w:rPr>
      </w:pPr>
      <w:r>
        <w:rPr>
          <w:rFonts w:hint="eastAsia" w:ascii="宋体" w:hAnsi="宋体"/>
          <w:sz w:val="24"/>
          <w:szCs w:val="28"/>
        </w:rPr>
        <w:t>本项目不接受联合体投标。</w:t>
      </w:r>
    </w:p>
    <w:p>
      <w:pPr>
        <w:widowControl/>
        <w:numPr>
          <w:ilvl w:val="0"/>
          <w:numId w:val="12"/>
        </w:numPr>
        <w:tabs>
          <w:tab w:val="left" w:pos="360"/>
          <w:tab w:val="left" w:pos="735"/>
        </w:tabs>
        <w:adjustRightInd w:val="0"/>
        <w:snapToGrid w:val="0"/>
        <w:spacing w:line="360" w:lineRule="auto"/>
        <w:rPr>
          <w:rFonts w:ascii="宋体" w:hAnsi="宋体"/>
          <w:sz w:val="24"/>
          <w:szCs w:val="28"/>
        </w:rPr>
      </w:pPr>
      <w:r>
        <w:rPr>
          <w:rFonts w:hint="eastAsia" w:ascii="宋体" w:hAnsi="宋体"/>
          <w:sz w:val="24"/>
          <w:szCs w:val="28"/>
        </w:rPr>
        <w:t>须在采购代理机构处报名登记</w:t>
      </w:r>
      <w:r>
        <w:rPr>
          <w:rFonts w:hint="eastAsia" w:ascii="宋体" w:hAnsi="宋体" w:cs="宋体"/>
          <w:sz w:val="24"/>
        </w:rPr>
        <w:t>。</w:t>
      </w:r>
    </w:p>
    <w:p>
      <w:pPr>
        <w:widowControl/>
        <w:tabs>
          <w:tab w:val="left" w:pos="360"/>
          <w:tab w:val="left" w:pos="735"/>
        </w:tabs>
        <w:adjustRightInd w:val="0"/>
        <w:snapToGrid w:val="0"/>
        <w:spacing w:line="360" w:lineRule="auto"/>
        <w:ind w:left="420"/>
        <w:rPr>
          <w:rFonts w:ascii="宋体" w:hAnsi="宋体"/>
          <w:sz w:val="24"/>
          <w:szCs w:val="28"/>
        </w:rPr>
      </w:pPr>
    </w:p>
    <w:p>
      <w:pPr>
        <w:tabs>
          <w:tab w:val="left" w:pos="540"/>
        </w:tabs>
        <w:snapToGrid w:val="0"/>
        <w:spacing w:line="360" w:lineRule="auto"/>
        <w:jc w:val="center"/>
        <w:rPr>
          <w:rFonts w:ascii="仿宋" w:hAnsi="仿宋" w:eastAsia="仿宋"/>
          <w:b/>
          <w:bCs/>
          <w:sz w:val="32"/>
          <w:szCs w:val="32"/>
        </w:rPr>
      </w:pPr>
      <w:r>
        <w:rPr>
          <w:rFonts w:hint="eastAsia" w:ascii="宋体" w:hAnsi="宋体"/>
          <w:b/>
          <w:sz w:val="28"/>
          <w:szCs w:val="28"/>
        </w:rPr>
        <w:t>B技术要求</w:t>
      </w:r>
    </w:p>
    <w:p>
      <w:pPr>
        <w:snapToGrid w:val="0"/>
        <w:spacing w:line="396" w:lineRule="auto"/>
        <w:jc w:val="left"/>
        <w:outlineLvl w:val="1"/>
        <w:rPr>
          <w:rFonts w:ascii="黑体" w:hAnsi="黑体" w:eastAsia="黑体" w:cs="黑体"/>
          <w:sz w:val="32"/>
          <w:szCs w:val="32"/>
        </w:rPr>
      </w:pPr>
      <w:r>
        <w:rPr>
          <w:rFonts w:hint="eastAsia" w:ascii="黑体" w:hAnsi="黑体" w:eastAsia="黑体" w:cs="黑体"/>
          <w:sz w:val="32"/>
          <w:szCs w:val="32"/>
        </w:rPr>
        <w:t>一、项目概述</w:t>
      </w:r>
    </w:p>
    <w:p>
      <w:pPr>
        <w:snapToGrid w:val="0"/>
        <w:spacing w:line="396" w:lineRule="auto"/>
        <w:ind w:firstLine="560" w:firstLineChars="200"/>
        <w:jc w:val="left"/>
        <w:rPr>
          <w:rFonts w:ascii="黑体" w:hAnsi="黑体" w:eastAsia="黑体" w:cs="黑体"/>
          <w:sz w:val="28"/>
          <w:szCs w:val="28"/>
        </w:rPr>
      </w:pPr>
      <w:r>
        <w:rPr>
          <w:rFonts w:hint="eastAsia" w:ascii="黑体" w:hAnsi="黑体" w:eastAsia="黑体" w:cs="黑体"/>
          <w:sz w:val="28"/>
          <w:szCs w:val="28"/>
        </w:rPr>
        <w:t>1.项目背景</w:t>
      </w:r>
    </w:p>
    <w:p>
      <w:pPr>
        <w:spacing w:beforeLines="50" w:line="276" w:lineRule="auto"/>
        <w:ind w:left="420" w:firstLine="420" w:firstLineChars="200"/>
        <w:rPr>
          <w:rFonts w:ascii="宋体" w:hAnsi="宋体"/>
        </w:rPr>
      </w:pPr>
      <w:r>
        <w:rPr>
          <w:rFonts w:hint="eastAsia" w:ascii="宋体" w:hAnsi="宋体"/>
        </w:rPr>
        <w:t>在政策层面，《中华人民共和国民法典》、《物业管理条例》等法律法规，对规范物业管理行为，强化社会物管意识，保障物管行业健康发展提供了基本遵循。</w:t>
      </w:r>
    </w:p>
    <w:p>
      <w:pPr>
        <w:spacing w:beforeLines="50" w:line="276" w:lineRule="auto"/>
        <w:ind w:left="420" w:firstLine="420" w:firstLineChars="200"/>
        <w:rPr>
          <w:rFonts w:ascii="宋体" w:hAnsi="宋体"/>
        </w:rPr>
      </w:pPr>
      <w:r>
        <w:rPr>
          <w:rFonts w:hint="eastAsia" w:ascii="宋体" w:hAnsi="宋体"/>
        </w:rPr>
        <w:t>在需求层面，随着国内物业管理品质不断提升，办公楼宇信息技术、节能环保技术的发展，各行业对专业化、人性化物业管理技术能力的需求也不断提高。为适应税收事业现代化发展，满足日益增长的专业化物业管理服务需求，国家税务总局阳江高新技术产业开发区税务局的物业管理服务现面向社会公开招标。</w:t>
      </w:r>
    </w:p>
    <w:p>
      <w:pPr>
        <w:spacing w:beforeLines="50" w:line="276" w:lineRule="auto"/>
        <w:ind w:left="420" w:firstLine="420" w:firstLineChars="200"/>
        <w:rPr>
          <w:rFonts w:ascii="宋体" w:hAnsi="宋体"/>
        </w:rPr>
      </w:pPr>
      <w:r>
        <w:rPr>
          <w:rFonts w:hint="eastAsia" w:ascii="宋体" w:hAnsi="宋体"/>
        </w:rPr>
        <w:t>在意义层面，本项目通过公开招标，有利于保障社会公共利益和物业管理服务招标采购活动当事人的合法权益，维护公平竞争的市场秩序，有利于进一步提升国家税务总局阳江高新技术产业开发区税务局物业管理水平。</w:t>
      </w:r>
    </w:p>
    <w:p>
      <w:pPr>
        <w:snapToGrid w:val="0"/>
        <w:spacing w:beforeLines="50" w:line="396" w:lineRule="auto"/>
        <w:ind w:firstLine="560" w:firstLineChars="200"/>
        <w:jc w:val="left"/>
        <w:rPr>
          <w:rFonts w:ascii="宋体" w:hAnsi="宋体" w:cs="黑体"/>
          <w:sz w:val="28"/>
          <w:szCs w:val="28"/>
        </w:rPr>
      </w:pPr>
      <w:r>
        <w:rPr>
          <w:rFonts w:ascii="宋体" w:hAnsi="宋体" w:cs="黑体"/>
          <w:sz w:val="28"/>
          <w:szCs w:val="28"/>
        </w:rPr>
        <w:t>2.</w:t>
      </w:r>
      <w:r>
        <w:rPr>
          <w:rFonts w:hint="eastAsia" w:ascii="宋体" w:hAnsi="宋体" w:cs="黑体"/>
          <w:sz w:val="28"/>
          <w:szCs w:val="28"/>
        </w:rPr>
        <w:t>项目内容</w:t>
      </w:r>
    </w:p>
    <w:p>
      <w:pPr>
        <w:numPr>
          <w:ilvl w:val="0"/>
          <w:numId w:val="13"/>
        </w:numPr>
        <w:spacing w:beforeLines="50" w:line="276" w:lineRule="auto"/>
        <w:ind w:firstLine="420" w:firstLineChars="200"/>
        <w:rPr>
          <w:rFonts w:ascii="宋体" w:hAnsi="宋体" w:cs="宋体"/>
          <w:szCs w:val="21"/>
        </w:rPr>
      </w:pPr>
      <w:r>
        <w:rPr>
          <w:rFonts w:ascii="宋体" w:hAnsi="宋体"/>
        </w:rPr>
        <w:t>标的名称：</w:t>
      </w:r>
      <w:r>
        <w:rPr>
          <w:rFonts w:hint="eastAsia" w:ascii="宋体" w:hAnsi="宋体"/>
        </w:rPr>
        <w:t>国家税务总局阳江高新技术产业开发区税务局物业管理服务项目；</w:t>
      </w:r>
    </w:p>
    <w:p>
      <w:pPr>
        <w:numPr>
          <w:ilvl w:val="0"/>
          <w:numId w:val="13"/>
        </w:numPr>
        <w:spacing w:beforeLines="50" w:line="276" w:lineRule="auto"/>
        <w:ind w:firstLine="420" w:firstLineChars="200"/>
        <w:rPr>
          <w:rFonts w:ascii="宋体" w:hAnsi="宋体" w:cs="宋体"/>
          <w:szCs w:val="21"/>
          <w:highlight w:val="yellow"/>
        </w:rPr>
      </w:pPr>
      <w:r>
        <w:rPr>
          <w:rFonts w:ascii="宋体" w:hAnsi="宋体"/>
          <w:highlight w:val="yellow"/>
        </w:rPr>
        <w:t>标的金额：</w:t>
      </w:r>
      <w:r>
        <w:rPr>
          <w:rFonts w:hint="eastAsia" w:ascii="宋体" w:hAnsi="宋体"/>
          <w:highlight w:val="yellow"/>
        </w:rPr>
        <w:t>总预算金额236.25万元，</w:t>
      </w:r>
      <w:r>
        <w:rPr>
          <w:rFonts w:hint="eastAsia" w:ascii="宋体" w:hAnsi="宋体" w:cs="宋体"/>
          <w:szCs w:val="21"/>
          <w:highlight w:val="yellow"/>
        </w:rPr>
        <w:t>不划分包组。</w:t>
      </w:r>
    </w:p>
    <w:p>
      <w:pPr>
        <w:spacing w:line="440" w:lineRule="exact"/>
        <w:ind w:firstLine="420" w:firstLineChars="200"/>
        <w:rPr>
          <w:rFonts w:ascii="宋体" w:hAnsi="宋体"/>
          <w:szCs w:val="21"/>
        </w:rPr>
      </w:pPr>
      <w:r>
        <w:rPr>
          <w:rFonts w:hint="eastAsia" w:ascii="宋体" w:hAnsi="宋体" w:cs="宋体"/>
          <w:szCs w:val="21"/>
        </w:rPr>
        <w:t>服务期限：</w:t>
      </w:r>
      <w:r>
        <w:rPr>
          <w:rFonts w:hint="eastAsia" w:ascii="宋体" w:hAnsi="宋体"/>
          <w:szCs w:val="21"/>
        </w:rPr>
        <w:t>自合同签订之日起至2025年12月31日</w:t>
      </w:r>
      <w:r>
        <w:rPr>
          <w:rFonts w:hint="eastAsia" w:ascii="宋体" w:hAnsi="宋体" w:cs="宋体"/>
          <w:szCs w:val="21"/>
        </w:rPr>
        <w:t>，</w:t>
      </w:r>
      <w:r>
        <w:rPr>
          <w:rFonts w:ascii="宋体" w:hAnsi="宋体" w:cs="宋体"/>
          <w:spacing w:val="-6"/>
          <w:szCs w:val="21"/>
        </w:rPr>
        <w:t>若中标人</w:t>
      </w:r>
      <w:r>
        <w:rPr>
          <w:rFonts w:ascii="宋体" w:hAnsi="宋体" w:cs="宋体"/>
          <w:spacing w:val="-7"/>
          <w:szCs w:val="21"/>
        </w:rPr>
        <w:t>年度内累计2个月以上服务质量及综合指标考核不合格(考核标准详见</w:t>
      </w:r>
      <w:r>
        <w:rPr>
          <w:rFonts w:hint="eastAsia" w:ascii="宋体" w:hAnsi="宋体" w:cs="宋体"/>
          <w:spacing w:val="-7"/>
          <w:szCs w:val="21"/>
        </w:rPr>
        <w:t>附件</w:t>
      </w:r>
      <w:r>
        <w:rPr>
          <w:rFonts w:ascii="宋体" w:hAnsi="宋体" w:cs="宋体"/>
          <w:spacing w:val="-7"/>
          <w:szCs w:val="21"/>
        </w:rPr>
        <w:t>)，采购人可向中</w:t>
      </w:r>
      <w:r>
        <w:rPr>
          <w:rFonts w:ascii="宋体" w:hAnsi="宋体" w:cs="宋体"/>
          <w:spacing w:val="-15"/>
          <w:szCs w:val="21"/>
        </w:rPr>
        <w:t>标人送达《终止合同通知书》，</w:t>
      </w:r>
      <w:r>
        <w:rPr>
          <w:rFonts w:hint="eastAsia" w:ascii="宋体" w:hAnsi="宋体" w:cs="宋体"/>
          <w:spacing w:val="-15"/>
          <w:szCs w:val="21"/>
        </w:rPr>
        <w:t>并</w:t>
      </w:r>
      <w:r>
        <w:rPr>
          <w:rFonts w:ascii="宋体" w:hAnsi="宋体" w:cs="宋体"/>
          <w:spacing w:val="-15"/>
          <w:szCs w:val="21"/>
        </w:rPr>
        <w:t>终止合同</w:t>
      </w:r>
      <w:r>
        <w:rPr>
          <w:rFonts w:hint="eastAsia" w:ascii="宋体" w:hAnsi="宋体" w:cs="宋体"/>
          <w:spacing w:val="-15"/>
          <w:szCs w:val="21"/>
        </w:rPr>
        <w:t>；</w:t>
      </w:r>
    </w:p>
    <w:p>
      <w:pPr>
        <w:numPr>
          <w:ilvl w:val="0"/>
          <w:numId w:val="13"/>
        </w:numPr>
        <w:spacing w:beforeLines="50" w:line="276" w:lineRule="auto"/>
        <w:ind w:firstLine="420" w:firstLineChars="200"/>
        <w:rPr>
          <w:rFonts w:ascii="宋体" w:hAnsi="宋体" w:cs="宋体"/>
          <w:szCs w:val="21"/>
        </w:rPr>
      </w:pPr>
      <w:r>
        <w:rPr>
          <w:rFonts w:hint="eastAsia" w:ascii="宋体" w:hAnsi="宋体" w:cs="宋体"/>
          <w:szCs w:val="21"/>
        </w:rPr>
        <w:t>最高投标限价：投标人的投标报价不得超过项目预算金额</w:t>
      </w:r>
      <w:r>
        <w:rPr>
          <w:rFonts w:hint="eastAsia" w:ascii="宋体" w:hAnsi="宋体"/>
        </w:rPr>
        <w:t>236.25万元</w:t>
      </w:r>
      <w:r>
        <w:rPr>
          <w:rFonts w:hint="eastAsia" w:ascii="宋体" w:hAnsi="宋体" w:cs="宋体"/>
          <w:szCs w:val="21"/>
        </w:rPr>
        <w:t>。</w:t>
      </w:r>
    </w:p>
    <w:p>
      <w:pPr>
        <w:numPr>
          <w:ilvl w:val="0"/>
          <w:numId w:val="13"/>
        </w:numPr>
        <w:spacing w:beforeLines="50" w:line="276" w:lineRule="auto"/>
        <w:ind w:firstLine="420" w:firstLineChars="200"/>
        <w:rPr>
          <w:rFonts w:ascii="宋体" w:hAnsi="宋体" w:cs="宋体"/>
          <w:szCs w:val="21"/>
        </w:rPr>
      </w:pPr>
      <w:r>
        <w:rPr>
          <w:rFonts w:hint="eastAsia" w:ascii="宋体" w:hAnsi="宋体" w:cs="宋体"/>
          <w:szCs w:val="21"/>
        </w:rPr>
        <w:t>本项目的中小企业划分标准所属行业为：物业管理。</w:t>
      </w:r>
    </w:p>
    <w:p>
      <w:pPr>
        <w:snapToGrid w:val="0"/>
        <w:spacing w:beforeLines="50" w:line="396" w:lineRule="auto"/>
        <w:outlineLvl w:val="1"/>
        <w:rPr>
          <w:rFonts w:ascii="黑体" w:hAnsi="黑体" w:eastAsia="黑体" w:cs="黑体"/>
          <w:sz w:val="32"/>
          <w:szCs w:val="32"/>
        </w:rPr>
      </w:pPr>
      <w:bookmarkStart w:id="50" w:name="_Toc126262552"/>
      <w:r>
        <w:rPr>
          <w:rFonts w:hint="eastAsia" w:ascii="黑体" w:hAnsi="黑体" w:eastAsia="黑体" w:cs="黑体"/>
          <w:sz w:val="32"/>
          <w:szCs w:val="32"/>
        </w:rPr>
        <w:t>二、</w:t>
      </w:r>
      <w:bookmarkEnd w:id="50"/>
      <w:bookmarkStart w:id="51" w:name="_Toc126262553"/>
      <w:r>
        <w:rPr>
          <w:rFonts w:hint="eastAsia" w:ascii="黑体" w:hAnsi="黑体" w:eastAsia="黑体" w:cs="黑体"/>
          <w:sz w:val="32"/>
          <w:szCs w:val="32"/>
        </w:rPr>
        <w:t>项目需求</w:t>
      </w:r>
      <w:bookmarkEnd w:id="51"/>
    </w:p>
    <w:p>
      <w:pPr>
        <w:snapToGrid w:val="0"/>
        <w:spacing w:line="396" w:lineRule="auto"/>
        <w:ind w:firstLine="420" w:firstLineChars="200"/>
        <w:jc w:val="left"/>
        <w:rPr>
          <w:rFonts w:ascii="宋体" w:hAnsi="宋体" w:cs="仿宋_GB2312"/>
          <w:szCs w:val="21"/>
        </w:rPr>
      </w:pPr>
      <w:bookmarkStart w:id="52" w:name="_Hlk99114877"/>
      <w:bookmarkStart w:id="53" w:name="_Toc126262554"/>
      <w:r>
        <w:rPr>
          <w:rFonts w:hint="eastAsia" w:ascii="宋体" w:hAnsi="宋体" w:cs="仿宋_GB2312"/>
          <w:szCs w:val="21"/>
        </w:rPr>
        <w:t>国家税务总局阳江高新技术产业开发区税务局办公区，位于广东省阳江市江城区平冈镇政德路西2号、西7号及平冈镇兴业街附楼。占地面积：25620.47平方米，总建筑面积：7077.86平方米；建筑层数：主楼：5层（地上5层）；附楼1：3层；附楼2:3层；附楼3：6层。机动车停车数量：87个。</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办公区基本设施设备包括：</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一）给排水系统。包括贮水池、给水泵、给水管网、水表；排水管道、通气管、抽升设备、室外排水管道；主楼一至三层各配备1个男女卫生间，附楼1一层配备2个公用卫生间、二层3个独立卫生间、三层6个独立卫生间；附楼2一层配备4个公用卫生间、二层2个公用卫生间、三层2个公用卫生间；附楼3一至六层各配备1个男女卫生间（四至六层各有6个独立卫生间）；主楼、附楼每层均有消火栓、消防水管道等设备；</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(二)电器系统。包括供电线路、变配电装置、高低压电器；门禁安防系统、通信与有线电视系统；会议音响系统、道闸系统；主楼1台电梯设备；各种照明用的设备等；</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(三)空调、通风系统。主附楼均采用分体式空调，附楼1包含厨房鲜风系统，主要为风机、通风管道、风口及一些空气净化设备。</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(四)燃气设备。附楼1安装有燃气设备，包括燃气灶、燃气表、燃气管道、天然气管网等。</w:t>
      </w:r>
    </w:p>
    <w:p>
      <w:pPr>
        <w:snapToGrid w:val="0"/>
        <w:spacing w:line="396" w:lineRule="auto"/>
        <w:ind w:firstLine="420" w:firstLineChars="200"/>
        <w:jc w:val="left"/>
        <w:rPr>
          <w:rFonts w:ascii="宋体" w:hAnsi="宋体" w:cs="仿宋_GB2312"/>
          <w:szCs w:val="21"/>
        </w:rPr>
      </w:pPr>
      <w:bookmarkStart w:id="54" w:name="_Hlk98325502"/>
      <w:r>
        <w:rPr>
          <w:rFonts w:hint="eastAsia" w:ascii="宋体" w:hAnsi="宋体" w:cs="仿宋_GB2312"/>
          <w:szCs w:val="21"/>
        </w:rPr>
        <w:t>物业服务事项：物业档案建立和管理；物业配套设施设备的系统日常维护管理；物业公共安全秩序管理；报刊、邮件派发服务；植物绿化养护；环境美化、清洁卫生服务、停车场管理；较大物品的装卸搬运；大型活动或重要会议专项服务及采购人需要的其它服务等。</w:t>
      </w:r>
    </w:p>
    <w:bookmarkEnd w:id="52"/>
    <w:bookmarkEnd w:id="54"/>
    <w:p>
      <w:pPr>
        <w:snapToGrid w:val="0"/>
        <w:spacing w:line="396" w:lineRule="auto"/>
        <w:jc w:val="left"/>
        <w:rPr>
          <w:rFonts w:ascii="宋体" w:hAnsi="宋体" w:cs="宋体"/>
          <w:szCs w:val="21"/>
        </w:rPr>
      </w:pPr>
      <w:r>
        <w:rPr>
          <w:rFonts w:hint="eastAsia" w:ascii="宋体" w:hAnsi="宋体" w:cs="宋体"/>
          <w:szCs w:val="21"/>
        </w:rPr>
        <w:t xml:space="preserve">需满足的质量要求： </w:t>
      </w:r>
    </w:p>
    <w:p>
      <w:pPr>
        <w:snapToGrid w:val="0"/>
        <w:spacing w:line="396" w:lineRule="auto"/>
        <w:ind w:firstLine="630" w:firstLineChars="300"/>
        <w:jc w:val="left"/>
        <w:rPr>
          <w:rFonts w:ascii="宋体" w:hAnsi="宋体" w:cs="宋体"/>
          <w:szCs w:val="21"/>
        </w:rPr>
      </w:pPr>
      <w:r>
        <w:rPr>
          <w:rFonts w:hint="eastAsia" w:ascii="宋体" w:hAnsi="宋体" w:cs="宋体"/>
          <w:szCs w:val="21"/>
        </w:rPr>
        <w:t>（1）供应商须按国家有关规定与员工签订合同，并保证所聘人员符合采购人岗位要求。人员更换，须提前向采购人申请报备，采购人书面同意后才可更换。更换人员的用人标准、资格要求保持不变。</w:t>
      </w:r>
    </w:p>
    <w:p>
      <w:pPr>
        <w:snapToGrid w:val="0"/>
        <w:spacing w:line="396" w:lineRule="auto"/>
        <w:ind w:firstLine="420" w:firstLineChars="200"/>
        <w:jc w:val="left"/>
        <w:rPr>
          <w:rFonts w:ascii="宋体" w:hAnsi="宋体" w:cs="宋体"/>
          <w:szCs w:val="21"/>
        </w:rPr>
      </w:pPr>
      <w:r>
        <w:rPr>
          <w:rFonts w:hint="eastAsia" w:ascii="宋体" w:hAnsi="宋体" w:cs="宋体"/>
          <w:szCs w:val="21"/>
        </w:rPr>
        <w:t>（2）供应商物业</w:t>
      </w:r>
      <w:r>
        <w:rPr>
          <w:rFonts w:hint="eastAsia" w:ascii="宋体" w:hAnsi="宋体" w:cs="宋体"/>
          <w:color w:val="FF0000"/>
          <w:szCs w:val="21"/>
          <w:highlight w:val="yellow"/>
        </w:rPr>
        <w:t>岗位服务人员</w:t>
      </w:r>
      <w:r>
        <w:rPr>
          <w:rFonts w:hint="eastAsia" w:ascii="宋体" w:hAnsi="宋体" w:cs="宋体"/>
          <w:szCs w:val="21"/>
        </w:rPr>
        <w:t>在服务过程中应该态度良好。如供应商物业</w:t>
      </w:r>
      <w:r>
        <w:rPr>
          <w:rFonts w:hint="eastAsia" w:ascii="宋体" w:hAnsi="宋体" w:cs="宋体"/>
          <w:color w:val="FF0000"/>
          <w:szCs w:val="21"/>
          <w:highlight w:val="yellow"/>
        </w:rPr>
        <w:t>岗位服务人员</w:t>
      </w:r>
      <w:r>
        <w:rPr>
          <w:rFonts w:hint="eastAsia" w:ascii="宋体" w:hAnsi="宋体" w:cs="宋体"/>
          <w:szCs w:val="21"/>
        </w:rPr>
        <w:t>在服务过程中出现服务质量问题，采购人有权要求供应商物业</w:t>
      </w:r>
      <w:r>
        <w:rPr>
          <w:rFonts w:hint="eastAsia" w:ascii="宋体" w:hAnsi="宋体" w:cs="宋体"/>
          <w:color w:val="FF0000"/>
          <w:szCs w:val="21"/>
          <w:highlight w:val="yellow"/>
        </w:rPr>
        <w:t>岗位服务人员</w:t>
      </w:r>
      <w:r>
        <w:rPr>
          <w:rFonts w:hint="eastAsia" w:ascii="宋体" w:hAnsi="宋体" w:cs="宋体"/>
          <w:szCs w:val="21"/>
        </w:rPr>
        <w:t>改正或通知供应商责令该人员改正，若供应商物业</w:t>
      </w:r>
      <w:r>
        <w:rPr>
          <w:rFonts w:hint="eastAsia" w:ascii="宋体" w:hAnsi="宋体" w:cs="宋体"/>
          <w:color w:val="FF0000"/>
          <w:szCs w:val="21"/>
          <w:highlight w:val="yellow"/>
        </w:rPr>
        <w:t>岗位服务人员</w:t>
      </w:r>
      <w:r>
        <w:rPr>
          <w:rFonts w:hint="eastAsia" w:ascii="宋体" w:hAnsi="宋体" w:cs="宋体"/>
          <w:szCs w:val="21"/>
        </w:rPr>
        <w:t>再不能达到要求的，采购人有权将该</w:t>
      </w:r>
      <w:r>
        <w:rPr>
          <w:rFonts w:hint="eastAsia" w:ascii="宋体" w:hAnsi="宋体" w:cs="宋体"/>
          <w:color w:val="FF0000"/>
          <w:szCs w:val="21"/>
          <w:highlight w:val="yellow"/>
        </w:rPr>
        <w:t>岗位服务人员</w:t>
      </w:r>
      <w:r>
        <w:rPr>
          <w:rFonts w:hint="eastAsia" w:ascii="宋体" w:hAnsi="宋体" w:cs="宋体"/>
          <w:szCs w:val="21"/>
        </w:rPr>
        <w:t>退回供应商，并有权要求供应商另行指派符合条件和要求的</w:t>
      </w:r>
      <w:r>
        <w:rPr>
          <w:rFonts w:hint="eastAsia" w:ascii="宋体" w:hAnsi="宋体" w:cs="宋体"/>
          <w:color w:val="FF0000"/>
          <w:szCs w:val="21"/>
          <w:highlight w:val="yellow"/>
        </w:rPr>
        <w:t>岗位服务人员</w:t>
      </w:r>
      <w:r>
        <w:rPr>
          <w:rFonts w:hint="eastAsia" w:ascii="宋体" w:hAnsi="宋体" w:cs="宋体"/>
          <w:szCs w:val="21"/>
        </w:rPr>
        <w:t xml:space="preserve">提供服务。 </w:t>
      </w:r>
    </w:p>
    <w:p>
      <w:pPr>
        <w:snapToGrid w:val="0"/>
        <w:spacing w:line="396" w:lineRule="auto"/>
        <w:ind w:firstLine="420" w:firstLineChars="200"/>
        <w:jc w:val="left"/>
        <w:rPr>
          <w:rFonts w:ascii="宋体" w:hAnsi="宋体" w:cs="宋体"/>
          <w:szCs w:val="21"/>
        </w:rPr>
      </w:pPr>
      <w:r>
        <w:rPr>
          <w:rFonts w:hint="eastAsia" w:ascii="宋体" w:hAnsi="宋体" w:cs="宋体"/>
          <w:szCs w:val="21"/>
        </w:rPr>
        <w:t xml:space="preserve">需满足的安全要求： </w:t>
      </w:r>
    </w:p>
    <w:p>
      <w:pPr>
        <w:snapToGrid w:val="0"/>
        <w:spacing w:line="396" w:lineRule="auto"/>
        <w:ind w:firstLine="420" w:firstLineChars="200"/>
        <w:jc w:val="left"/>
        <w:rPr>
          <w:rFonts w:ascii="宋体" w:hAnsi="宋体" w:cs="宋体"/>
          <w:szCs w:val="21"/>
        </w:rPr>
      </w:pPr>
      <w:r>
        <w:rPr>
          <w:rFonts w:hint="eastAsia" w:ascii="宋体" w:hAnsi="宋体" w:cs="宋体"/>
          <w:szCs w:val="21"/>
        </w:rPr>
        <w:t xml:space="preserve">（1）供应商有维护好采购人要求的服务区域内的工作人员的人身和财产安全的能力。 </w:t>
      </w:r>
    </w:p>
    <w:p>
      <w:pPr>
        <w:snapToGrid w:val="0"/>
        <w:spacing w:line="396" w:lineRule="auto"/>
        <w:ind w:firstLine="420" w:firstLineChars="200"/>
        <w:jc w:val="left"/>
        <w:rPr>
          <w:rFonts w:ascii="宋体" w:hAnsi="宋体" w:cs="仿宋_GB2312"/>
          <w:szCs w:val="21"/>
        </w:rPr>
      </w:pPr>
      <w:r>
        <w:rPr>
          <w:rFonts w:hint="eastAsia" w:ascii="宋体" w:hAnsi="宋体" w:cs="宋体"/>
          <w:szCs w:val="21"/>
        </w:rPr>
        <w:t>（2）服务过程中，知悉的采购人的商业秘密或者其他应当保密的信息，不得泄露或者不正当地使用。</w:t>
      </w:r>
    </w:p>
    <w:p>
      <w:pPr>
        <w:snapToGrid w:val="0"/>
        <w:spacing w:beforeLines="50" w:line="396" w:lineRule="auto"/>
        <w:outlineLvl w:val="1"/>
        <w:rPr>
          <w:rFonts w:ascii="黑体" w:hAnsi="黑体" w:eastAsia="黑体" w:cs="黑体"/>
          <w:sz w:val="32"/>
          <w:szCs w:val="32"/>
        </w:rPr>
      </w:pPr>
      <w:r>
        <w:rPr>
          <w:rFonts w:hint="eastAsia" w:ascii="黑体" w:hAnsi="黑体" w:eastAsia="黑体" w:cs="黑体"/>
          <w:sz w:val="32"/>
          <w:szCs w:val="32"/>
        </w:rPr>
        <w:t>三、项目实施要求</w:t>
      </w:r>
      <w:bookmarkEnd w:id="53"/>
    </w:p>
    <w:p>
      <w:pPr>
        <w:snapToGrid w:val="0"/>
        <w:spacing w:line="396" w:lineRule="auto"/>
        <w:outlineLvl w:val="1"/>
        <w:rPr>
          <w:rFonts w:ascii="宋体" w:hAnsi="宋体" w:cs="黑体"/>
          <w:sz w:val="28"/>
          <w:szCs w:val="28"/>
        </w:rPr>
      </w:pPr>
      <w:bookmarkStart w:id="55" w:name="_Toc126262555"/>
      <w:r>
        <w:rPr>
          <w:rFonts w:hint="eastAsia" w:ascii="宋体" w:hAnsi="宋体" w:cs="黑体"/>
          <w:sz w:val="28"/>
          <w:szCs w:val="28"/>
        </w:rPr>
        <w:t>4</w:t>
      </w:r>
      <w:r>
        <w:rPr>
          <w:rFonts w:ascii="宋体" w:hAnsi="宋体" w:cs="黑体"/>
          <w:sz w:val="28"/>
          <w:szCs w:val="28"/>
        </w:rPr>
        <w:t>.1 投标价格</w:t>
      </w:r>
      <w:bookmarkEnd w:id="55"/>
    </w:p>
    <w:p>
      <w:pPr>
        <w:spacing w:beforeLines="50" w:line="276" w:lineRule="auto"/>
        <w:ind w:right="62" w:firstLine="436"/>
        <w:jc w:val="left"/>
        <w:rPr>
          <w:rFonts w:ascii="宋体" w:hAnsi="宋体" w:cs="宋体"/>
          <w:szCs w:val="21"/>
        </w:rPr>
      </w:pPr>
      <w:bookmarkStart w:id="56" w:name="_Hlk126261920"/>
      <w:r>
        <w:rPr>
          <w:rFonts w:ascii="宋体" w:hAnsi="宋体" w:cs="宋体"/>
          <w:spacing w:val="-4"/>
          <w:szCs w:val="21"/>
        </w:rPr>
        <w:t>1、本项目的</w:t>
      </w:r>
      <w:r>
        <w:rPr>
          <w:rFonts w:hint="eastAsia" w:ascii="宋体" w:hAnsi="宋体" w:cs="宋体"/>
          <w:spacing w:val="-4"/>
          <w:szCs w:val="21"/>
        </w:rPr>
        <w:t>物业管理服务费用按据实结算方式执行</w:t>
      </w:r>
      <w:r>
        <w:rPr>
          <w:rFonts w:ascii="宋体" w:hAnsi="宋体" w:cs="宋体"/>
          <w:spacing w:val="-1"/>
          <w:szCs w:val="21"/>
        </w:rPr>
        <w:t>。</w:t>
      </w:r>
    </w:p>
    <w:p>
      <w:pPr>
        <w:spacing w:beforeLines="50" w:line="276" w:lineRule="auto"/>
        <w:ind w:right="62" w:firstLine="436"/>
        <w:jc w:val="left"/>
        <w:rPr>
          <w:rFonts w:ascii="宋体" w:hAnsi="宋体" w:cs="宋体"/>
          <w:spacing w:val="-4"/>
          <w:szCs w:val="21"/>
        </w:rPr>
      </w:pPr>
      <w:r>
        <w:rPr>
          <w:rFonts w:ascii="宋体" w:hAnsi="宋体" w:cs="宋体"/>
          <w:spacing w:val="-4"/>
          <w:szCs w:val="21"/>
        </w:rPr>
        <w:t>2、投标人应根据本企业的经营成本及风险评估自行决定报价，</w:t>
      </w:r>
      <w:r>
        <w:rPr>
          <w:rFonts w:hint="eastAsia" w:ascii="宋体" w:hAnsi="宋体" w:cs="宋体"/>
          <w:spacing w:val="-4"/>
          <w:szCs w:val="21"/>
          <w:highlight w:val="red"/>
        </w:rPr>
        <w:t>岗位</w:t>
      </w:r>
      <w:r>
        <w:rPr>
          <w:rFonts w:ascii="宋体" w:hAnsi="宋体" w:cs="宋体"/>
          <w:spacing w:val="-4"/>
          <w:szCs w:val="21"/>
          <w:highlight w:val="red"/>
        </w:rPr>
        <w:t>配置表总数</w:t>
      </w:r>
      <w:r>
        <w:rPr>
          <w:rFonts w:hint="eastAsia" w:ascii="宋体" w:hAnsi="宋体" w:cs="宋体"/>
          <w:spacing w:val="-4"/>
          <w:szCs w:val="21"/>
          <w:highlight w:val="red"/>
        </w:rPr>
        <w:t>量</w:t>
      </w:r>
      <w:r>
        <w:rPr>
          <w:rFonts w:ascii="宋体" w:hAnsi="宋体" w:cs="宋体"/>
          <w:spacing w:val="-4"/>
          <w:szCs w:val="21"/>
          <w:highlight w:val="red"/>
        </w:rPr>
        <w:t>及</w:t>
      </w:r>
      <w:r>
        <w:rPr>
          <w:rFonts w:hint="eastAsia" w:ascii="宋体" w:hAnsi="宋体" w:cs="宋体"/>
          <w:spacing w:val="-4"/>
          <w:szCs w:val="21"/>
          <w:highlight w:val="red"/>
        </w:rPr>
        <w:t>各项服务费用明细</w:t>
      </w:r>
      <w:r>
        <w:rPr>
          <w:rFonts w:ascii="宋体" w:hAnsi="宋体" w:cs="宋体"/>
          <w:spacing w:val="-4"/>
          <w:szCs w:val="21"/>
          <w:highlight w:val="red"/>
        </w:rPr>
        <w:t>，需同时提交独立的详细的报价明细说明，包括但不限于项目的下述具体费用</w:t>
      </w:r>
      <w:r>
        <w:rPr>
          <w:rFonts w:ascii="宋体" w:hAnsi="宋体" w:cs="宋体"/>
          <w:spacing w:val="-4"/>
          <w:szCs w:val="21"/>
        </w:rPr>
        <w:t>：</w:t>
      </w:r>
    </w:p>
    <w:p>
      <w:pPr>
        <w:spacing w:beforeLines="50" w:line="276" w:lineRule="auto"/>
        <w:ind w:right="62" w:firstLine="436"/>
        <w:jc w:val="left"/>
        <w:rPr>
          <w:rFonts w:ascii="宋体" w:hAnsi="宋体" w:cs="宋体"/>
          <w:spacing w:val="-4"/>
          <w:szCs w:val="21"/>
        </w:rPr>
      </w:pPr>
      <w:r>
        <w:rPr>
          <w:rFonts w:ascii="宋体" w:hAnsi="宋体" w:cs="宋体"/>
          <w:spacing w:val="-4"/>
          <w:szCs w:val="21"/>
        </w:rPr>
        <w:t>（1）</w:t>
      </w:r>
      <w:r>
        <w:rPr>
          <w:rFonts w:ascii="宋体" w:hAnsi="宋体" w:cs="宋体"/>
          <w:spacing w:val="-4"/>
          <w:szCs w:val="21"/>
          <w:highlight w:val="red"/>
        </w:rPr>
        <w:t>物业管理</w:t>
      </w:r>
      <w:r>
        <w:rPr>
          <w:rFonts w:hint="eastAsia" w:ascii="宋体" w:hAnsi="宋体" w:cs="宋体"/>
          <w:spacing w:val="-4"/>
          <w:szCs w:val="21"/>
          <w:highlight w:val="red"/>
        </w:rPr>
        <w:t>岗位服务</w:t>
      </w:r>
      <w:r>
        <w:rPr>
          <w:rFonts w:ascii="宋体" w:hAnsi="宋体" w:cs="宋体"/>
          <w:spacing w:val="-4"/>
          <w:szCs w:val="21"/>
          <w:highlight w:val="red"/>
        </w:rPr>
        <w:t>人员</w:t>
      </w:r>
      <w:r>
        <w:rPr>
          <w:rFonts w:ascii="宋体" w:hAnsi="宋体" w:cs="宋体"/>
          <w:spacing w:val="-4"/>
          <w:szCs w:val="21"/>
        </w:rPr>
        <w:t>的工资、社会保险、医保、</w:t>
      </w:r>
      <w:r>
        <w:rPr>
          <w:rFonts w:hint="eastAsia" w:ascii="宋体" w:hAnsi="宋体" w:cs="宋体"/>
          <w:spacing w:val="-4"/>
          <w:szCs w:val="21"/>
        </w:rPr>
        <w:t>体检费、</w:t>
      </w:r>
      <w:r>
        <w:rPr>
          <w:rFonts w:ascii="宋体" w:hAnsi="宋体" w:cs="宋体"/>
          <w:spacing w:val="-4"/>
          <w:szCs w:val="21"/>
        </w:rPr>
        <w:t>培训、服装、</w:t>
      </w:r>
      <w:r>
        <w:rPr>
          <w:rFonts w:hint="eastAsia"/>
        </w:rPr>
        <w:t>住宿、餐饮、</w:t>
      </w:r>
      <w:r>
        <w:rPr>
          <w:rFonts w:ascii="宋体" w:hAnsi="宋体" w:cs="宋体"/>
          <w:spacing w:val="-4"/>
          <w:szCs w:val="21"/>
        </w:rPr>
        <w:t>高温等恶劣环境作业费、</w:t>
      </w:r>
      <w:r>
        <w:rPr>
          <w:rFonts w:hint="eastAsia" w:ascii="宋体" w:hAnsi="宋体"/>
          <w:sz w:val="22"/>
        </w:rPr>
        <w:t>因采购人原因造成中</w:t>
      </w:r>
      <w:r>
        <w:rPr>
          <w:rFonts w:hint="eastAsia" w:ascii="宋体" w:hAnsi="宋体"/>
          <w:color w:val="FF0000"/>
          <w:sz w:val="22"/>
          <w:highlight w:val="yellow"/>
        </w:rPr>
        <w:t>标人需与岗位服务人员解除劳</w:t>
      </w:r>
      <w:r>
        <w:rPr>
          <w:rFonts w:hint="eastAsia" w:ascii="宋体" w:hAnsi="宋体"/>
          <w:sz w:val="22"/>
        </w:rPr>
        <w:t>动合同的补偿金或赔偿金</w:t>
      </w:r>
      <w:r>
        <w:rPr>
          <w:rFonts w:ascii="宋体" w:hAnsi="宋体" w:cs="宋体"/>
          <w:spacing w:val="-4"/>
          <w:szCs w:val="21"/>
        </w:rPr>
        <w:t>、办公经费和差旅费等和按规定提取的福利费等费用；</w:t>
      </w:r>
    </w:p>
    <w:p>
      <w:pPr>
        <w:spacing w:beforeLines="50" w:line="276" w:lineRule="auto"/>
        <w:ind w:right="62" w:firstLine="436"/>
        <w:jc w:val="left"/>
        <w:rPr>
          <w:rFonts w:ascii="宋体" w:hAnsi="宋体" w:cs="宋体"/>
          <w:spacing w:val="-4"/>
          <w:szCs w:val="21"/>
        </w:rPr>
      </w:pPr>
      <w:r>
        <w:rPr>
          <w:rFonts w:ascii="宋体" w:hAnsi="宋体" w:cs="宋体"/>
          <w:spacing w:val="-4"/>
          <w:szCs w:val="21"/>
        </w:rPr>
        <w:t>（2）劳保用具（品）、工（机）具；</w:t>
      </w:r>
    </w:p>
    <w:p>
      <w:pPr>
        <w:spacing w:beforeLines="50" w:line="276" w:lineRule="auto"/>
        <w:ind w:firstLine="427"/>
        <w:jc w:val="left"/>
        <w:rPr>
          <w:rFonts w:ascii="宋体" w:hAnsi="宋体" w:cs="宋体"/>
          <w:szCs w:val="21"/>
        </w:rPr>
      </w:pPr>
      <w:r>
        <w:rPr>
          <w:rFonts w:ascii="宋体" w:hAnsi="宋体" w:cs="宋体"/>
          <w:spacing w:val="-4"/>
          <w:szCs w:val="21"/>
        </w:rPr>
        <w:t>（</w:t>
      </w:r>
      <w:r>
        <w:rPr>
          <w:rFonts w:hint="eastAsia" w:ascii="宋体" w:hAnsi="宋体" w:cs="宋体"/>
          <w:spacing w:val="-4"/>
          <w:szCs w:val="21"/>
        </w:rPr>
        <w:t>3</w:t>
      </w:r>
      <w:r>
        <w:rPr>
          <w:rFonts w:ascii="宋体" w:hAnsi="宋体" w:cs="宋体"/>
          <w:spacing w:val="-4"/>
          <w:szCs w:val="21"/>
        </w:rPr>
        <w:t>）隔油池、</w:t>
      </w:r>
      <w:r>
        <w:rPr>
          <w:rFonts w:hint="eastAsia" w:ascii="宋体" w:hAnsi="宋体" w:cs="宋体"/>
          <w:spacing w:val="-4"/>
          <w:szCs w:val="21"/>
        </w:rPr>
        <w:t>化油池、</w:t>
      </w:r>
      <w:r>
        <w:rPr>
          <w:rFonts w:ascii="宋体" w:hAnsi="宋体" w:cs="宋体"/>
          <w:spacing w:val="-4"/>
          <w:szCs w:val="21"/>
        </w:rPr>
        <w:t>化粪池（排污）费及所有与环卫部门产生的本项目所涉及的费用</w:t>
      </w:r>
      <w:r>
        <w:rPr>
          <w:rFonts w:hint="eastAsia" w:ascii="宋体" w:hAnsi="宋体" w:cs="宋体"/>
          <w:spacing w:val="-4"/>
          <w:szCs w:val="21"/>
        </w:rPr>
        <w:t>（不含垃圾处理费）</w:t>
      </w:r>
      <w:r>
        <w:rPr>
          <w:rFonts w:ascii="宋体" w:hAnsi="宋体" w:cs="宋体"/>
          <w:spacing w:val="-4"/>
          <w:szCs w:val="21"/>
        </w:rPr>
        <w:t>；</w:t>
      </w:r>
    </w:p>
    <w:p>
      <w:pPr>
        <w:spacing w:beforeLines="50" w:line="276" w:lineRule="auto"/>
        <w:ind w:left="422" w:right="59" w:firstLine="5"/>
        <w:jc w:val="left"/>
        <w:rPr>
          <w:rFonts w:ascii="宋体" w:hAnsi="宋体" w:cs="宋体"/>
          <w:szCs w:val="21"/>
        </w:rPr>
      </w:pPr>
      <w:r>
        <w:rPr>
          <w:rFonts w:ascii="宋体" w:hAnsi="宋体" w:cs="宋体"/>
          <w:spacing w:val="-7"/>
          <w:szCs w:val="21"/>
        </w:rPr>
        <w:t>（</w:t>
      </w:r>
      <w:r>
        <w:rPr>
          <w:rFonts w:hint="eastAsia" w:ascii="宋体" w:hAnsi="宋体" w:cs="宋体"/>
          <w:spacing w:val="-7"/>
          <w:szCs w:val="21"/>
        </w:rPr>
        <w:t>4</w:t>
      </w:r>
      <w:r>
        <w:rPr>
          <w:rFonts w:ascii="宋体" w:hAnsi="宋体" w:cs="宋体"/>
          <w:spacing w:val="-7"/>
          <w:szCs w:val="21"/>
        </w:rPr>
        <w:t>）管理运行费用：包括但不限于用户需求中所列的保洁、工程、设备、安保等各项</w:t>
      </w:r>
      <w:r>
        <w:rPr>
          <w:rFonts w:ascii="宋体" w:hAnsi="宋体" w:cs="宋体"/>
          <w:spacing w:val="-3"/>
          <w:szCs w:val="21"/>
        </w:rPr>
        <w:t>要求所产生的管理运行费用；</w:t>
      </w:r>
    </w:p>
    <w:p>
      <w:pPr>
        <w:spacing w:beforeLines="50" w:line="276" w:lineRule="auto"/>
        <w:ind w:left="432" w:right="60" w:hanging="5"/>
        <w:jc w:val="left"/>
        <w:rPr>
          <w:rFonts w:ascii="宋体" w:hAnsi="宋体" w:cs="宋体"/>
          <w:szCs w:val="21"/>
        </w:rPr>
      </w:pPr>
      <w:r>
        <w:rPr>
          <w:rFonts w:ascii="宋体" w:hAnsi="宋体" w:cs="宋体"/>
          <w:spacing w:val="-7"/>
          <w:szCs w:val="21"/>
        </w:rPr>
        <w:t>（</w:t>
      </w:r>
      <w:r>
        <w:rPr>
          <w:rFonts w:hint="eastAsia" w:ascii="宋体" w:hAnsi="宋体" w:cs="宋体"/>
          <w:spacing w:val="-7"/>
          <w:szCs w:val="21"/>
        </w:rPr>
        <w:t>5</w:t>
      </w:r>
      <w:r>
        <w:rPr>
          <w:rFonts w:ascii="宋体" w:hAnsi="宋体" w:cs="宋体"/>
          <w:spacing w:val="-7"/>
          <w:szCs w:val="21"/>
        </w:rPr>
        <w:t>）物业管理区域绿化采购和管理费，包括室内外植物供应、补种费、养护费、节日及重大活动</w:t>
      </w:r>
      <w:r>
        <w:rPr>
          <w:rFonts w:ascii="宋体" w:hAnsi="宋体" w:cs="宋体"/>
          <w:spacing w:val="-6"/>
          <w:szCs w:val="21"/>
        </w:rPr>
        <w:t>临时陈列摆设；</w:t>
      </w:r>
    </w:p>
    <w:p>
      <w:pPr>
        <w:spacing w:beforeLines="50" w:line="276" w:lineRule="auto"/>
        <w:ind w:firstLine="427"/>
        <w:jc w:val="left"/>
        <w:rPr>
          <w:rFonts w:ascii="宋体" w:hAnsi="宋体" w:cs="宋体"/>
          <w:szCs w:val="21"/>
        </w:rPr>
      </w:pPr>
      <w:r>
        <w:rPr>
          <w:rFonts w:ascii="宋体" w:hAnsi="宋体" w:cs="宋体"/>
          <w:spacing w:val="-7"/>
          <w:szCs w:val="21"/>
        </w:rPr>
        <w:t>（</w:t>
      </w:r>
      <w:r>
        <w:rPr>
          <w:rFonts w:hint="eastAsia" w:ascii="宋体" w:hAnsi="宋体" w:cs="宋体"/>
          <w:spacing w:val="-7"/>
          <w:szCs w:val="21"/>
        </w:rPr>
        <w:t>6</w:t>
      </w:r>
      <w:r>
        <w:rPr>
          <w:rFonts w:ascii="宋体" w:hAnsi="宋体" w:cs="宋体"/>
          <w:spacing w:val="-7"/>
          <w:szCs w:val="21"/>
        </w:rPr>
        <w:t>）企业投入本项目所需通讯器材配置和运行费；</w:t>
      </w:r>
    </w:p>
    <w:p>
      <w:pPr>
        <w:spacing w:beforeLines="50" w:line="276" w:lineRule="auto"/>
        <w:ind w:firstLine="427"/>
        <w:jc w:val="left"/>
        <w:rPr>
          <w:rFonts w:ascii="宋体" w:hAnsi="宋体" w:cs="宋体"/>
          <w:szCs w:val="21"/>
        </w:rPr>
      </w:pPr>
      <w:r>
        <w:rPr>
          <w:rFonts w:ascii="宋体" w:hAnsi="宋体" w:cs="宋体"/>
          <w:spacing w:val="-4"/>
          <w:szCs w:val="21"/>
        </w:rPr>
        <w:t>（</w:t>
      </w:r>
      <w:r>
        <w:rPr>
          <w:rFonts w:hint="eastAsia" w:ascii="宋体" w:hAnsi="宋体" w:cs="宋体"/>
          <w:spacing w:val="-4"/>
          <w:szCs w:val="21"/>
        </w:rPr>
        <w:t>7</w:t>
      </w:r>
      <w:r>
        <w:rPr>
          <w:rFonts w:ascii="宋体" w:hAnsi="宋体" w:cs="宋体"/>
          <w:spacing w:val="-4"/>
          <w:szCs w:val="21"/>
        </w:rPr>
        <w:t>）企业投入本项目所需和配置的物资采购、租赁费及固定资产折旧费；</w:t>
      </w:r>
    </w:p>
    <w:p>
      <w:pPr>
        <w:spacing w:beforeLines="50" w:line="276" w:lineRule="auto"/>
        <w:ind w:firstLine="427"/>
        <w:jc w:val="left"/>
        <w:rPr>
          <w:rFonts w:ascii="宋体" w:hAnsi="宋体" w:cs="宋体"/>
          <w:szCs w:val="21"/>
        </w:rPr>
      </w:pPr>
      <w:r>
        <w:rPr>
          <w:rFonts w:ascii="宋体" w:hAnsi="宋体" w:cs="宋体"/>
          <w:spacing w:val="-6"/>
          <w:szCs w:val="21"/>
        </w:rPr>
        <w:t>（</w:t>
      </w:r>
      <w:r>
        <w:rPr>
          <w:rFonts w:hint="eastAsia" w:ascii="宋体" w:hAnsi="宋体" w:cs="宋体"/>
          <w:spacing w:val="-6"/>
          <w:szCs w:val="21"/>
        </w:rPr>
        <w:t>8</w:t>
      </w:r>
      <w:r>
        <w:rPr>
          <w:rFonts w:ascii="宋体" w:hAnsi="宋体" w:cs="宋体"/>
          <w:spacing w:val="-6"/>
          <w:szCs w:val="21"/>
        </w:rPr>
        <w:t>）物业设施设备及公众责任保险费；</w:t>
      </w:r>
    </w:p>
    <w:p>
      <w:pPr>
        <w:spacing w:beforeLines="50" w:line="276" w:lineRule="auto"/>
        <w:ind w:firstLine="427"/>
        <w:rPr>
          <w:rFonts w:ascii="宋体" w:hAnsi="宋体" w:cs="宋体"/>
          <w:spacing w:val="-7"/>
          <w:szCs w:val="21"/>
        </w:rPr>
      </w:pPr>
      <w:r>
        <w:rPr>
          <w:rFonts w:ascii="宋体" w:hAnsi="宋体" w:cs="宋体"/>
          <w:spacing w:val="-7"/>
          <w:szCs w:val="21"/>
        </w:rPr>
        <w:t>（</w:t>
      </w:r>
      <w:r>
        <w:rPr>
          <w:rFonts w:hint="eastAsia" w:ascii="宋体" w:hAnsi="宋体" w:cs="宋体"/>
          <w:spacing w:val="-7"/>
          <w:szCs w:val="21"/>
        </w:rPr>
        <w:t>9</w:t>
      </w:r>
      <w:r>
        <w:rPr>
          <w:rFonts w:ascii="宋体" w:hAnsi="宋体" w:cs="宋体"/>
          <w:spacing w:val="-7"/>
          <w:szCs w:val="21"/>
        </w:rPr>
        <w:t>）采购人重大活动或专项工作临时加强保障费用，包括但不限于临时增加保障人员、延长工作时间、调度其他专业人员支援以及协助楼内物资物品搬运等。投标人应充分考虑采购人日常工作中发生上述临时性工作的可能性并充分评估其所产生的相关投入成本；</w:t>
      </w:r>
    </w:p>
    <w:p>
      <w:pPr>
        <w:spacing w:beforeLines="50" w:line="276" w:lineRule="auto"/>
        <w:ind w:firstLine="427"/>
        <w:rPr>
          <w:rFonts w:ascii="宋体" w:hAnsi="宋体" w:cs="宋体"/>
          <w:spacing w:val="-7"/>
          <w:szCs w:val="21"/>
        </w:rPr>
      </w:pPr>
      <w:r>
        <w:rPr>
          <w:rFonts w:ascii="宋体" w:hAnsi="宋体" w:cs="宋体"/>
          <w:spacing w:val="-7"/>
          <w:szCs w:val="21"/>
        </w:rPr>
        <w:t>（</w:t>
      </w:r>
      <w:r>
        <w:rPr>
          <w:rFonts w:hint="eastAsia" w:ascii="宋体" w:hAnsi="宋体" w:cs="宋体"/>
          <w:spacing w:val="-7"/>
          <w:szCs w:val="21"/>
        </w:rPr>
        <w:t>10</w:t>
      </w:r>
      <w:r>
        <w:rPr>
          <w:rFonts w:ascii="宋体" w:hAnsi="宋体" w:cs="宋体"/>
          <w:spacing w:val="-7"/>
          <w:szCs w:val="21"/>
        </w:rPr>
        <w:t>）房屋、设施设备维修费，投标人计算费用时应充分评估维修中发生的维修成本；</w:t>
      </w:r>
    </w:p>
    <w:p>
      <w:pPr>
        <w:spacing w:beforeLines="50" w:line="276" w:lineRule="auto"/>
        <w:ind w:firstLine="427"/>
        <w:rPr>
          <w:rFonts w:ascii="宋体" w:hAnsi="宋体" w:cs="宋体"/>
          <w:spacing w:val="-7"/>
          <w:szCs w:val="21"/>
        </w:rPr>
      </w:pPr>
      <w:r>
        <w:rPr>
          <w:rFonts w:ascii="宋体" w:hAnsi="宋体" w:cs="宋体"/>
          <w:spacing w:val="-7"/>
          <w:szCs w:val="21"/>
        </w:rPr>
        <w:t>（</w:t>
      </w:r>
      <w:r>
        <w:rPr>
          <w:rFonts w:hint="eastAsia" w:ascii="宋体" w:hAnsi="宋体" w:cs="宋体"/>
          <w:spacing w:val="-7"/>
          <w:szCs w:val="21"/>
        </w:rPr>
        <w:t>11</w:t>
      </w:r>
      <w:r>
        <w:rPr>
          <w:rFonts w:ascii="宋体" w:hAnsi="宋体" w:cs="宋体"/>
          <w:spacing w:val="-7"/>
          <w:szCs w:val="21"/>
        </w:rPr>
        <w:t>）投保人预计投入防灾减灾预防和实施应急响应措施所产生的相关费用；</w:t>
      </w:r>
    </w:p>
    <w:p>
      <w:pPr>
        <w:spacing w:beforeLines="50" w:line="276" w:lineRule="auto"/>
        <w:ind w:firstLine="427"/>
        <w:rPr>
          <w:rFonts w:ascii="宋体" w:hAnsi="宋体" w:cs="宋体"/>
          <w:spacing w:val="-7"/>
          <w:szCs w:val="21"/>
        </w:rPr>
      </w:pPr>
      <w:r>
        <w:rPr>
          <w:rFonts w:ascii="宋体" w:hAnsi="宋体" w:cs="宋体"/>
          <w:spacing w:val="-7"/>
          <w:szCs w:val="21"/>
        </w:rPr>
        <w:t>（</w:t>
      </w:r>
      <w:r>
        <w:rPr>
          <w:rFonts w:hint="eastAsia" w:ascii="宋体" w:hAnsi="宋体" w:cs="宋体"/>
          <w:spacing w:val="-7"/>
          <w:szCs w:val="21"/>
        </w:rPr>
        <w:t>12</w:t>
      </w:r>
      <w:r>
        <w:rPr>
          <w:rFonts w:ascii="宋体" w:hAnsi="宋体" w:cs="宋体"/>
          <w:spacing w:val="-7"/>
          <w:szCs w:val="21"/>
        </w:rPr>
        <w:t>）法定相关税费；</w:t>
      </w:r>
    </w:p>
    <w:p>
      <w:pPr>
        <w:spacing w:beforeLines="50" w:line="276" w:lineRule="auto"/>
        <w:ind w:firstLine="427"/>
        <w:rPr>
          <w:rFonts w:ascii="宋体" w:hAnsi="宋体" w:cs="宋体"/>
          <w:spacing w:val="-7"/>
          <w:szCs w:val="21"/>
        </w:rPr>
      </w:pPr>
      <w:r>
        <w:rPr>
          <w:rFonts w:ascii="宋体" w:hAnsi="宋体" w:cs="宋体"/>
          <w:spacing w:val="-7"/>
          <w:szCs w:val="21"/>
        </w:rPr>
        <w:t>（1</w:t>
      </w:r>
      <w:r>
        <w:rPr>
          <w:rFonts w:hint="eastAsia" w:ascii="宋体" w:hAnsi="宋体" w:cs="宋体"/>
          <w:spacing w:val="-7"/>
          <w:szCs w:val="21"/>
          <w:lang w:val="en-US" w:eastAsia="zh-CN"/>
        </w:rPr>
        <w:t>3</w:t>
      </w:r>
      <w:r>
        <w:rPr>
          <w:rFonts w:ascii="宋体" w:hAnsi="宋体" w:cs="宋体"/>
          <w:spacing w:val="-7"/>
          <w:szCs w:val="21"/>
        </w:rPr>
        <w:t>）不可预见费用，包括但不限于由市场经济因素产生的人工及商品价格波动风险成本；</w:t>
      </w:r>
    </w:p>
    <w:bookmarkEnd w:id="56"/>
    <w:p>
      <w:pPr>
        <w:spacing w:beforeLines="50" w:line="276" w:lineRule="auto"/>
        <w:ind w:firstLine="425"/>
        <w:rPr>
          <w:rFonts w:ascii="宋体" w:hAnsi="宋体" w:cs="宋体"/>
          <w:szCs w:val="21"/>
        </w:rPr>
      </w:pPr>
      <w:r>
        <w:rPr>
          <w:rFonts w:ascii="宋体" w:hAnsi="宋体" w:cs="宋体"/>
          <w:spacing w:val="-2"/>
          <w:szCs w:val="21"/>
        </w:rPr>
        <w:t>3、中标人须承担的维修费用。</w:t>
      </w:r>
    </w:p>
    <w:p>
      <w:pPr>
        <w:spacing w:beforeLines="50" w:line="276" w:lineRule="auto"/>
        <w:ind w:firstLine="425"/>
        <w:rPr>
          <w:rFonts w:ascii="宋体" w:hAnsi="宋体" w:cs="宋体"/>
          <w:spacing w:val="-2"/>
          <w:szCs w:val="21"/>
        </w:rPr>
      </w:pPr>
      <w:r>
        <w:rPr>
          <w:rFonts w:ascii="宋体" w:hAnsi="宋体" w:cs="宋体"/>
          <w:spacing w:val="-2"/>
          <w:szCs w:val="21"/>
        </w:rPr>
        <w:t>4、投标人的投标报价，应是本项目招标范围和招标文件及合同条款上所列的各项内容中所述的全部，并以投标人提供的总价为依据。</w:t>
      </w:r>
    </w:p>
    <w:p>
      <w:pPr>
        <w:spacing w:beforeLines="50" w:line="276" w:lineRule="auto"/>
        <w:ind w:firstLine="425"/>
        <w:rPr>
          <w:rFonts w:ascii="宋体" w:hAnsi="宋体" w:cs="宋体"/>
          <w:spacing w:val="-2"/>
          <w:szCs w:val="21"/>
        </w:rPr>
      </w:pPr>
      <w:r>
        <w:rPr>
          <w:rFonts w:ascii="宋体" w:hAnsi="宋体" w:cs="宋体"/>
          <w:spacing w:val="-2"/>
          <w:szCs w:val="21"/>
        </w:rPr>
        <w:t>5、投标人应充分了解项目的位置、情况及任何其它足以影响投标报价的情况，任何因忽视或误解项目情况而导致索赔或服务期限延长申请将不获批准。</w:t>
      </w:r>
    </w:p>
    <w:p>
      <w:pPr>
        <w:spacing w:beforeLines="50" w:line="276" w:lineRule="auto"/>
        <w:ind w:firstLine="425"/>
        <w:rPr>
          <w:rFonts w:ascii="宋体" w:hAnsi="宋体" w:cs="宋体"/>
          <w:spacing w:val="-2"/>
          <w:szCs w:val="21"/>
        </w:rPr>
      </w:pPr>
      <w:r>
        <w:rPr>
          <w:rFonts w:ascii="宋体" w:hAnsi="宋体" w:cs="宋体"/>
          <w:spacing w:val="-2"/>
          <w:szCs w:val="21"/>
        </w:rPr>
        <w:t>6、投标人不得以弄虚作假，违规手段期望通过索赔等方式获取补偿，否则，除可能遭到拒绝外，还可能将被作为不良行为记录在案，并可能影响其以后参加政府采购的项目投标。各投标人在投标报价时，应充分考虑投标报价的风险。</w:t>
      </w:r>
    </w:p>
    <w:p>
      <w:pPr>
        <w:spacing w:beforeLines="50" w:line="276" w:lineRule="auto"/>
        <w:ind w:firstLine="425"/>
        <w:rPr>
          <w:rFonts w:ascii="宋体" w:hAnsi="宋体" w:cs="宋体"/>
          <w:spacing w:val="-2"/>
          <w:szCs w:val="21"/>
        </w:rPr>
      </w:pPr>
      <w:r>
        <w:rPr>
          <w:rFonts w:ascii="宋体" w:hAnsi="宋体" w:cs="宋体"/>
          <w:spacing w:val="-2"/>
          <w:szCs w:val="21"/>
        </w:rPr>
        <w:t>7、中标人根据有关物业管理法规与采购单位签订物业管理</w:t>
      </w:r>
      <w:r>
        <w:rPr>
          <w:rFonts w:hint="eastAsia" w:ascii="宋体" w:hAnsi="宋体" w:cs="宋体"/>
          <w:spacing w:val="-2"/>
          <w:szCs w:val="21"/>
        </w:rPr>
        <w:t>服务</w:t>
      </w:r>
      <w:r>
        <w:rPr>
          <w:rFonts w:ascii="宋体" w:hAnsi="宋体" w:cs="宋体"/>
          <w:spacing w:val="-2"/>
          <w:szCs w:val="21"/>
        </w:rPr>
        <w:t>合同，对该物业实行统一管理，</w:t>
      </w:r>
      <w:r>
        <w:rPr>
          <w:rFonts w:hint="eastAsia" w:ascii="宋体" w:hAnsi="宋体" w:cs="宋体"/>
          <w:spacing w:val="-2"/>
          <w:szCs w:val="21"/>
        </w:rPr>
        <w:t>提供物业管理综合</w:t>
      </w:r>
      <w:r>
        <w:rPr>
          <w:rFonts w:ascii="宋体" w:hAnsi="宋体" w:cs="宋体"/>
          <w:spacing w:val="-2"/>
          <w:szCs w:val="21"/>
        </w:rPr>
        <w:t>服务，在管理期限内因中标人原因造成的所有损失或法律责任，均由中标人承担，采购人将不承担任何费用及责任。</w:t>
      </w:r>
    </w:p>
    <w:p>
      <w:pPr>
        <w:snapToGrid w:val="0"/>
        <w:spacing w:line="396" w:lineRule="auto"/>
        <w:outlineLvl w:val="1"/>
        <w:rPr>
          <w:rFonts w:ascii="宋体" w:hAnsi="宋体" w:cs="黑体"/>
          <w:sz w:val="28"/>
          <w:szCs w:val="28"/>
        </w:rPr>
      </w:pPr>
      <w:bookmarkStart w:id="57" w:name="_Toc126262556"/>
      <w:r>
        <w:rPr>
          <w:rFonts w:ascii="宋体" w:hAnsi="宋体" w:cs="黑体"/>
          <w:sz w:val="28"/>
          <w:szCs w:val="28"/>
        </w:rPr>
        <w:t>4.2 投标文件的内容和要求</w:t>
      </w:r>
      <w:bookmarkEnd w:id="57"/>
    </w:p>
    <w:p>
      <w:pPr>
        <w:spacing w:beforeLines="50" w:line="276" w:lineRule="auto"/>
        <w:ind w:firstLine="427"/>
        <w:rPr>
          <w:rFonts w:ascii="宋体" w:hAnsi="宋体" w:cs="宋体"/>
          <w:szCs w:val="21"/>
        </w:rPr>
      </w:pPr>
      <w:r>
        <w:rPr>
          <w:rFonts w:ascii="宋体" w:hAnsi="宋体" w:cs="宋体"/>
          <w:spacing w:val="-12"/>
          <w:szCs w:val="21"/>
        </w:rPr>
        <w:t>（一）有效的投标文件：符合相关法律法规视为有效。</w:t>
      </w:r>
    </w:p>
    <w:p>
      <w:pPr>
        <w:spacing w:beforeLines="50" w:line="276" w:lineRule="auto"/>
        <w:ind w:right="74" w:firstLine="426"/>
        <w:rPr>
          <w:rFonts w:ascii="宋体" w:hAnsi="宋体" w:cs="宋体"/>
          <w:szCs w:val="21"/>
        </w:rPr>
      </w:pPr>
      <w:r>
        <w:rPr>
          <w:rFonts w:ascii="宋体" w:hAnsi="宋体" w:cs="宋体"/>
          <w:spacing w:val="-2"/>
          <w:szCs w:val="21"/>
        </w:rPr>
        <w:t>（二）</w:t>
      </w:r>
      <w:r>
        <w:rPr>
          <w:rFonts w:hint="eastAsia" w:ascii="宋体" w:hAnsi="宋体" w:cs="宋体"/>
          <w:spacing w:val="-2"/>
          <w:szCs w:val="21"/>
        </w:rPr>
        <w:t>本项目不组织现场勘察，投标人根据“4.3物业管理内容和目标”，提供适合采购人需求或优于采购人需求的服务方案</w:t>
      </w:r>
      <w:r>
        <w:rPr>
          <w:rFonts w:ascii="宋体" w:hAnsi="宋体" w:cs="宋体"/>
          <w:spacing w:val="1"/>
          <w:szCs w:val="21"/>
        </w:rPr>
        <w:t>，包括但不限于总体服务模式、专项服务计划和实施方案，节能减排设计方案，驻场服务机构设立方案和运作流程，服务管理规章制度、设备设施管理使用制度和营运</w:t>
      </w:r>
      <w:r>
        <w:rPr>
          <w:rFonts w:ascii="宋体" w:hAnsi="宋体" w:cs="宋体"/>
          <w:spacing w:val="-8"/>
          <w:szCs w:val="21"/>
        </w:rPr>
        <w:t>配套措施，</w:t>
      </w:r>
      <w:r>
        <w:rPr>
          <w:rFonts w:hint="eastAsia" w:ascii="宋体" w:hAnsi="宋体" w:cs="宋体"/>
          <w:spacing w:val="-8"/>
          <w:szCs w:val="21"/>
          <w:highlight w:val="red"/>
        </w:rPr>
        <w:t>物业管理岗位服务</w:t>
      </w:r>
      <w:r>
        <w:rPr>
          <w:rFonts w:ascii="宋体" w:hAnsi="宋体" w:cs="宋体"/>
          <w:spacing w:val="-8"/>
          <w:szCs w:val="21"/>
          <w:highlight w:val="red"/>
        </w:rPr>
        <w:t>人员配备，</w:t>
      </w:r>
      <w:r>
        <w:rPr>
          <w:rFonts w:hint="eastAsia" w:ascii="宋体" w:hAnsi="宋体" w:cs="宋体"/>
          <w:spacing w:val="-8"/>
          <w:szCs w:val="21"/>
          <w:highlight w:val="red"/>
        </w:rPr>
        <w:t>物业管理岗位服务</w:t>
      </w:r>
      <w:r>
        <w:rPr>
          <w:rFonts w:ascii="宋体" w:hAnsi="宋体" w:cs="宋体"/>
          <w:spacing w:val="-8"/>
          <w:szCs w:val="21"/>
          <w:highlight w:val="red"/>
        </w:rPr>
        <w:t>人员工资和设备物资投入情况等</w:t>
      </w:r>
      <w:r>
        <w:rPr>
          <w:rFonts w:ascii="宋体" w:hAnsi="宋体" w:cs="宋体"/>
          <w:spacing w:val="-8"/>
          <w:szCs w:val="21"/>
        </w:rPr>
        <w:t>。</w:t>
      </w:r>
    </w:p>
    <w:p>
      <w:pPr>
        <w:spacing w:beforeLines="50" w:line="276" w:lineRule="auto"/>
        <w:ind w:left="1" w:firstLine="425"/>
        <w:rPr>
          <w:rFonts w:ascii="宋体" w:hAnsi="宋体" w:cs="宋体"/>
          <w:szCs w:val="21"/>
        </w:rPr>
      </w:pPr>
      <w:r>
        <w:rPr>
          <w:rFonts w:ascii="宋体" w:hAnsi="宋体" w:cs="宋体"/>
          <w:spacing w:val="-2"/>
          <w:szCs w:val="21"/>
        </w:rPr>
        <w:t>（三）物业管理</w:t>
      </w:r>
      <w:r>
        <w:rPr>
          <w:rFonts w:hint="eastAsia" w:ascii="宋体" w:hAnsi="宋体" w:cs="宋体"/>
          <w:spacing w:val="-2"/>
          <w:szCs w:val="21"/>
        </w:rPr>
        <w:t>采购内容编制包括：</w:t>
      </w:r>
      <w:r>
        <w:rPr>
          <w:rFonts w:ascii="宋体" w:hAnsi="宋体" w:cs="宋体"/>
          <w:spacing w:val="-2"/>
          <w:szCs w:val="21"/>
        </w:rPr>
        <w:t>组织结构、</w:t>
      </w:r>
      <w:r>
        <w:rPr>
          <w:rFonts w:hint="eastAsia" w:ascii="宋体" w:hAnsi="宋体" w:cs="宋体"/>
          <w:spacing w:val="-8"/>
          <w:szCs w:val="21"/>
          <w:highlight w:val="red"/>
        </w:rPr>
        <w:t>物业管理岗位服务</w:t>
      </w:r>
      <w:r>
        <w:rPr>
          <w:rFonts w:ascii="宋体" w:hAnsi="宋体" w:cs="宋体"/>
          <w:spacing w:val="-8"/>
          <w:szCs w:val="21"/>
          <w:highlight w:val="red"/>
        </w:rPr>
        <w:t>人员配备</w:t>
      </w:r>
      <w:r>
        <w:rPr>
          <w:rFonts w:ascii="宋体" w:hAnsi="宋体" w:cs="宋体"/>
          <w:spacing w:val="-2"/>
          <w:szCs w:val="21"/>
        </w:rPr>
        <w:t>、岗位职责、工作内容、工作质量标准、工作流程、行为规范、培训教育、演练测评、考勤登记、假日值班、交班加班、巡查巡视、</w:t>
      </w:r>
      <w:r>
        <w:rPr>
          <w:rFonts w:ascii="宋体" w:hAnsi="宋体" w:cs="宋体"/>
          <w:spacing w:val="1"/>
          <w:szCs w:val="21"/>
        </w:rPr>
        <w:t>奖励处罚、节能减排、资产管理、档案管理、设备使用管理、物品领用、安全保卫、环境卫生、应急</w:t>
      </w:r>
      <w:r>
        <w:rPr>
          <w:rFonts w:ascii="宋体" w:hAnsi="宋体" w:cs="宋体"/>
          <w:spacing w:val="-2"/>
          <w:szCs w:val="21"/>
        </w:rPr>
        <w:t>抢险、协调联动等</w:t>
      </w:r>
      <w:r>
        <w:rPr>
          <w:rFonts w:hint="eastAsia" w:ascii="宋体" w:hAnsi="宋体" w:cs="宋体"/>
          <w:spacing w:val="-2"/>
          <w:szCs w:val="21"/>
        </w:rPr>
        <w:t>内容</w:t>
      </w:r>
      <w:r>
        <w:rPr>
          <w:rFonts w:ascii="宋体" w:hAnsi="宋体" w:cs="宋体"/>
          <w:spacing w:val="-2"/>
          <w:szCs w:val="21"/>
        </w:rPr>
        <w:t>。</w:t>
      </w:r>
    </w:p>
    <w:p>
      <w:pPr>
        <w:spacing w:beforeLines="50" w:line="276" w:lineRule="auto"/>
        <w:ind w:firstLine="427"/>
        <w:rPr>
          <w:rFonts w:ascii="宋体" w:hAnsi="宋体" w:cs="宋体"/>
          <w:szCs w:val="21"/>
        </w:rPr>
      </w:pPr>
      <w:r>
        <w:rPr>
          <w:rFonts w:ascii="宋体" w:hAnsi="宋体" w:cs="宋体"/>
          <w:spacing w:val="-4"/>
          <w:szCs w:val="21"/>
        </w:rPr>
        <w:t>（四）投标人应提供投标总报价及各项费用、报价、成本的构成分析。</w:t>
      </w:r>
    </w:p>
    <w:p>
      <w:pPr>
        <w:spacing w:beforeLines="50" w:line="276" w:lineRule="auto"/>
        <w:ind w:left="1" w:right="78" w:firstLine="425"/>
        <w:rPr>
          <w:rFonts w:ascii="宋体" w:hAnsi="宋体" w:cs="宋体"/>
          <w:szCs w:val="21"/>
        </w:rPr>
      </w:pPr>
      <w:r>
        <w:rPr>
          <w:rFonts w:ascii="宋体" w:hAnsi="宋体" w:cs="宋体"/>
          <w:spacing w:val="-2"/>
          <w:szCs w:val="21"/>
        </w:rPr>
        <w:t>（五）投标人拟采取的管理方式</w:t>
      </w:r>
      <w:r>
        <w:rPr>
          <w:rFonts w:hint="eastAsia" w:ascii="宋体" w:hAnsi="宋体" w:cs="宋体"/>
          <w:spacing w:val="-2"/>
          <w:szCs w:val="21"/>
        </w:rPr>
        <w:t>内容，</w:t>
      </w:r>
      <w:r>
        <w:rPr>
          <w:rFonts w:ascii="宋体" w:hAnsi="宋体" w:cs="宋体"/>
          <w:spacing w:val="-2"/>
          <w:szCs w:val="21"/>
        </w:rPr>
        <w:t>包括：内部管理架构、机构设置、运作机制、工作流程、信息反馈渠道、控制方式等。</w:t>
      </w:r>
    </w:p>
    <w:p>
      <w:pPr>
        <w:spacing w:beforeLines="50" w:line="276" w:lineRule="auto"/>
        <w:ind w:left="3" w:right="109" w:firstLine="423"/>
        <w:rPr>
          <w:rFonts w:ascii="宋体" w:hAnsi="宋体" w:cs="宋体"/>
          <w:szCs w:val="21"/>
          <w:highlight w:val="red"/>
        </w:rPr>
      </w:pPr>
      <w:r>
        <w:rPr>
          <w:rFonts w:ascii="宋体" w:hAnsi="宋体" w:cs="宋体"/>
          <w:spacing w:val="-6"/>
          <w:szCs w:val="21"/>
        </w:rPr>
        <w:t>（六）</w:t>
      </w:r>
      <w:r>
        <w:rPr>
          <w:rFonts w:hint="eastAsia" w:ascii="宋体" w:hAnsi="宋体" w:cs="宋体"/>
          <w:spacing w:val="-6"/>
          <w:szCs w:val="21"/>
          <w:highlight w:val="red"/>
        </w:rPr>
        <w:t>物业</w:t>
      </w:r>
      <w:r>
        <w:rPr>
          <w:rFonts w:ascii="宋体" w:hAnsi="宋体" w:cs="宋体"/>
          <w:spacing w:val="-6"/>
          <w:szCs w:val="21"/>
          <w:highlight w:val="red"/>
        </w:rPr>
        <w:t>管理</w:t>
      </w:r>
      <w:r>
        <w:rPr>
          <w:rFonts w:hint="eastAsia" w:ascii="宋体" w:hAnsi="宋体" w:cs="宋体"/>
          <w:spacing w:val="-6"/>
          <w:szCs w:val="21"/>
          <w:highlight w:val="red"/>
        </w:rPr>
        <w:t>岗位</w:t>
      </w:r>
      <w:r>
        <w:rPr>
          <w:rFonts w:ascii="宋体" w:hAnsi="宋体" w:cs="宋体"/>
          <w:spacing w:val="-6"/>
          <w:szCs w:val="21"/>
          <w:highlight w:val="red"/>
        </w:rPr>
        <w:t>人员配备，包括：</w:t>
      </w:r>
      <w:r>
        <w:rPr>
          <w:rFonts w:hint="eastAsia" w:ascii="宋体" w:hAnsi="宋体" w:cs="宋体"/>
          <w:spacing w:val="-6"/>
          <w:szCs w:val="21"/>
          <w:highlight w:val="red"/>
        </w:rPr>
        <w:t>物业</w:t>
      </w:r>
      <w:r>
        <w:rPr>
          <w:rFonts w:ascii="宋体" w:hAnsi="宋体" w:cs="宋体"/>
          <w:spacing w:val="-6"/>
          <w:szCs w:val="21"/>
          <w:highlight w:val="red"/>
        </w:rPr>
        <w:t>管理</w:t>
      </w:r>
      <w:r>
        <w:rPr>
          <w:rFonts w:hint="eastAsia" w:ascii="宋体" w:hAnsi="宋体" w:cs="宋体"/>
          <w:spacing w:val="-6"/>
          <w:szCs w:val="21"/>
          <w:highlight w:val="red"/>
        </w:rPr>
        <w:t>岗位</w:t>
      </w:r>
      <w:r>
        <w:rPr>
          <w:rFonts w:ascii="宋体" w:hAnsi="宋体" w:cs="宋体"/>
          <w:spacing w:val="-6"/>
          <w:szCs w:val="21"/>
          <w:highlight w:val="red"/>
        </w:rPr>
        <w:t>人员、专业技术</w:t>
      </w:r>
      <w:r>
        <w:rPr>
          <w:rFonts w:hint="eastAsia" w:ascii="宋体" w:hAnsi="宋体" w:cs="宋体"/>
          <w:spacing w:val="-6"/>
          <w:szCs w:val="21"/>
          <w:highlight w:val="red"/>
        </w:rPr>
        <w:t>岗位</w:t>
      </w:r>
      <w:r>
        <w:rPr>
          <w:rFonts w:ascii="宋体" w:hAnsi="宋体" w:cs="宋体"/>
          <w:spacing w:val="-6"/>
          <w:szCs w:val="21"/>
          <w:highlight w:val="red"/>
        </w:rPr>
        <w:t>人员</w:t>
      </w:r>
      <w:r>
        <w:rPr>
          <w:rFonts w:hint="eastAsia" w:ascii="宋体" w:hAnsi="宋体" w:cs="宋体"/>
          <w:spacing w:val="-6"/>
          <w:szCs w:val="21"/>
          <w:highlight w:val="red"/>
        </w:rPr>
        <w:t>、</w:t>
      </w:r>
      <w:r>
        <w:rPr>
          <w:rFonts w:ascii="宋体" w:hAnsi="宋体" w:cs="宋体"/>
          <w:spacing w:val="-6"/>
          <w:szCs w:val="21"/>
          <w:highlight w:val="red"/>
        </w:rPr>
        <w:t>保安部门、清洁部门等</w:t>
      </w:r>
      <w:r>
        <w:rPr>
          <w:rFonts w:hint="eastAsia" w:ascii="宋体" w:hAnsi="宋体" w:cs="宋体"/>
          <w:spacing w:val="-6"/>
          <w:szCs w:val="21"/>
          <w:highlight w:val="red"/>
        </w:rPr>
        <w:t>岗位服务人员</w:t>
      </w:r>
      <w:r>
        <w:rPr>
          <w:rFonts w:ascii="宋体" w:hAnsi="宋体" w:cs="宋体"/>
          <w:spacing w:val="-6"/>
          <w:szCs w:val="21"/>
          <w:highlight w:val="red"/>
        </w:rPr>
        <w:t>简历、</w:t>
      </w:r>
      <w:r>
        <w:rPr>
          <w:rFonts w:ascii="宋体" w:hAnsi="宋体" w:cs="宋体"/>
          <w:spacing w:val="-2"/>
          <w:szCs w:val="21"/>
          <w:highlight w:val="red"/>
        </w:rPr>
        <w:t>各类</w:t>
      </w:r>
      <w:r>
        <w:rPr>
          <w:rFonts w:hint="eastAsia" w:ascii="宋体" w:hAnsi="宋体" w:cs="宋体"/>
          <w:spacing w:val="-2"/>
          <w:szCs w:val="21"/>
          <w:highlight w:val="red"/>
        </w:rPr>
        <w:t>岗位</w:t>
      </w:r>
      <w:r>
        <w:rPr>
          <w:rFonts w:ascii="宋体" w:hAnsi="宋体" w:cs="宋体"/>
          <w:spacing w:val="-2"/>
          <w:szCs w:val="21"/>
          <w:highlight w:val="red"/>
        </w:rPr>
        <w:t>数量、各岗位配置等。</w:t>
      </w:r>
    </w:p>
    <w:p>
      <w:pPr>
        <w:spacing w:beforeLines="50" w:line="276" w:lineRule="auto"/>
        <w:ind w:firstLine="427"/>
        <w:rPr>
          <w:rFonts w:ascii="宋体" w:hAnsi="宋体" w:cs="宋体"/>
          <w:szCs w:val="21"/>
        </w:rPr>
      </w:pPr>
      <w:r>
        <w:rPr>
          <w:rFonts w:ascii="宋体" w:hAnsi="宋体" w:cs="宋体"/>
          <w:spacing w:val="-9"/>
          <w:szCs w:val="21"/>
        </w:rPr>
        <w:t>（七）</w:t>
      </w:r>
      <w:r>
        <w:rPr>
          <w:rFonts w:hint="eastAsia" w:ascii="宋体" w:hAnsi="宋体" w:cs="宋体"/>
          <w:spacing w:val="-9"/>
          <w:szCs w:val="21"/>
          <w:highlight w:val="red"/>
        </w:rPr>
        <w:t>物业</w:t>
      </w:r>
      <w:r>
        <w:rPr>
          <w:rFonts w:ascii="宋体" w:hAnsi="宋体" w:cs="宋体"/>
          <w:spacing w:val="-9"/>
          <w:szCs w:val="21"/>
          <w:highlight w:val="red"/>
        </w:rPr>
        <w:t>管理</w:t>
      </w:r>
      <w:r>
        <w:rPr>
          <w:rFonts w:hint="eastAsia" w:ascii="宋体" w:hAnsi="宋体" w:cs="宋体"/>
          <w:spacing w:val="-9"/>
          <w:szCs w:val="21"/>
          <w:highlight w:val="red"/>
        </w:rPr>
        <w:t>岗位</w:t>
      </w:r>
      <w:r>
        <w:rPr>
          <w:rFonts w:ascii="宋体" w:hAnsi="宋体" w:cs="宋体"/>
          <w:spacing w:val="-9"/>
          <w:szCs w:val="21"/>
          <w:highlight w:val="red"/>
        </w:rPr>
        <w:t>人员的培训，包括培训计划、方式、内容、专业、目标等</w:t>
      </w:r>
      <w:r>
        <w:rPr>
          <w:rFonts w:ascii="宋体" w:hAnsi="宋体" w:cs="宋体"/>
          <w:spacing w:val="-9"/>
          <w:szCs w:val="21"/>
        </w:rPr>
        <w:t>。</w:t>
      </w:r>
    </w:p>
    <w:p>
      <w:pPr>
        <w:spacing w:beforeLines="50" w:line="276" w:lineRule="auto"/>
        <w:ind w:left="5" w:right="78" w:firstLine="422"/>
        <w:rPr>
          <w:rFonts w:ascii="宋体" w:hAnsi="宋体" w:cs="宋体"/>
          <w:szCs w:val="21"/>
        </w:rPr>
      </w:pPr>
      <w:r>
        <w:rPr>
          <w:rFonts w:ascii="宋体" w:hAnsi="宋体" w:cs="宋体"/>
          <w:spacing w:val="-2"/>
          <w:szCs w:val="21"/>
        </w:rPr>
        <w:t>（八）管理工作必需的物质装备情况，包括：</w:t>
      </w:r>
      <w:r>
        <w:rPr>
          <w:rFonts w:ascii="宋体" w:hAnsi="宋体" w:cs="宋体"/>
          <w:spacing w:val="-2"/>
          <w:szCs w:val="21"/>
          <w:highlight w:val="red"/>
        </w:rPr>
        <w:t>管理</w:t>
      </w:r>
      <w:r>
        <w:rPr>
          <w:rFonts w:hint="eastAsia" w:ascii="宋体" w:hAnsi="宋体" w:cs="宋体"/>
          <w:spacing w:val="-2"/>
          <w:szCs w:val="21"/>
          <w:highlight w:val="red"/>
        </w:rPr>
        <w:t>岗位</w:t>
      </w:r>
      <w:r>
        <w:rPr>
          <w:rFonts w:ascii="宋体" w:hAnsi="宋体" w:cs="宋体"/>
          <w:spacing w:val="-2"/>
          <w:szCs w:val="21"/>
          <w:highlight w:val="red"/>
        </w:rPr>
        <w:t>服务人员</w:t>
      </w:r>
      <w:r>
        <w:rPr>
          <w:rFonts w:ascii="宋体" w:hAnsi="宋体" w:cs="宋体"/>
          <w:spacing w:val="-2"/>
          <w:szCs w:val="21"/>
        </w:rPr>
        <w:t>、器械、工具、劳保、通讯、治</w:t>
      </w:r>
      <w:r>
        <w:rPr>
          <w:rFonts w:ascii="宋体" w:hAnsi="宋体" w:cs="宋体"/>
          <w:spacing w:val="-1"/>
          <w:szCs w:val="21"/>
        </w:rPr>
        <w:t>安装备、办公用品等。</w:t>
      </w:r>
    </w:p>
    <w:p>
      <w:pPr>
        <w:spacing w:beforeLines="50" w:line="276" w:lineRule="auto"/>
        <w:ind w:firstLine="427"/>
        <w:rPr>
          <w:rFonts w:ascii="宋体" w:hAnsi="宋体" w:cs="宋体"/>
          <w:szCs w:val="21"/>
        </w:rPr>
      </w:pPr>
      <w:r>
        <w:rPr>
          <w:rFonts w:ascii="宋体" w:hAnsi="宋体" w:cs="宋体"/>
          <w:spacing w:val="-4"/>
          <w:szCs w:val="21"/>
        </w:rPr>
        <w:t>（九）管理规章制度，包括单位内部岗位责任制、管理运作制度</w:t>
      </w:r>
      <w:r>
        <w:rPr>
          <w:rFonts w:ascii="宋体" w:hAnsi="宋体" w:cs="宋体"/>
          <w:color w:val="FF0000"/>
          <w:spacing w:val="-4"/>
          <w:szCs w:val="21"/>
          <w:highlight w:val="yellow"/>
        </w:rPr>
        <w:t>和</w:t>
      </w:r>
      <w:r>
        <w:rPr>
          <w:rFonts w:hint="eastAsia" w:ascii="宋体" w:hAnsi="宋体" w:cs="宋体"/>
          <w:color w:val="FF0000"/>
          <w:spacing w:val="-4"/>
          <w:szCs w:val="21"/>
          <w:highlight w:val="yellow"/>
        </w:rPr>
        <w:t>管理岗位人员</w:t>
      </w:r>
      <w:r>
        <w:rPr>
          <w:rFonts w:ascii="宋体" w:hAnsi="宋体" w:cs="宋体"/>
          <w:color w:val="FF0000"/>
          <w:spacing w:val="-4"/>
          <w:szCs w:val="21"/>
          <w:highlight w:val="yellow"/>
        </w:rPr>
        <w:t>考</w:t>
      </w:r>
      <w:r>
        <w:rPr>
          <w:rFonts w:ascii="宋体" w:hAnsi="宋体" w:cs="宋体"/>
          <w:spacing w:val="-4"/>
          <w:szCs w:val="21"/>
        </w:rPr>
        <w:t>核制度。</w:t>
      </w:r>
    </w:p>
    <w:p>
      <w:pPr>
        <w:spacing w:beforeLines="50" w:line="276" w:lineRule="auto"/>
        <w:ind w:left="3" w:right="109" w:firstLine="423"/>
        <w:rPr>
          <w:rFonts w:ascii="宋体" w:hAnsi="宋体" w:cs="宋体"/>
          <w:spacing w:val="-6"/>
          <w:szCs w:val="21"/>
        </w:rPr>
      </w:pPr>
      <w:r>
        <w:rPr>
          <w:rFonts w:ascii="宋体" w:hAnsi="宋体" w:cs="宋体"/>
          <w:spacing w:val="-6"/>
          <w:szCs w:val="21"/>
        </w:rPr>
        <w:t>（十）大楼档案的建立与管理。</w:t>
      </w:r>
    </w:p>
    <w:p>
      <w:pPr>
        <w:spacing w:beforeLines="50" w:line="276" w:lineRule="auto"/>
        <w:ind w:left="3" w:right="109" w:firstLine="423"/>
        <w:rPr>
          <w:rFonts w:ascii="宋体" w:hAnsi="宋体" w:cs="宋体"/>
          <w:spacing w:val="-6"/>
          <w:szCs w:val="21"/>
        </w:rPr>
      </w:pPr>
      <w:r>
        <w:rPr>
          <w:rFonts w:ascii="宋体" w:hAnsi="宋体" w:cs="宋体"/>
          <w:spacing w:val="-6"/>
          <w:szCs w:val="21"/>
        </w:rPr>
        <w:t>（十一）各项管理指标的承诺，包括：1、房屋设备、设施、各类器材完好率；2、维修及时率；3、维修保养质量合格率；4、清洁、保洁率；5、化粪池、雨水井、污水井完好率；6、排水管、明暗沟完好率；7、停车场及配套设施完好率；8、治安案件发生率；9、消防设施设备完好率；10、火灾发生率；11、采购人有效投诉率与处理率；12、维修服务回访率；13、采购人对物业服务满意率；14、服务保障和管理巡查、巡视、巡防、巡访、巡测、巡检、巡扫、巡抹率。</w:t>
      </w:r>
    </w:p>
    <w:p>
      <w:pPr>
        <w:spacing w:beforeLines="50" w:line="276" w:lineRule="auto"/>
        <w:ind w:left="5" w:right="78" w:firstLine="422"/>
        <w:rPr>
          <w:rFonts w:ascii="宋体" w:hAnsi="宋体" w:cs="宋体"/>
          <w:spacing w:val="-6"/>
          <w:szCs w:val="21"/>
        </w:rPr>
      </w:pPr>
      <w:r>
        <w:rPr>
          <w:rFonts w:ascii="宋体" w:hAnsi="宋体" w:cs="宋体"/>
          <w:spacing w:val="-6"/>
          <w:szCs w:val="21"/>
        </w:rPr>
        <w:t>要求以上各项工作要有量化指标，物业管理服务承诺（不限于以上内容，投标人可在此基础上提出额外承诺）。</w:t>
      </w:r>
    </w:p>
    <w:p>
      <w:pPr>
        <w:snapToGrid w:val="0"/>
        <w:spacing w:line="396" w:lineRule="auto"/>
        <w:outlineLvl w:val="1"/>
        <w:rPr>
          <w:rFonts w:ascii="宋体" w:hAnsi="宋体" w:cs="宋体"/>
          <w:b/>
          <w:bCs/>
          <w:szCs w:val="21"/>
        </w:rPr>
      </w:pPr>
      <w:bookmarkStart w:id="58" w:name="_Toc126262557"/>
      <w:r>
        <w:rPr>
          <w:rFonts w:ascii="宋体" w:hAnsi="宋体" w:cs="黑体"/>
          <w:sz w:val="28"/>
          <w:szCs w:val="28"/>
        </w:rPr>
        <w:t xml:space="preserve">4.3 </w:t>
      </w:r>
      <w:r>
        <w:rPr>
          <w:rFonts w:hint="eastAsia" w:ascii="宋体" w:hAnsi="宋体" w:cs="黑体"/>
          <w:sz w:val="28"/>
          <w:szCs w:val="28"/>
        </w:rPr>
        <w:t>物业管理内容和目标</w:t>
      </w:r>
      <w:bookmarkEnd w:id="58"/>
    </w:p>
    <w:p>
      <w:pPr>
        <w:spacing w:line="276" w:lineRule="auto"/>
        <w:ind w:firstLine="567"/>
        <w:jc w:val="left"/>
        <w:outlineLvl w:val="1"/>
        <w:rPr>
          <w:rFonts w:ascii="宋体" w:hAnsi="宋体"/>
          <w:b/>
          <w:bCs/>
          <w:sz w:val="24"/>
        </w:rPr>
      </w:pPr>
      <w:bookmarkStart w:id="59" w:name="_Toc377552356"/>
      <w:bookmarkStart w:id="60" w:name="_Toc126262558"/>
      <w:r>
        <w:rPr>
          <w:rFonts w:hint="eastAsia" w:ascii="宋体" w:hAnsi="宋体"/>
          <w:b/>
          <w:bCs/>
          <w:szCs w:val="21"/>
        </w:rPr>
        <w:t>（一）安全保卫</w:t>
      </w:r>
      <w:bookmarkEnd w:id="59"/>
      <w:bookmarkEnd w:id="60"/>
    </w:p>
    <w:p>
      <w:pPr>
        <w:spacing w:line="276" w:lineRule="auto"/>
        <w:ind w:firstLine="567"/>
        <w:jc w:val="left"/>
        <w:rPr>
          <w:rFonts w:ascii="宋体" w:hAnsi="宋体"/>
          <w:szCs w:val="21"/>
        </w:rPr>
      </w:pPr>
      <w:r>
        <w:rPr>
          <w:rFonts w:hint="eastAsia" w:ascii="宋体" w:hAnsi="宋体"/>
          <w:szCs w:val="21"/>
        </w:rPr>
        <w:t>中标人负责维护采购人办公大楼及其管辖范围内的安全防范与公共秩序。主要包括：</w:t>
      </w:r>
    </w:p>
    <w:p>
      <w:pPr>
        <w:spacing w:line="276" w:lineRule="auto"/>
        <w:ind w:firstLine="567"/>
        <w:jc w:val="left"/>
        <w:rPr>
          <w:rFonts w:ascii="宋体" w:hAnsi="宋体"/>
          <w:szCs w:val="21"/>
        </w:rPr>
      </w:pPr>
      <w:r>
        <w:rPr>
          <w:rFonts w:hint="eastAsia" w:ascii="宋体" w:hAnsi="宋体"/>
          <w:szCs w:val="21"/>
        </w:rPr>
        <w:t>做好上班时间和非上班时间对进入楼层的人员的检查和登记工作。包括外来办事人员出入登记、访客咨询、人员疏导、外来施工服务人员来访证的发放和回收；严格按有关流程执行大宗物品出入放行制度，并对进入大楼人员携带的可疑物品进行询问。</w:t>
      </w:r>
    </w:p>
    <w:p>
      <w:pPr>
        <w:spacing w:line="276" w:lineRule="auto"/>
        <w:ind w:firstLine="567"/>
        <w:jc w:val="left"/>
        <w:rPr>
          <w:rFonts w:ascii="宋体" w:hAnsi="宋体"/>
          <w:szCs w:val="21"/>
        </w:rPr>
      </w:pPr>
      <w:r>
        <w:rPr>
          <w:rFonts w:hint="eastAsia" w:ascii="宋体" w:hAnsi="宋体"/>
          <w:szCs w:val="21"/>
        </w:rPr>
        <w:t>维持大楼及其周边公共秩序，做好公共区域的安全防范工作，实行24小时巡查制度；主要门岗24小时值勤、消防及监控中心24小时安全监控及值班巡逻；建立完善的日检工作记录制度与交接班记录制度，确保无安全隐患。</w:t>
      </w:r>
    </w:p>
    <w:p>
      <w:pPr>
        <w:spacing w:line="276" w:lineRule="auto"/>
        <w:ind w:firstLine="567"/>
        <w:jc w:val="left"/>
        <w:rPr>
          <w:rFonts w:ascii="宋体" w:hAnsi="宋体"/>
          <w:szCs w:val="21"/>
        </w:rPr>
      </w:pPr>
      <w:r>
        <w:rPr>
          <w:rFonts w:hint="eastAsia" w:ascii="宋体" w:hAnsi="宋体"/>
          <w:szCs w:val="21"/>
        </w:rPr>
        <w:t>维护办公和公共场所肃静，制止喧闹现象，杜绝闲杂人员随意走动；制定并落实保密管理制度，未经采购人批准不得在办公区照相、录音和录像，不得泄露采购人内部工作人员电话、车牌号等私人资料。</w:t>
      </w:r>
    </w:p>
    <w:p>
      <w:pPr>
        <w:spacing w:line="276" w:lineRule="auto"/>
        <w:ind w:firstLine="567"/>
        <w:jc w:val="left"/>
        <w:rPr>
          <w:rFonts w:ascii="宋体" w:hAnsi="宋体"/>
          <w:szCs w:val="21"/>
        </w:rPr>
      </w:pPr>
      <w:r>
        <w:rPr>
          <w:rFonts w:hint="eastAsia" w:ascii="宋体" w:hAnsi="宋体"/>
          <w:szCs w:val="21"/>
        </w:rPr>
        <w:t>大楼内部装修期间的安全防护工作。</w:t>
      </w:r>
    </w:p>
    <w:p>
      <w:pPr>
        <w:spacing w:line="276" w:lineRule="auto"/>
        <w:ind w:firstLine="567"/>
        <w:jc w:val="left"/>
        <w:rPr>
          <w:rFonts w:ascii="宋体" w:hAnsi="宋体"/>
          <w:szCs w:val="21"/>
        </w:rPr>
      </w:pPr>
      <w:r>
        <w:rPr>
          <w:rFonts w:hint="eastAsia" w:ascii="宋体" w:hAnsi="宋体"/>
          <w:szCs w:val="21"/>
        </w:rPr>
        <w:t>大楼消防设施的检查及登记工作，建立健全的扑救水火灾、电梯困人等突发事件处理等安全保卫应急方案。</w:t>
      </w:r>
    </w:p>
    <w:p>
      <w:pPr>
        <w:spacing w:line="276" w:lineRule="auto"/>
        <w:ind w:firstLine="567"/>
        <w:jc w:val="left"/>
        <w:rPr>
          <w:rFonts w:ascii="宋体" w:hAnsi="宋体"/>
          <w:szCs w:val="21"/>
        </w:rPr>
      </w:pPr>
      <w:r>
        <w:rPr>
          <w:rFonts w:hint="eastAsia" w:ascii="宋体" w:hAnsi="宋体"/>
          <w:szCs w:val="21"/>
        </w:rPr>
        <w:t>严防大楼内出现包括但不限于抢劫、扒窃、失窃等造成财物、消防设备损害的刑事和治安事件发生，随时处理紧急情况和突发事件，维护工作秩序，保证大楼正常办公和大楼内财产、消防设备的安全。火警、水灾、电梯困人、治安事件（盗窃、抢劫、斗殴、强行闯入等）等突发灾害和事件的处理。在处理特殊事件和紧急、突发事故时，采购人对中标人的工勤人员有直接指挥权。</w:t>
      </w:r>
    </w:p>
    <w:p>
      <w:pPr>
        <w:spacing w:line="276" w:lineRule="auto"/>
        <w:ind w:firstLine="567"/>
        <w:jc w:val="left"/>
        <w:rPr>
          <w:rFonts w:ascii="宋体" w:hAnsi="宋体"/>
          <w:szCs w:val="21"/>
        </w:rPr>
      </w:pPr>
      <w:r>
        <w:rPr>
          <w:rFonts w:hint="eastAsia" w:ascii="宋体" w:hAnsi="宋体"/>
          <w:szCs w:val="21"/>
        </w:rPr>
        <w:t>负责</w:t>
      </w:r>
      <w:r>
        <w:rPr>
          <w:rFonts w:hint="eastAsia" w:ascii="宋体" w:hAnsi="宋体" w:cs="仿宋_GB2312"/>
          <w:szCs w:val="21"/>
        </w:rPr>
        <w:t>报刊、邮件派发和</w:t>
      </w:r>
      <w:r>
        <w:rPr>
          <w:rFonts w:hint="eastAsia" w:ascii="宋体" w:hAnsi="宋体"/>
          <w:szCs w:val="21"/>
        </w:rPr>
        <w:t>非经常性物品搬运等工作。</w:t>
      </w:r>
    </w:p>
    <w:p>
      <w:pPr>
        <w:spacing w:line="276" w:lineRule="auto"/>
        <w:ind w:firstLine="567"/>
        <w:jc w:val="left"/>
        <w:rPr>
          <w:rFonts w:ascii="宋体" w:hAnsi="宋体"/>
          <w:szCs w:val="21"/>
        </w:rPr>
      </w:pPr>
      <w:r>
        <w:rPr>
          <w:rFonts w:hint="eastAsia" w:ascii="宋体" w:hAnsi="宋体"/>
          <w:szCs w:val="21"/>
        </w:rPr>
        <w:t>组织内部员工开展消防演练每年不少于1次，协助采购人开展综合性消防演习每年不少于1次。</w:t>
      </w:r>
    </w:p>
    <w:p>
      <w:pPr>
        <w:spacing w:line="276" w:lineRule="auto"/>
        <w:ind w:firstLine="567"/>
        <w:jc w:val="left"/>
        <w:rPr>
          <w:rFonts w:ascii="宋体" w:hAnsi="宋体"/>
          <w:szCs w:val="21"/>
        </w:rPr>
      </w:pPr>
      <w:r>
        <w:rPr>
          <w:rFonts w:hint="eastAsia" w:ascii="宋体" w:hAnsi="宋体"/>
          <w:szCs w:val="21"/>
        </w:rPr>
        <w:t>为纳税人提供引导和其他必要服务。</w:t>
      </w:r>
    </w:p>
    <w:p>
      <w:pPr>
        <w:spacing w:line="276" w:lineRule="auto"/>
        <w:ind w:firstLine="567"/>
        <w:jc w:val="left"/>
        <w:rPr>
          <w:rFonts w:ascii="宋体" w:hAnsi="宋体"/>
          <w:szCs w:val="21"/>
        </w:rPr>
      </w:pPr>
      <w:r>
        <w:rPr>
          <w:rFonts w:hint="eastAsia" w:ascii="宋体" w:hAnsi="宋体"/>
          <w:szCs w:val="21"/>
        </w:rPr>
        <w:t>其它与安全保卫有关事项。</w:t>
      </w:r>
    </w:p>
    <w:p>
      <w:pPr>
        <w:spacing w:line="276" w:lineRule="auto"/>
        <w:ind w:firstLine="567"/>
        <w:jc w:val="left"/>
        <w:outlineLvl w:val="1"/>
        <w:rPr>
          <w:rFonts w:ascii="宋体" w:hAnsi="宋体"/>
          <w:b/>
          <w:bCs/>
          <w:szCs w:val="21"/>
        </w:rPr>
      </w:pPr>
      <w:bookmarkStart w:id="61" w:name="_Toc126262559"/>
      <w:r>
        <w:rPr>
          <w:rFonts w:hint="eastAsia" w:ascii="宋体" w:hAnsi="宋体"/>
          <w:b/>
          <w:bCs/>
          <w:szCs w:val="21"/>
        </w:rPr>
        <w:t>（二）停车场管理</w:t>
      </w:r>
      <w:bookmarkEnd w:id="61"/>
    </w:p>
    <w:p>
      <w:pPr>
        <w:spacing w:line="276" w:lineRule="auto"/>
        <w:ind w:firstLine="567"/>
        <w:jc w:val="left"/>
        <w:rPr>
          <w:rFonts w:ascii="宋体" w:hAnsi="宋体"/>
          <w:szCs w:val="21"/>
        </w:rPr>
      </w:pPr>
      <w:r>
        <w:rPr>
          <w:rFonts w:hint="eastAsia" w:ascii="宋体" w:hAnsi="宋体"/>
          <w:szCs w:val="21"/>
        </w:rPr>
        <w:t>负责停车场日常管理；</w:t>
      </w:r>
    </w:p>
    <w:p>
      <w:pPr>
        <w:spacing w:line="276" w:lineRule="auto"/>
        <w:ind w:firstLine="567"/>
        <w:jc w:val="left"/>
        <w:rPr>
          <w:rFonts w:ascii="宋体" w:hAnsi="宋体"/>
          <w:szCs w:val="21"/>
        </w:rPr>
      </w:pPr>
      <w:r>
        <w:rPr>
          <w:rFonts w:hint="eastAsia" w:ascii="宋体" w:hAnsi="宋体"/>
          <w:szCs w:val="21"/>
        </w:rPr>
        <w:t>大型会议(活动)期间须安排保安员做好停车场的交通引导及安全保卫工作；</w:t>
      </w:r>
    </w:p>
    <w:p>
      <w:pPr>
        <w:spacing w:line="276" w:lineRule="auto"/>
        <w:ind w:firstLine="567"/>
        <w:jc w:val="left"/>
        <w:rPr>
          <w:rFonts w:ascii="宋体" w:hAnsi="宋体"/>
          <w:szCs w:val="21"/>
        </w:rPr>
      </w:pPr>
      <w:r>
        <w:rPr>
          <w:rFonts w:hint="eastAsia" w:ascii="宋体" w:hAnsi="宋体"/>
          <w:szCs w:val="21"/>
        </w:rPr>
        <w:t>中标人未经采购人批准，不得擅自对区域内停放的车辆收取费用；</w:t>
      </w:r>
    </w:p>
    <w:p>
      <w:pPr>
        <w:spacing w:line="276" w:lineRule="auto"/>
        <w:ind w:firstLine="567"/>
        <w:jc w:val="left"/>
        <w:rPr>
          <w:rFonts w:ascii="宋体" w:hAnsi="宋体"/>
          <w:szCs w:val="21"/>
        </w:rPr>
      </w:pPr>
      <w:r>
        <w:rPr>
          <w:rFonts w:hint="eastAsia" w:ascii="宋体" w:hAnsi="宋体"/>
          <w:szCs w:val="21"/>
        </w:rPr>
        <w:t>其它与交通、车辆、停车场有关的事项。</w:t>
      </w:r>
    </w:p>
    <w:p>
      <w:pPr>
        <w:spacing w:line="276" w:lineRule="auto"/>
        <w:ind w:firstLine="567"/>
        <w:jc w:val="left"/>
        <w:outlineLvl w:val="1"/>
        <w:rPr>
          <w:rFonts w:ascii="宋体" w:hAnsi="宋体"/>
          <w:szCs w:val="21"/>
        </w:rPr>
      </w:pPr>
      <w:bookmarkStart w:id="62" w:name="_Toc377552358"/>
      <w:bookmarkStart w:id="63" w:name="_Toc126262560"/>
      <w:r>
        <w:rPr>
          <w:rFonts w:hint="eastAsia" w:ascii="宋体" w:hAnsi="宋体"/>
          <w:b/>
          <w:bCs/>
          <w:sz w:val="18"/>
          <w:szCs w:val="18"/>
        </w:rPr>
        <w:t>（三）清洁卫生</w:t>
      </w:r>
    </w:p>
    <w:p>
      <w:pPr>
        <w:spacing w:line="276" w:lineRule="auto"/>
        <w:ind w:firstLine="567"/>
        <w:jc w:val="left"/>
        <w:rPr>
          <w:rFonts w:ascii="宋体" w:hAnsi="宋体"/>
          <w:szCs w:val="21"/>
        </w:rPr>
      </w:pPr>
      <w:r>
        <w:rPr>
          <w:rFonts w:hint="eastAsia" w:ascii="宋体" w:hAnsi="宋体"/>
          <w:szCs w:val="21"/>
        </w:rPr>
        <w:t>中标人须按清洁服务标准对本项目范围内的场所进行日常定时清扫和不定时（特殊情况需要时，采购人按实际安排具体时间）的清扫保洁。按制定的标准全方位保洁，做到按标准定人定点定时管理、巡查、监督。</w:t>
      </w:r>
    </w:p>
    <w:p>
      <w:pPr>
        <w:spacing w:line="276" w:lineRule="auto"/>
        <w:ind w:firstLine="567"/>
        <w:jc w:val="left"/>
        <w:rPr>
          <w:rFonts w:ascii="宋体" w:hAnsi="宋体"/>
          <w:szCs w:val="21"/>
        </w:rPr>
      </w:pPr>
      <w:r>
        <w:rPr>
          <w:rFonts w:hint="eastAsia" w:ascii="宋体" w:hAnsi="宋体"/>
          <w:szCs w:val="21"/>
        </w:rPr>
        <w:t>由采购人和中标人共同制定详细的工作制度和标准，以对工作质量进行考核，重大项目实行中标人验收制度。中标人需安排不少于</w:t>
      </w:r>
      <w:r>
        <w:rPr>
          <w:rFonts w:hint="eastAsia" w:ascii="宋体" w:hAnsi="宋体"/>
          <w:szCs w:val="21"/>
          <w:highlight w:val="red"/>
        </w:rPr>
        <w:t>1个岗位负责</w:t>
      </w:r>
      <w:r>
        <w:rPr>
          <w:rFonts w:hint="eastAsia" w:ascii="宋体" w:hAnsi="宋体"/>
          <w:szCs w:val="21"/>
        </w:rPr>
        <w:t>项目跟进及监督管理工作。</w:t>
      </w:r>
    </w:p>
    <w:p>
      <w:pPr>
        <w:spacing w:line="276" w:lineRule="auto"/>
        <w:ind w:firstLine="567"/>
        <w:jc w:val="left"/>
        <w:rPr>
          <w:rFonts w:ascii="宋体" w:hAnsi="宋体"/>
          <w:szCs w:val="21"/>
        </w:rPr>
      </w:pPr>
      <w:r>
        <w:rPr>
          <w:rFonts w:hint="eastAsia" w:ascii="宋体" w:hAnsi="宋体"/>
          <w:szCs w:val="21"/>
        </w:rPr>
        <w:t>中标人需负责垃圾的收集、清运，做到日产日清。</w:t>
      </w:r>
    </w:p>
    <w:p>
      <w:pPr>
        <w:spacing w:line="276" w:lineRule="auto"/>
        <w:ind w:firstLine="567"/>
        <w:jc w:val="left"/>
        <w:rPr>
          <w:rFonts w:ascii="宋体" w:hAnsi="宋体"/>
          <w:szCs w:val="21"/>
        </w:rPr>
      </w:pPr>
      <w:r>
        <w:rPr>
          <w:rFonts w:hint="eastAsia" w:ascii="宋体" w:hAnsi="宋体"/>
          <w:szCs w:val="21"/>
        </w:rPr>
        <w:t>每周定期灭杀蚊、蝇、鼠，白蚁、蟑螂等害虫，并做到无滋生源。</w:t>
      </w:r>
    </w:p>
    <w:p>
      <w:pPr>
        <w:spacing w:line="276" w:lineRule="auto"/>
        <w:ind w:firstLine="567"/>
        <w:jc w:val="left"/>
        <w:rPr>
          <w:rFonts w:ascii="宋体" w:hAnsi="宋体"/>
          <w:szCs w:val="21"/>
        </w:rPr>
      </w:pPr>
      <w:r>
        <w:rPr>
          <w:rFonts w:hint="eastAsia" w:ascii="宋体" w:hAnsi="宋体"/>
          <w:szCs w:val="21"/>
        </w:rPr>
        <w:t>定期清理隔油池、化油池、化粪池、垃圾箱。</w:t>
      </w:r>
    </w:p>
    <w:p>
      <w:pPr>
        <w:spacing w:line="276" w:lineRule="auto"/>
        <w:ind w:firstLine="567"/>
        <w:jc w:val="left"/>
        <w:rPr>
          <w:rFonts w:ascii="宋体" w:hAnsi="宋体"/>
          <w:szCs w:val="21"/>
        </w:rPr>
      </w:pPr>
      <w:r>
        <w:rPr>
          <w:rFonts w:hint="eastAsia" w:ascii="宋体" w:hAnsi="宋体"/>
          <w:szCs w:val="21"/>
        </w:rPr>
        <w:t>在清洁卫生工作中消耗的纸篓、垃圾桶、物料、洗手液、纸巾、工具等费用由采购人承担。</w:t>
      </w:r>
    </w:p>
    <w:p>
      <w:pPr>
        <w:spacing w:line="276" w:lineRule="auto"/>
        <w:ind w:firstLine="567"/>
        <w:jc w:val="left"/>
        <w:rPr>
          <w:rFonts w:ascii="宋体" w:hAnsi="宋体"/>
          <w:szCs w:val="21"/>
        </w:rPr>
      </w:pPr>
      <w:r>
        <w:rPr>
          <w:rFonts w:hint="eastAsia" w:ascii="宋体" w:hAnsi="宋体"/>
          <w:szCs w:val="21"/>
        </w:rPr>
        <w:t>中标人所使用的清洁用品和消杀药品要符合国家环保要求。</w:t>
      </w:r>
    </w:p>
    <w:p>
      <w:pPr>
        <w:spacing w:line="276" w:lineRule="auto"/>
        <w:ind w:firstLine="567"/>
        <w:jc w:val="left"/>
        <w:rPr>
          <w:rFonts w:ascii="宋体" w:hAnsi="宋体"/>
          <w:szCs w:val="21"/>
        </w:rPr>
      </w:pPr>
      <w:r>
        <w:rPr>
          <w:rFonts w:hint="eastAsia" w:ascii="宋体" w:hAnsi="宋体"/>
          <w:szCs w:val="21"/>
        </w:rPr>
        <w:t>协助采购人完成市政府要求的“门前四包”工作。</w:t>
      </w:r>
    </w:p>
    <w:p>
      <w:pPr>
        <w:spacing w:line="276" w:lineRule="auto"/>
        <w:jc w:val="left"/>
        <w:rPr>
          <w:rFonts w:ascii="宋体" w:hAnsi="宋体"/>
          <w:szCs w:val="21"/>
        </w:rPr>
      </w:pPr>
      <w:r>
        <w:rPr>
          <w:rFonts w:hint="eastAsia" w:ascii="宋体" w:hAnsi="宋体"/>
          <w:szCs w:val="21"/>
        </w:rPr>
        <w:t>1）清洁服务标准</w:t>
      </w:r>
    </w:p>
    <w:p>
      <w:pPr>
        <w:spacing w:before="100" w:after="100" w:line="276" w:lineRule="auto"/>
        <w:jc w:val="left"/>
        <w:outlineLvl w:val="2"/>
        <w:rPr>
          <w:rFonts w:ascii="宋体" w:hAnsi="宋体"/>
          <w:szCs w:val="21"/>
        </w:rPr>
      </w:pPr>
      <w:r>
        <w:rPr>
          <w:rFonts w:hint="eastAsia" w:ascii="宋体" w:hAnsi="宋体"/>
          <w:szCs w:val="21"/>
        </w:rPr>
        <w:t>A、公共区域日常清洁服务频率</w:t>
      </w:r>
    </w:p>
    <w:tbl>
      <w:tblPr>
        <w:tblStyle w:val="21"/>
        <w:tblW w:w="0" w:type="auto"/>
        <w:jc w:val="center"/>
        <w:tblLayout w:type="fixed"/>
        <w:tblCellMar>
          <w:top w:w="0" w:type="dxa"/>
          <w:left w:w="108" w:type="dxa"/>
          <w:bottom w:w="0" w:type="dxa"/>
          <w:right w:w="108" w:type="dxa"/>
        </w:tblCellMar>
      </w:tblPr>
      <w:tblGrid>
        <w:gridCol w:w="683"/>
        <w:gridCol w:w="616"/>
        <w:gridCol w:w="629"/>
        <w:gridCol w:w="1926"/>
        <w:gridCol w:w="618"/>
        <w:gridCol w:w="496"/>
        <w:gridCol w:w="494"/>
        <w:gridCol w:w="496"/>
        <w:gridCol w:w="496"/>
        <w:gridCol w:w="1837"/>
      </w:tblGrid>
      <w:tr>
        <w:tblPrEx>
          <w:tblCellMar>
            <w:top w:w="0" w:type="dxa"/>
            <w:left w:w="108" w:type="dxa"/>
            <w:bottom w:w="0" w:type="dxa"/>
            <w:right w:w="108" w:type="dxa"/>
          </w:tblCellMar>
        </w:tblPrEx>
        <w:trPr>
          <w:trHeight w:val="285" w:hRule="atLeast"/>
          <w:jc w:val="center"/>
        </w:trPr>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区域</w:t>
            </w: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序号</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类别</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工作内容</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时</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天</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周</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月</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季</w:t>
            </w: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清洁标准</w:t>
            </w:r>
          </w:p>
        </w:tc>
      </w:tr>
      <w:tr>
        <w:tblPrEx>
          <w:tblCellMar>
            <w:top w:w="0" w:type="dxa"/>
            <w:left w:w="108" w:type="dxa"/>
            <w:bottom w:w="0" w:type="dxa"/>
            <w:right w:w="108" w:type="dxa"/>
          </w:tblCellMar>
        </w:tblPrEx>
        <w:trPr>
          <w:trHeight w:val="540" w:hRule="atLeast"/>
          <w:jc w:val="center"/>
        </w:trPr>
        <w:tc>
          <w:tcPr>
            <w:tcW w:w="6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公共区域</w:t>
            </w:r>
          </w:p>
        </w:tc>
        <w:tc>
          <w:tcPr>
            <w:tcW w:w="6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6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玻璃</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大门玻璃刮洗</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无手印、无污渍、无灰尘、无水印</w:t>
            </w:r>
          </w:p>
        </w:tc>
      </w:tr>
      <w:tr>
        <w:tblPrEx>
          <w:tblCellMar>
            <w:top w:w="0" w:type="dxa"/>
            <w:left w:w="108" w:type="dxa"/>
            <w:bottom w:w="0" w:type="dxa"/>
            <w:right w:w="108" w:type="dxa"/>
          </w:tblCellMar>
        </w:tblPrEx>
        <w:trPr>
          <w:trHeight w:val="285"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2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大门玻璃清抹</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r>
      <w:tr>
        <w:tblPrEx>
          <w:tblCellMar>
            <w:top w:w="0" w:type="dxa"/>
            <w:left w:w="108" w:type="dxa"/>
            <w:bottom w:w="0" w:type="dxa"/>
            <w:right w:w="108" w:type="dxa"/>
          </w:tblCellMar>
        </w:tblPrEx>
        <w:trPr>
          <w:trHeight w:val="285"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2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大堂玻璃清抹</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r>
      <w:tr>
        <w:tblPrEx>
          <w:tblCellMar>
            <w:top w:w="0" w:type="dxa"/>
            <w:left w:w="108" w:type="dxa"/>
            <w:bottom w:w="0" w:type="dxa"/>
            <w:right w:w="108" w:type="dxa"/>
          </w:tblCellMar>
        </w:tblPrEx>
        <w:trPr>
          <w:trHeight w:val="285"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2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大堂玻璃刮洗</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r>
      <w:tr>
        <w:tblPrEx>
          <w:tblCellMar>
            <w:top w:w="0" w:type="dxa"/>
            <w:left w:w="108" w:type="dxa"/>
            <w:bottom w:w="0" w:type="dxa"/>
            <w:right w:w="108" w:type="dxa"/>
          </w:tblCellMar>
        </w:tblPrEx>
        <w:trPr>
          <w:trHeight w:val="526"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6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地面</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硬质地面清洁</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无污渍、无灰尘、地面有光泽</w:t>
            </w:r>
          </w:p>
        </w:tc>
      </w:tr>
      <w:tr>
        <w:tblPrEx>
          <w:tblCellMar>
            <w:top w:w="0" w:type="dxa"/>
            <w:left w:w="108" w:type="dxa"/>
            <w:bottom w:w="0" w:type="dxa"/>
            <w:right w:w="108" w:type="dxa"/>
          </w:tblCellMar>
        </w:tblPrEx>
        <w:trPr>
          <w:trHeight w:val="51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2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石质地面处理（晶面剂护理、打蜡）</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r>
      <w:tr>
        <w:tblPrEx>
          <w:tblCellMar>
            <w:top w:w="0" w:type="dxa"/>
            <w:left w:w="108" w:type="dxa"/>
            <w:bottom w:w="0" w:type="dxa"/>
            <w:right w:w="108" w:type="dxa"/>
          </w:tblCellMar>
        </w:tblPrEx>
        <w:trPr>
          <w:trHeight w:val="624"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2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92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地面清拖</w:t>
            </w:r>
          </w:p>
        </w:tc>
        <w:tc>
          <w:tcPr>
            <w:tcW w:w="61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49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r>
      <w:tr>
        <w:tblPrEx>
          <w:tblCellMar>
            <w:top w:w="0" w:type="dxa"/>
            <w:left w:w="108" w:type="dxa"/>
            <w:bottom w:w="0" w:type="dxa"/>
            <w:right w:w="108" w:type="dxa"/>
          </w:tblCellMar>
        </w:tblPrEx>
        <w:trPr>
          <w:trHeight w:val="624"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2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92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8"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49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4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49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49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r>
      <w:tr>
        <w:tblPrEx>
          <w:tblCellMar>
            <w:top w:w="0" w:type="dxa"/>
            <w:left w:w="108" w:type="dxa"/>
            <w:bottom w:w="0" w:type="dxa"/>
            <w:right w:w="108" w:type="dxa"/>
          </w:tblCellMar>
        </w:tblPrEx>
        <w:trPr>
          <w:trHeight w:val="661"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3</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门</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清洁门、门框、把手等</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表面光亮、无污渍</w:t>
            </w:r>
          </w:p>
        </w:tc>
      </w:tr>
      <w:tr>
        <w:tblPrEx>
          <w:tblCellMar>
            <w:top w:w="0" w:type="dxa"/>
            <w:left w:w="108" w:type="dxa"/>
            <w:bottom w:w="0" w:type="dxa"/>
            <w:right w:w="108" w:type="dxa"/>
          </w:tblCellMar>
        </w:tblPrEx>
        <w:trPr>
          <w:trHeight w:val="795"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4</w:t>
            </w:r>
          </w:p>
        </w:tc>
        <w:tc>
          <w:tcPr>
            <w:tcW w:w="6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楼梯</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楼梯扶手清洁</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无污渍、无灰尘、无手印</w:t>
            </w:r>
          </w:p>
        </w:tc>
      </w:tr>
      <w:tr>
        <w:tblPrEx>
          <w:tblCellMar>
            <w:top w:w="0" w:type="dxa"/>
            <w:left w:w="108" w:type="dxa"/>
            <w:bottom w:w="0" w:type="dxa"/>
            <w:right w:w="108" w:type="dxa"/>
          </w:tblCellMar>
        </w:tblPrEx>
        <w:trPr>
          <w:trHeight w:val="765"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2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楼梯台阶及地面清拖</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无垃圾、无灰尘、无污渍</w:t>
            </w:r>
          </w:p>
        </w:tc>
      </w:tr>
      <w:tr>
        <w:tblPrEx>
          <w:tblCellMar>
            <w:top w:w="0" w:type="dxa"/>
            <w:left w:w="108" w:type="dxa"/>
            <w:bottom w:w="0" w:type="dxa"/>
            <w:right w:w="108" w:type="dxa"/>
          </w:tblCellMar>
        </w:tblPrEx>
        <w:trPr>
          <w:trHeight w:val="765"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5</w:t>
            </w:r>
          </w:p>
        </w:tc>
        <w:tc>
          <w:tcPr>
            <w:tcW w:w="629"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天花板</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清洁并擦亮天花板</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无灰尘、无污渍、无蜘蛛网</w:t>
            </w:r>
          </w:p>
        </w:tc>
      </w:tr>
      <w:tr>
        <w:tblPrEx>
          <w:tblCellMar>
            <w:top w:w="0" w:type="dxa"/>
            <w:left w:w="108" w:type="dxa"/>
            <w:bottom w:w="0" w:type="dxa"/>
            <w:right w:w="108" w:type="dxa"/>
          </w:tblCellMar>
        </w:tblPrEx>
        <w:trPr>
          <w:trHeight w:val="832"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6</w:t>
            </w:r>
          </w:p>
        </w:tc>
        <w:tc>
          <w:tcPr>
            <w:tcW w:w="6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墙</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墙身石面打蜡</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无污渍、无灰尘、墙身有光泽</w:t>
            </w:r>
          </w:p>
        </w:tc>
      </w:tr>
      <w:tr>
        <w:tblPrEx>
          <w:tblCellMar>
            <w:top w:w="0" w:type="dxa"/>
            <w:left w:w="108" w:type="dxa"/>
            <w:bottom w:w="0" w:type="dxa"/>
            <w:right w:w="108" w:type="dxa"/>
          </w:tblCellMar>
        </w:tblPrEx>
        <w:trPr>
          <w:trHeight w:val="765"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2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墙面清洁（2米以上）</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无灰尘、无污渍、无蜘蛛网</w:t>
            </w:r>
          </w:p>
        </w:tc>
      </w:tr>
      <w:tr>
        <w:tblPrEx>
          <w:tblCellMar>
            <w:top w:w="0" w:type="dxa"/>
            <w:left w:w="108" w:type="dxa"/>
            <w:bottom w:w="0" w:type="dxa"/>
            <w:right w:w="108" w:type="dxa"/>
          </w:tblCellMar>
        </w:tblPrEx>
        <w:trPr>
          <w:trHeight w:val="769"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2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墙面清洁（2米以下）</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无污渍、无灰尘、无手印</w:t>
            </w:r>
          </w:p>
        </w:tc>
      </w:tr>
      <w:tr>
        <w:tblPrEx>
          <w:tblCellMar>
            <w:top w:w="0" w:type="dxa"/>
            <w:left w:w="108" w:type="dxa"/>
            <w:bottom w:w="0" w:type="dxa"/>
            <w:right w:w="108" w:type="dxa"/>
          </w:tblCellMar>
        </w:tblPrEx>
        <w:trPr>
          <w:trHeight w:val="54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7</w:t>
            </w:r>
          </w:p>
        </w:tc>
        <w:tc>
          <w:tcPr>
            <w:tcW w:w="6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垃圾桶</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清理垃圾桶内垃圾</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不得超过容量的2/3</w:t>
            </w:r>
          </w:p>
        </w:tc>
      </w:tr>
      <w:tr>
        <w:tblPrEx>
          <w:tblCellMar>
            <w:top w:w="0" w:type="dxa"/>
            <w:left w:w="108" w:type="dxa"/>
            <w:bottom w:w="0" w:type="dxa"/>
            <w:right w:w="108" w:type="dxa"/>
          </w:tblCellMar>
        </w:tblPrEx>
        <w:trPr>
          <w:trHeight w:val="765"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2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清洁垃圾桶表面</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无污渍、无灰尘、无垃圾</w:t>
            </w:r>
          </w:p>
        </w:tc>
      </w:tr>
      <w:tr>
        <w:tblPrEx>
          <w:tblCellMar>
            <w:top w:w="0" w:type="dxa"/>
            <w:left w:w="108" w:type="dxa"/>
            <w:bottom w:w="0" w:type="dxa"/>
            <w:right w:w="108" w:type="dxa"/>
          </w:tblCellMar>
        </w:tblPrEx>
        <w:trPr>
          <w:trHeight w:val="765"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2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清洁垃圾桶内部</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无污渍、无灰尘、无垃圾</w:t>
            </w:r>
          </w:p>
        </w:tc>
      </w:tr>
      <w:tr>
        <w:tblPrEx>
          <w:tblCellMar>
            <w:top w:w="0" w:type="dxa"/>
            <w:left w:w="108" w:type="dxa"/>
            <w:bottom w:w="0" w:type="dxa"/>
            <w:right w:w="108" w:type="dxa"/>
          </w:tblCellMar>
        </w:tblPrEx>
        <w:trPr>
          <w:trHeight w:val="765"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8</w:t>
            </w:r>
          </w:p>
        </w:tc>
        <w:tc>
          <w:tcPr>
            <w:tcW w:w="6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办公家具</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家具除尘清洁</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无污渍、无灰尘、无手印</w:t>
            </w:r>
          </w:p>
        </w:tc>
      </w:tr>
      <w:tr>
        <w:tblPrEx>
          <w:tblCellMar>
            <w:top w:w="0" w:type="dxa"/>
            <w:left w:w="108" w:type="dxa"/>
            <w:bottom w:w="0" w:type="dxa"/>
            <w:right w:w="108" w:type="dxa"/>
          </w:tblCellMar>
        </w:tblPrEx>
        <w:trPr>
          <w:trHeight w:val="615"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2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家具、电脑除渍等</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无污渍</w:t>
            </w:r>
          </w:p>
        </w:tc>
      </w:tr>
      <w:tr>
        <w:tblPrEx>
          <w:tblCellMar>
            <w:top w:w="0" w:type="dxa"/>
            <w:left w:w="108" w:type="dxa"/>
            <w:bottom w:w="0" w:type="dxa"/>
            <w:right w:w="108" w:type="dxa"/>
          </w:tblCellMar>
        </w:tblPrEx>
        <w:trPr>
          <w:trHeight w:val="795"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9</w:t>
            </w:r>
          </w:p>
        </w:tc>
        <w:tc>
          <w:tcPr>
            <w:tcW w:w="6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其它</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清洁柱子及公共设施（消防器材等）</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无污渍、无灰尘、无手印</w:t>
            </w:r>
          </w:p>
        </w:tc>
      </w:tr>
      <w:tr>
        <w:tblPrEx>
          <w:tblCellMar>
            <w:top w:w="0" w:type="dxa"/>
            <w:left w:w="108" w:type="dxa"/>
            <w:bottom w:w="0" w:type="dxa"/>
            <w:right w:w="108" w:type="dxa"/>
          </w:tblCellMar>
        </w:tblPrEx>
        <w:trPr>
          <w:trHeight w:val="765"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2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开关清洁</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无污渍、无灰尘、无垃圾</w:t>
            </w:r>
          </w:p>
        </w:tc>
      </w:tr>
      <w:tr>
        <w:tblPrEx>
          <w:tblCellMar>
            <w:top w:w="0" w:type="dxa"/>
            <w:left w:w="108" w:type="dxa"/>
            <w:bottom w:w="0" w:type="dxa"/>
            <w:right w:w="108" w:type="dxa"/>
          </w:tblCellMar>
        </w:tblPrEx>
        <w:trPr>
          <w:trHeight w:val="765"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2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吊牌/指示牌清洁</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无污渍、无灰尘、无垃圾</w:t>
            </w:r>
          </w:p>
        </w:tc>
      </w:tr>
      <w:tr>
        <w:tblPrEx>
          <w:tblCellMar>
            <w:top w:w="0" w:type="dxa"/>
            <w:left w:w="108" w:type="dxa"/>
            <w:bottom w:w="0" w:type="dxa"/>
            <w:right w:w="108" w:type="dxa"/>
          </w:tblCellMar>
        </w:tblPrEx>
        <w:trPr>
          <w:trHeight w:val="1020"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2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办公室通道外侧玻璃清洁</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无灰尘、无污渍、无手印、表面光亮</w:t>
            </w:r>
          </w:p>
        </w:tc>
      </w:tr>
      <w:tr>
        <w:tblPrEx>
          <w:tblCellMar>
            <w:top w:w="0" w:type="dxa"/>
            <w:left w:w="108" w:type="dxa"/>
            <w:bottom w:w="0" w:type="dxa"/>
            <w:right w:w="108" w:type="dxa"/>
          </w:tblCellMar>
        </w:tblPrEx>
        <w:trPr>
          <w:trHeight w:val="765" w:hRule="atLeast"/>
          <w:jc w:val="center"/>
        </w:trPr>
        <w:tc>
          <w:tcPr>
            <w:tcW w:w="68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16"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2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楼层顶灯、喇叭、烟感器、风口清洁、排气扇等</w:t>
            </w:r>
          </w:p>
        </w:tc>
        <w:tc>
          <w:tcPr>
            <w:tcW w:w="618"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83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无灰尘、无污渍、无手印</w:t>
            </w:r>
          </w:p>
        </w:tc>
      </w:tr>
    </w:tbl>
    <w:p>
      <w:pPr>
        <w:spacing w:before="100" w:after="100" w:line="276" w:lineRule="auto"/>
        <w:jc w:val="left"/>
        <w:outlineLvl w:val="2"/>
        <w:rPr>
          <w:rFonts w:ascii="宋体" w:hAnsi="宋体"/>
          <w:szCs w:val="21"/>
        </w:rPr>
      </w:pPr>
      <w:r>
        <w:rPr>
          <w:rFonts w:hint="eastAsia" w:ascii="宋体" w:hAnsi="宋体"/>
          <w:szCs w:val="21"/>
        </w:rPr>
        <w:t>B、办公室、会议室、休息室、多功能室日常清洁服务频率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88"/>
        <w:gridCol w:w="987"/>
        <w:gridCol w:w="987"/>
        <w:gridCol w:w="511"/>
        <w:gridCol w:w="511"/>
        <w:gridCol w:w="511"/>
        <w:gridCol w:w="511"/>
        <w:gridCol w:w="516"/>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noWrap/>
            <w:vAlign w:val="center"/>
          </w:tcPr>
          <w:p>
            <w:pPr>
              <w:spacing w:line="276" w:lineRule="auto"/>
              <w:jc w:val="center"/>
              <w:rPr>
                <w:rFonts w:ascii="宋体" w:hAnsi="宋体" w:cs="宋体"/>
                <w:szCs w:val="21"/>
              </w:rPr>
            </w:pPr>
            <w:r>
              <w:rPr>
                <w:rFonts w:hint="eastAsia" w:ascii="宋体" w:hAnsi="宋体" w:cs="宋体"/>
                <w:szCs w:val="21"/>
              </w:rPr>
              <w:t>区域</w:t>
            </w:r>
          </w:p>
        </w:tc>
        <w:tc>
          <w:tcPr>
            <w:tcW w:w="988" w:type="dxa"/>
            <w:noWrap/>
            <w:vAlign w:val="center"/>
          </w:tcPr>
          <w:p>
            <w:pPr>
              <w:spacing w:line="276" w:lineRule="auto"/>
              <w:jc w:val="center"/>
              <w:rPr>
                <w:rFonts w:ascii="宋体" w:hAnsi="宋体" w:cs="宋体"/>
                <w:szCs w:val="21"/>
              </w:rPr>
            </w:pPr>
            <w:r>
              <w:rPr>
                <w:rFonts w:hint="eastAsia" w:ascii="宋体" w:hAnsi="宋体" w:cs="宋体"/>
                <w:szCs w:val="21"/>
              </w:rPr>
              <w:t>序号</w:t>
            </w: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类别</w:t>
            </w: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工作内容</w:t>
            </w: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时</w:t>
            </w: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天</w:t>
            </w: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周</w:t>
            </w: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月</w:t>
            </w:r>
          </w:p>
        </w:tc>
        <w:tc>
          <w:tcPr>
            <w:tcW w:w="516" w:type="dxa"/>
            <w:noWrap/>
            <w:vAlign w:val="center"/>
          </w:tcPr>
          <w:p>
            <w:pPr>
              <w:spacing w:line="276" w:lineRule="auto"/>
              <w:jc w:val="center"/>
              <w:rPr>
                <w:rFonts w:ascii="宋体" w:hAnsi="宋体" w:cs="宋体"/>
                <w:szCs w:val="21"/>
              </w:rPr>
            </w:pPr>
            <w:r>
              <w:rPr>
                <w:rFonts w:hint="eastAsia" w:ascii="宋体" w:hAnsi="宋体" w:cs="宋体"/>
                <w:szCs w:val="21"/>
              </w:rPr>
              <w:t>季</w:t>
            </w:r>
          </w:p>
        </w:tc>
        <w:tc>
          <w:tcPr>
            <w:tcW w:w="1781" w:type="dxa"/>
            <w:noWrap/>
            <w:vAlign w:val="center"/>
          </w:tcPr>
          <w:p>
            <w:pPr>
              <w:spacing w:line="276" w:lineRule="auto"/>
              <w:jc w:val="center"/>
              <w:rPr>
                <w:rFonts w:ascii="宋体" w:hAnsi="宋体" w:cs="宋体"/>
                <w:szCs w:val="21"/>
              </w:rPr>
            </w:pPr>
            <w:r>
              <w:rPr>
                <w:rFonts w:hint="eastAsia" w:ascii="宋体" w:hAnsi="宋体" w:cs="宋体"/>
                <w:szCs w:val="21"/>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0" w:type="dxa"/>
            <w:vMerge w:val="restart"/>
            <w:noWrap/>
            <w:vAlign w:val="center"/>
          </w:tcPr>
          <w:p>
            <w:pPr>
              <w:spacing w:line="276" w:lineRule="auto"/>
              <w:jc w:val="center"/>
              <w:rPr>
                <w:rFonts w:ascii="宋体" w:hAnsi="宋体" w:cs="宋体"/>
                <w:szCs w:val="21"/>
              </w:rPr>
            </w:pPr>
            <w:r>
              <w:rPr>
                <w:rFonts w:hint="eastAsia" w:ascii="宋体" w:hAnsi="宋体" w:cs="宋体"/>
                <w:szCs w:val="21"/>
              </w:rPr>
              <w:t>办公室、会议室、多功能室</w:t>
            </w:r>
          </w:p>
        </w:tc>
        <w:tc>
          <w:tcPr>
            <w:tcW w:w="988" w:type="dxa"/>
            <w:vMerge w:val="restart"/>
            <w:noWrap/>
            <w:vAlign w:val="center"/>
          </w:tcPr>
          <w:p>
            <w:pPr>
              <w:spacing w:line="276" w:lineRule="auto"/>
              <w:jc w:val="center"/>
              <w:rPr>
                <w:rFonts w:ascii="宋体" w:hAnsi="宋体" w:cs="宋体"/>
                <w:szCs w:val="21"/>
              </w:rPr>
            </w:pPr>
            <w:r>
              <w:rPr>
                <w:rFonts w:hint="eastAsia" w:ascii="宋体" w:hAnsi="宋体" w:cs="宋体"/>
                <w:szCs w:val="21"/>
              </w:rPr>
              <w:t>1</w:t>
            </w:r>
          </w:p>
        </w:tc>
        <w:tc>
          <w:tcPr>
            <w:tcW w:w="987" w:type="dxa"/>
            <w:vMerge w:val="restart"/>
            <w:noWrap/>
            <w:vAlign w:val="center"/>
          </w:tcPr>
          <w:p>
            <w:pPr>
              <w:spacing w:line="276" w:lineRule="auto"/>
              <w:jc w:val="center"/>
              <w:rPr>
                <w:rFonts w:ascii="宋体" w:hAnsi="宋体" w:cs="宋体"/>
                <w:szCs w:val="21"/>
              </w:rPr>
            </w:pPr>
            <w:r>
              <w:rPr>
                <w:rFonts w:hint="eastAsia" w:ascii="宋体" w:hAnsi="宋体" w:cs="宋体"/>
                <w:szCs w:val="21"/>
              </w:rPr>
              <w:t>玻璃</w:t>
            </w: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玻璃清抹</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p>
        </w:tc>
        <w:tc>
          <w:tcPr>
            <w:tcW w:w="1781" w:type="dxa"/>
            <w:vMerge w:val="restart"/>
            <w:noWrap/>
            <w:vAlign w:val="center"/>
          </w:tcPr>
          <w:p>
            <w:pPr>
              <w:spacing w:line="276" w:lineRule="auto"/>
              <w:jc w:val="center"/>
              <w:rPr>
                <w:rFonts w:ascii="宋体" w:hAnsi="宋体" w:cs="宋体"/>
                <w:szCs w:val="21"/>
              </w:rPr>
            </w:pPr>
            <w:r>
              <w:rPr>
                <w:rFonts w:hint="eastAsia" w:ascii="宋体" w:hAnsi="宋体" w:cs="宋体"/>
                <w:szCs w:val="21"/>
              </w:rPr>
              <w:t>无污渍、无灰尘无手印、保持光亮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continue"/>
            <w:noWrap/>
            <w:vAlign w:val="center"/>
          </w:tcPr>
          <w:p>
            <w:pPr>
              <w:spacing w:line="276" w:lineRule="auto"/>
              <w:jc w:val="center"/>
              <w:rPr>
                <w:rFonts w:ascii="宋体" w:hAnsi="宋体" w:cs="宋体"/>
                <w:szCs w:val="21"/>
              </w:rPr>
            </w:pPr>
          </w:p>
        </w:tc>
        <w:tc>
          <w:tcPr>
            <w:tcW w:w="987" w:type="dxa"/>
            <w:vMerge w:val="continue"/>
            <w:noWrap/>
            <w:vAlign w:val="center"/>
          </w:tcPr>
          <w:p>
            <w:pPr>
              <w:spacing w:line="276" w:lineRule="auto"/>
              <w:jc w:val="center"/>
              <w:rPr>
                <w:rFonts w:ascii="宋体" w:hAnsi="宋体" w:cs="宋体"/>
                <w:szCs w:val="21"/>
              </w:rPr>
            </w:pP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窗玻璃内侧清洁</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6" w:type="dxa"/>
            <w:noWrap/>
            <w:vAlign w:val="center"/>
          </w:tcPr>
          <w:p>
            <w:pPr>
              <w:spacing w:line="276" w:lineRule="auto"/>
              <w:jc w:val="center"/>
              <w:rPr>
                <w:rFonts w:ascii="宋体" w:hAnsi="宋体" w:cs="宋体"/>
                <w:szCs w:val="21"/>
              </w:rPr>
            </w:pPr>
          </w:p>
        </w:tc>
        <w:tc>
          <w:tcPr>
            <w:tcW w:w="1781" w:type="dxa"/>
            <w:vMerge w:val="continue"/>
            <w:noWrap/>
            <w:vAlign w:val="center"/>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restart"/>
            <w:noWrap/>
            <w:vAlign w:val="center"/>
          </w:tcPr>
          <w:p>
            <w:pPr>
              <w:spacing w:line="276" w:lineRule="auto"/>
              <w:jc w:val="center"/>
              <w:rPr>
                <w:rFonts w:ascii="宋体" w:hAnsi="宋体" w:cs="宋体"/>
                <w:szCs w:val="21"/>
              </w:rPr>
            </w:pPr>
            <w:r>
              <w:rPr>
                <w:rFonts w:hint="eastAsia" w:ascii="宋体" w:hAnsi="宋体" w:cs="宋体"/>
                <w:szCs w:val="21"/>
              </w:rPr>
              <w:t>2</w:t>
            </w:r>
          </w:p>
        </w:tc>
        <w:tc>
          <w:tcPr>
            <w:tcW w:w="987" w:type="dxa"/>
            <w:vMerge w:val="restart"/>
            <w:noWrap/>
            <w:vAlign w:val="center"/>
          </w:tcPr>
          <w:p>
            <w:pPr>
              <w:spacing w:line="276" w:lineRule="auto"/>
              <w:jc w:val="center"/>
              <w:rPr>
                <w:rFonts w:ascii="宋体" w:hAnsi="宋体" w:cs="宋体"/>
                <w:szCs w:val="21"/>
              </w:rPr>
            </w:pPr>
            <w:r>
              <w:rPr>
                <w:rFonts w:hint="eastAsia" w:ascii="宋体" w:hAnsi="宋体" w:cs="宋体"/>
                <w:szCs w:val="21"/>
              </w:rPr>
              <w:t>地面</w:t>
            </w: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硬质地面清扫</w:t>
            </w: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循环</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p>
        </w:tc>
        <w:tc>
          <w:tcPr>
            <w:tcW w:w="1781" w:type="dxa"/>
            <w:vMerge w:val="restart"/>
            <w:noWrap/>
            <w:vAlign w:val="center"/>
          </w:tcPr>
          <w:p>
            <w:pPr>
              <w:spacing w:line="276" w:lineRule="auto"/>
              <w:jc w:val="center"/>
              <w:rPr>
                <w:rFonts w:ascii="宋体" w:hAnsi="宋体" w:cs="宋体"/>
                <w:szCs w:val="21"/>
              </w:rPr>
            </w:pPr>
            <w:r>
              <w:rPr>
                <w:rFonts w:hint="eastAsia" w:ascii="宋体" w:hAnsi="宋体" w:cs="宋体"/>
                <w:szCs w:val="21"/>
              </w:rPr>
              <w:t>无污渍、无灰尘、保持光亮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continue"/>
            <w:noWrap/>
            <w:vAlign w:val="center"/>
          </w:tcPr>
          <w:p>
            <w:pPr>
              <w:spacing w:line="276" w:lineRule="auto"/>
              <w:jc w:val="center"/>
              <w:rPr>
                <w:rFonts w:ascii="宋体" w:hAnsi="宋体" w:cs="宋体"/>
                <w:szCs w:val="21"/>
              </w:rPr>
            </w:pPr>
          </w:p>
        </w:tc>
        <w:tc>
          <w:tcPr>
            <w:tcW w:w="987" w:type="dxa"/>
            <w:vMerge w:val="continue"/>
            <w:noWrap/>
            <w:vAlign w:val="center"/>
          </w:tcPr>
          <w:p>
            <w:pPr>
              <w:spacing w:line="276" w:lineRule="auto"/>
              <w:jc w:val="center"/>
              <w:rPr>
                <w:rFonts w:ascii="宋体" w:hAnsi="宋体" w:cs="宋体"/>
                <w:szCs w:val="21"/>
              </w:rPr>
            </w:pP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地毯吸尘</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p>
        </w:tc>
        <w:tc>
          <w:tcPr>
            <w:tcW w:w="1781" w:type="dxa"/>
            <w:vMerge w:val="continue"/>
            <w:noWrap/>
            <w:vAlign w:val="center"/>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continue"/>
            <w:noWrap/>
            <w:vAlign w:val="center"/>
          </w:tcPr>
          <w:p>
            <w:pPr>
              <w:spacing w:line="276" w:lineRule="auto"/>
              <w:jc w:val="center"/>
              <w:rPr>
                <w:rFonts w:ascii="宋体" w:hAnsi="宋体" w:cs="宋体"/>
                <w:szCs w:val="21"/>
              </w:rPr>
            </w:pPr>
          </w:p>
        </w:tc>
        <w:tc>
          <w:tcPr>
            <w:tcW w:w="987" w:type="dxa"/>
            <w:vMerge w:val="continue"/>
            <w:noWrap/>
            <w:vAlign w:val="center"/>
          </w:tcPr>
          <w:p>
            <w:pPr>
              <w:spacing w:line="276" w:lineRule="auto"/>
              <w:jc w:val="center"/>
              <w:rPr>
                <w:rFonts w:ascii="宋体" w:hAnsi="宋体" w:cs="宋体"/>
                <w:szCs w:val="21"/>
              </w:rPr>
            </w:pP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地毯清洗</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1781" w:type="dxa"/>
            <w:vMerge w:val="continue"/>
            <w:noWrap/>
            <w:vAlign w:val="center"/>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continue"/>
            <w:noWrap/>
            <w:vAlign w:val="center"/>
          </w:tcPr>
          <w:p>
            <w:pPr>
              <w:spacing w:line="276" w:lineRule="auto"/>
              <w:jc w:val="center"/>
              <w:rPr>
                <w:rFonts w:ascii="宋体" w:hAnsi="宋体" w:cs="宋体"/>
                <w:szCs w:val="21"/>
              </w:rPr>
            </w:pPr>
          </w:p>
        </w:tc>
        <w:tc>
          <w:tcPr>
            <w:tcW w:w="987" w:type="dxa"/>
            <w:vMerge w:val="continue"/>
            <w:noWrap/>
            <w:vAlign w:val="center"/>
          </w:tcPr>
          <w:p>
            <w:pPr>
              <w:spacing w:line="276" w:lineRule="auto"/>
              <w:jc w:val="center"/>
              <w:rPr>
                <w:rFonts w:ascii="宋体" w:hAnsi="宋体" w:cs="宋体"/>
                <w:szCs w:val="21"/>
              </w:rPr>
            </w:pP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硬质地面去渍</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6" w:type="dxa"/>
            <w:noWrap/>
            <w:vAlign w:val="center"/>
          </w:tcPr>
          <w:p>
            <w:pPr>
              <w:spacing w:line="276" w:lineRule="auto"/>
              <w:jc w:val="center"/>
              <w:rPr>
                <w:rFonts w:ascii="宋体" w:hAnsi="宋体" w:cs="宋体"/>
                <w:szCs w:val="21"/>
              </w:rPr>
            </w:pPr>
          </w:p>
        </w:tc>
        <w:tc>
          <w:tcPr>
            <w:tcW w:w="1781" w:type="dxa"/>
            <w:vMerge w:val="continue"/>
            <w:noWrap/>
            <w:vAlign w:val="center"/>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continue"/>
            <w:noWrap/>
            <w:vAlign w:val="center"/>
          </w:tcPr>
          <w:p>
            <w:pPr>
              <w:spacing w:line="276" w:lineRule="auto"/>
              <w:jc w:val="center"/>
              <w:rPr>
                <w:rFonts w:ascii="宋体" w:hAnsi="宋体" w:cs="宋体"/>
                <w:szCs w:val="21"/>
              </w:rPr>
            </w:pPr>
          </w:p>
        </w:tc>
        <w:tc>
          <w:tcPr>
            <w:tcW w:w="987" w:type="dxa"/>
            <w:vMerge w:val="continue"/>
            <w:noWrap/>
            <w:vAlign w:val="center"/>
          </w:tcPr>
          <w:p>
            <w:pPr>
              <w:spacing w:line="276" w:lineRule="auto"/>
              <w:jc w:val="center"/>
              <w:rPr>
                <w:rFonts w:ascii="宋体" w:hAnsi="宋体" w:cs="宋体"/>
                <w:szCs w:val="21"/>
              </w:rPr>
            </w:pP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硬质地面清拖</w:t>
            </w: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循环</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p>
        </w:tc>
        <w:tc>
          <w:tcPr>
            <w:tcW w:w="1781" w:type="dxa"/>
            <w:vMerge w:val="continue"/>
            <w:noWrap/>
            <w:vAlign w:val="center"/>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restart"/>
            <w:noWrap/>
            <w:vAlign w:val="center"/>
          </w:tcPr>
          <w:p>
            <w:pPr>
              <w:spacing w:line="276" w:lineRule="auto"/>
              <w:jc w:val="center"/>
              <w:rPr>
                <w:rFonts w:ascii="宋体" w:hAnsi="宋体" w:cs="宋体"/>
                <w:szCs w:val="21"/>
              </w:rPr>
            </w:pPr>
            <w:r>
              <w:rPr>
                <w:rFonts w:hint="eastAsia" w:ascii="宋体" w:hAnsi="宋体" w:cs="宋体"/>
                <w:szCs w:val="21"/>
              </w:rPr>
              <w:t>3</w:t>
            </w:r>
          </w:p>
        </w:tc>
        <w:tc>
          <w:tcPr>
            <w:tcW w:w="987" w:type="dxa"/>
            <w:vMerge w:val="restart"/>
            <w:noWrap/>
            <w:vAlign w:val="center"/>
          </w:tcPr>
          <w:p>
            <w:pPr>
              <w:spacing w:line="276" w:lineRule="auto"/>
              <w:jc w:val="center"/>
              <w:rPr>
                <w:rFonts w:ascii="宋体" w:hAnsi="宋体" w:cs="宋体"/>
                <w:szCs w:val="21"/>
              </w:rPr>
            </w:pPr>
            <w:r>
              <w:rPr>
                <w:rFonts w:hint="eastAsia" w:ascii="宋体" w:hAnsi="宋体" w:cs="宋体"/>
                <w:szCs w:val="21"/>
              </w:rPr>
              <w:t>植物</w:t>
            </w: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花盆清洁</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p>
        </w:tc>
        <w:tc>
          <w:tcPr>
            <w:tcW w:w="1781" w:type="dxa"/>
            <w:noWrap/>
            <w:vAlign w:val="center"/>
          </w:tcPr>
          <w:p>
            <w:pPr>
              <w:spacing w:line="276" w:lineRule="auto"/>
              <w:jc w:val="center"/>
              <w:rPr>
                <w:rFonts w:ascii="宋体" w:hAnsi="宋体" w:cs="宋体"/>
                <w:szCs w:val="21"/>
              </w:rPr>
            </w:pPr>
            <w:r>
              <w:rPr>
                <w:rFonts w:hint="eastAsia" w:ascii="宋体" w:hAnsi="宋体" w:cs="宋体"/>
                <w:szCs w:val="21"/>
              </w:rPr>
              <w:t>无污渍、无灰尘、表面光亮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continue"/>
            <w:noWrap/>
            <w:vAlign w:val="center"/>
          </w:tcPr>
          <w:p>
            <w:pPr>
              <w:spacing w:line="276" w:lineRule="auto"/>
              <w:jc w:val="center"/>
              <w:rPr>
                <w:rFonts w:ascii="宋体" w:hAnsi="宋体" w:cs="宋体"/>
                <w:szCs w:val="21"/>
              </w:rPr>
            </w:pPr>
          </w:p>
        </w:tc>
        <w:tc>
          <w:tcPr>
            <w:tcW w:w="987" w:type="dxa"/>
            <w:vMerge w:val="continue"/>
            <w:noWrap/>
            <w:vAlign w:val="center"/>
          </w:tcPr>
          <w:p>
            <w:pPr>
              <w:spacing w:line="276" w:lineRule="auto"/>
              <w:jc w:val="center"/>
              <w:rPr>
                <w:rFonts w:ascii="宋体" w:hAnsi="宋体" w:cs="宋体"/>
                <w:szCs w:val="21"/>
              </w:rPr>
            </w:pP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花盆内垃圾清理</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p>
        </w:tc>
        <w:tc>
          <w:tcPr>
            <w:tcW w:w="1781" w:type="dxa"/>
            <w:noWrap/>
            <w:vAlign w:val="center"/>
          </w:tcPr>
          <w:p>
            <w:pPr>
              <w:spacing w:line="276" w:lineRule="auto"/>
              <w:jc w:val="center"/>
              <w:rPr>
                <w:rFonts w:ascii="宋体" w:hAnsi="宋体" w:cs="宋体"/>
                <w:szCs w:val="21"/>
              </w:rPr>
            </w:pPr>
            <w:r>
              <w:rPr>
                <w:rFonts w:hint="eastAsia" w:ascii="宋体" w:hAnsi="宋体" w:cs="宋体"/>
                <w:szCs w:val="21"/>
              </w:rPr>
              <w:t>整洁、无垃圾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noWrap/>
            <w:vAlign w:val="center"/>
          </w:tcPr>
          <w:p>
            <w:pPr>
              <w:spacing w:line="276" w:lineRule="auto"/>
              <w:jc w:val="center"/>
              <w:rPr>
                <w:rFonts w:ascii="宋体" w:hAnsi="宋体" w:cs="宋体"/>
                <w:szCs w:val="21"/>
              </w:rPr>
            </w:pPr>
            <w:r>
              <w:rPr>
                <w:rFonts w:hint="eastAsia" w:ascii="宋体" w:hAnsi="宋体" w:cs="宋体"/>
                <w:szCs w:val="21"/>
              </w:rPr>
              <w:t>4</w:t>
            </w: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门</w:t>
            </w: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清洁门、门框、把手等</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p>
        </w:tc>
        <w:tc>
          <w:tcPr>
            <w:tcW w:w="1781" w:type="dxa"/>
            <w:noWrap/>
            <w:vAlign w:val="center"/>
          </w:tcPr>
          <w:p>
            <w:pPr>
              <w:spacing w:line="276" w:lineRule="auto"/>
              <w:jc w:val="center"/>
              <w:rPr>
                <w:rFonts w:ascii="宋体" w:hAnsi="宋体" w:cs="宋体"/>
                <w:szCs w:val="21"/>
              </w:rPr>
            </w:pPr>
            <w:r>
              <w:rPr>
                <w:rFonts w:hint="eastAsia" w:ascii="宋体" w:hAnsi="宋体" w:cs="宋体"/>
                <w:szCs w:val="21"/>
              </w:rPr>
              <w:t>表面光亮、无污渍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restart"/>
            <w:noWrap/>
            <w:vAlign w:val="center"/>
          </w:tcPr>
          <w:p>
            <w:pPr>
              <w:spacing w:line="276" w:lineRule="auto"/>
              <w:jc w:val="center"/>
              <w:rPr>
                <w:rFonts w:ascii="宋体" w:hAnsi="宋体" w:cs="宋体"/>
                <w:szCs w:val="21"/>
              </w:rPr>
            </w:pPr>
            <w:r>
              <w:rPr>
                <w:rFonts w:hint="eastAsia" w:ascii="宋体" w:hAnsi="宋体" w:cs="宋体"/>
                <w:szCs w:val="21"/>
              </w:rPr>
              <w:t>5</w:t>
            </w:r>
          </w:p>
        </w:tc>
        <w:tc>
          <w:tcPr>
            <w:tcW w:w="987" w:type="dxa"/>
            <w:vMerge w:val="restart"/>
            <w:noWrap/>
            <w:vAlign w:val="center"/>
          </w:tcPr>
          <w:p>
            <w:pPr>
              <w:spacing w:line="276" w:lineRule="auto"/>
              <w:jc w:val="center"/>
              <w:rPr>
                <w:rFonts w:ascii="宋体" w:hAnsi="宋体" w:cs="宋体"/>
                <w:szCs w:val="21"/>
              </w:rPr>
            </w:pPr>
            <w:r>
              <w:rPr>
                <w:rFonts w:hint="eastAsia" w:ascii="宋体" w:hAnsi="宋体" w:cs="宋体"/>
                <w:szCs w:val="21"/>
              </w:rPr>
              <w:t>办公家具</w:t>
            </w: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家具除尘清洁</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p>
        </w:tc>
        <w:tc>
          <w:tcPr>
            <w:tcW w:w="1781" w:type="dxa"/>
            <w:noWrap/>
            <w:vAlign w:val="center"/>
          </w:tcPr>
          <w:p>
            <w:pPr>
              <w:spacing w:line="276" w:lineRule="auto"/>
              <w:jc w:val="center"/>
              <w:rPr>
                <w:rFonts w:ascii="宋体" w:hAnsi="宋体" w:cs="宋体"/>
                <w:szCs w:val="21"/>
              </w:rPr>
            </w:pPr>
            <w:r>
              <w:rPr>
                <w:rFonts w:hint="eastAsia" w:ascii="宋体" w:hAnsi="宋体" w:cs="宋体"/>
                <w:szCs w:val="21"/>
              </w:rPr>
              <w:t>无污渍、无灰尘、无手印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continue"/>
            <w:noWrap/>
            <w:vAlign w:val="center"/>
          </w:tcPr>
          <w:p>
            <w:pPr>
              <w:spacing w:line="276" w:lineRule="auto"/>
              <w:jc w:val="center"/>
              <w:rPr>
                <w:rFonts w:ascii="宋体" w:hAnsi="宋体" w:cs="宋体"/>
                <w:szCs w:val="21"/>
              </w:rPr>
            </w:pPr>
          </w:p>
        </w:tc>
        <w:tc>
          <w:tcPr>
            <w:tcW w:w="987" w:type="dxa"/>
            <w:vMerge w:val="continue"/>
            <w:noWrap/>
            <w:vAlign w:val="center"/>
          </w:tcPr>
          <w:p>
            <w:pPr>
              <w:spacing w:line="276" w:lineRule="auto"/>
              <w:jc w:val="center"/>
              <w:rPr>
                <w:rFonts w:ascii="宋体" w:hAnsi="宋体" w:cs="宋体"/>
                <w:szCs w:val="21"/>
              </w:rPr>
            </w:pP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家具、电视、电脑清洁等</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p>
        </w:tc>
        <w:tc>
          <w:tcPr>
            <w:tcW w:w="1781" w:type="dxa"/>
            <w:noWrap/>
            <w:vAlign w:val="center"/>
          </w:tcPr>
          <w:p>
            <w:pPr>
              <w:spacing w:line="276" w:lineRule="auto"/>
              <w:jc w:val="center"/>
              <w:rPr>
                <w:rFonts w:ascii="宋体" w:hAnsi="宋体" w:cs="宋体"/>
                <w:szCs w:val="21"/>
              </w:rPr>
            </w:pPr>
            <w:r>
              <w:rPr>
                <w:rFonts w:hint="eastAsia" w:ascii="宋体" w:hAnsi="宋体" w:cs="宋体"/>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restart"/>
            <w:noWrap/>
            <w:vAlign w:val="center"/>
          </w:tcPr>
          <w:p>
            <w:pPr>
              <w:spacing w:line="276" w:lineRule="auto"/>
              <w:jc w:val="center"/>
              <w:rPr>
                <w:rFonts w:ascii="宋体" w:hAnsi="宋体" w:cs="宋体"/>
                <w:szCs w:val="21"/>
              </w:rPr>
            </w:pPr>
            <w:r>
              <w:rPr>
                <w:rFonts w:hint="eastAsia" w:ascii="宋体" w:hAnsi="宋体" w:cs="宋体"/>
                <w:szCs w:val="21"/>
              </w:rPr>
              <w:t>6</w:t>
            </w:r>
          </w:p>
        </w:tc>
        <w:tc>
          <w:tcPr>
            <w:tcW w:w="987" w:type="dxa"/>
            <w:vMerge w:val="restart"/>
            <w:noWrap/>
            <w:vAlign w:val="center"/>
          </w:tcPr>
          <w:p>
            <w:pPr>
              <w:spacing w:line="276" w:lineRule="auto"/>
              <w:jc w:val="center"/>
              <w:rPr>
                <w:rFonts w:ascii="宋体" w:hAnsi="宋体" w:cs="宋体"/>
                <w:szCs w:val="21"/>
              </w:rPr>
            </w:pPr>
            <w:r>
              <w:rPr>
                <w:rFonts w:hint="eastAsia" w:ascii="宋体" w:hAnsi="宋体" w:cs="宋体"/>
                <w:szCs w:val="21"/>
              </w:rPr>
              <w:t>天花板</w:t>
            </w: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空调风口清洁</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6" w:type="dxa"/>
            <w:noWrap/>
            <w:vAlign w:val="center"/>
          </w:tcPr>
          <w:p>
            <w:pPr>
              <w:spacing w:line="276" w:lineRule="auto"/>
              <w:jc w:val="center"/>
              <w:rPr>
                <w:rFonts w:ascii="宋体" w:hAnsi="宋体" w:cs="宋体"/>
                <w:szCs w:val="21"/>
              </w:rPr>
            </w:pPr>
          </w:p>
        </w:tc>
        <w:tc>
          <w:tcPr>
            <w:tcW w:w="1781" w:type="dxa"/>
            <w:noWrap/>
            <w:vAlign w:val="center"/>
          </w:tcPr>
          <w:p>
            <w:pPr>
              <w:spacing w:line="276" w:lineRule="auto"/>
              <w:jc w:val="center"/>
              <w:rPr>
                <w:rFonts w:ascii="宋体" w:hAnsi="宋体" w:cs="宋体"/>
                <w:szCs w:val="21"/>
              </w:rPr>
            </w:pPr>
            <w:r>
              <w:rPr>
                <w:rFonts w:hint="eastAsia" w:ascii="宋体" w:hAnsi="宋体" w:cs="宋体"/>
                <w:szCs w:val="21"/>
              </w:rPr>
              <w:t>无灰尘、无污渍、表面光亮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continue"/>
            <w:noWrap/>
            <w:vAlign w:val="center"/>
          </w:tcPr>
          <w:p>
            <w:pPr>
              <w:spacing w:line="276" w:lineRule="auto"/>
              <w:jc w:val="center"/>
              <w:rPr>
                <w:rFonts w:ascii="宋体" w:hAnsi="宋体" w:cs="宋体"/>
                <w:szCs w:val="21"/>
              </w:rPr>
            </w:pPr>
          </w:p>
        </w:tc>
        <w:tc>
          <w:tcPr>
            <w:tcW w:w="987" w:type="dxa"/>
            <w:vMerge w:val="continue"/>
            <w:noWrap/>
            <w:vAlign w:val="center"/>
          </w:tcPr>
          <w:p>
            <w:pPr>
              <w:spacing w:line="276" w:lineRule="auto"/>
              <w:jc w:val="center"/>
              <w:rPr>
                <w:rFonts w:ascii="宋体" w:hAnsi="宋体" w:cs="宋体"/>
                <w:szCs w:val="21"/>
              </w:rPr>
            </w:pP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灯槽除尘清洁</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1781" w:type="dxa"/>
            <w:noWrap/>
            <w:vAlign w:val="center"/>
          </w:tcPr>
          <w:p>
            <w:pPr>
              <w:spacing w:line="276" w:lineRule="auto"/>
              <w:jc w:val="center"/>
              <w:rPr>
                <w:rFonts w:ascii="宋体" w:hAnsi="宋体" w:cs="宋体"/>
                <w:szCs w:val="21"/>
              </w:rPr>
            </w:pPr>
            <w:r>
              <w:rPr>
                <w:rFonts w:hint="eastAsia" w:ascii="宋体" w:hAnsi="宋体" w:cs="宋体"/>
                <w:szCs w:val="21"/>
              </w:rPr>
              <w:t>无灰尘、无污渍、无手印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continue"/>
            <w:noWrap/>
            <w:vAlign w:val="center"/>
          </w:tcPr>
          <w:p>
            <w:pPr>
              <w:spacing w:line="276" w:lineRule="auto"/>
              <w:jc w:val="center"/>
              <w:rPr>
                <w:rFonts w:ascii="宋体" w:hAnsi="宋体" w:cs="宋体"/>
                <w:szCs w:val="21"/>
              </w:rPr>
            </w:pPr>
          </w:p>
        </w:tc>
        <w:tc>
          <w:tcPr>
            <w:tcW w:w="987" w:type="dxa"/>
            <w:vMerge w:val="continue"/>
            <w:noWrap/>
            <w:vAlign w:val="center"/>
          </w:tcPr>
          <w:p>
            <w:pPr>
              <w:spacing w:line="276" w:lineRule="auto"/>
              <w:jc w:val="center"/>
              <w:rPr>
                <w:rFonts w:ascii="宋体" w:hAnsi="宋体" w:cs="宋体"/>
                <w:szCs w:val="21"/>
              </w:rPr>
            </w:pP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清洁并擦亮天花板</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1781" w:type="dxa"/>
            <w:noWrap/>
            <w:vAlign w:val="center"/>
          </w:tcPr>
          <w:p>
            <w:pPr>
              <w:spacing w:line="276" w:lineRule="auto"/>
              <w:jc w:val="center"/>
              <w:rPr>
                <w:rFonts w:ascii="宋体" w:hAnsi="宋体" w:cs="宋体"/>
                <w:szCs w:val="21"/>
              </w:rPr>
            </w:pPr>
            <w:r>
              <w:rPr>
                <w:rFonts w:hint="eastAsia" w:ascii="宋体" w:hAnsi="宋体" w:cs="宋体"/>
                <w:szCs w:val="21"/>
              </w:rPr>
              <w:t>无灰尘、无污渍、无蜘蛛网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restart"/>
            <w:noWrap/>
            <w:vAlign w:val="center"/>
          </w:tcPr>
          <w:p>
            <w:pPr>
              <w:spacing w:line="276" w:lineRule="auto"/>
              <w:jc w:val="center"/>
              <w:rPr>
                <w:rFonts w:ascii="宋体" w:hAnsi="宋体" w:cs="宋体"/>
                <w:szCs w:val="21"/>
              </w:rPr>
            </w:pPr>
            <w:r>
              <w:rPr>
                <w:rFonts w:hint="eastAsia" w:ascii="宋体" w:hAnsi="宋体" w:cs="宋体"/>
                <w:szCs w:val="21"/>
              </w:rPr>
              <w:t>7</w:t>
            </w:r>
          </w:p>
        </w:tc>
        <w:tc>
          <w:tcPr>
            <w:tcW w:w="987" w:type="dxa"/>
            <w:vMerge w:val="restart"/>
            <w:noWrap/>
            <w:vAlign w:val="center"/>
          </w:tcPr>
          <w:p>
            <w:pPr>
              <w:spacing w:line="276" w:lineRule="auto"/>
              <w:jc w:val="center"/>
              <w:rPr>
                <w:rFonts w:ascii="宋体" w:hAnsi="宋体" w:cs="宋体"/>
                <w:szCs w:val="21"/>
              </w:rPr>
            </w:pPr>
            <w:r>
              <w:rPr>
                <w:rFonts w:hint="eastAsia" w:ascii="宋体" w:hAnsi="宋体" w:cs="宋体"/>
                <w:szCs w:val="21"/>
              </w:rPr>
              <w:t>墙</w:t>
            </w: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墙纸清洁</w:t>
            </w: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循环</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p>
        </w:tc>
        <w:tc>
          <w:tcPr>
            <w:tcW w:w="1781" w:type="dxa"/>
            <w:noWrap/>
            <w:vAlign w:val="center"/>
          </w:tcPr>
          <w:p>
            <w:pPr>
              <w:spacing w:line="276" w:lineRule="auto"/>
              <w:jc w:val="center"/>
              <w:rPr>
                <w:rFonts w:ascii="宋体" w:hAnsi="宋体" w:cs="宋体"/>
                <w:szCs w:val="21"/>
              </w:rPr>
            </w:pPr>
            <w:r>
              <w:rPr>
                <w:rFonts w:hint="eastAsia" w:ascii="宋体" w:hAnsi="宋体" w:cs="宋体"/>
                <w:szCs w:val="21"/>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continue"/>
            <w:noWrap/>
            <w:vAlign w:val="center"/>
          </w:tcPr>
          <w:p>
            <w:pPr>
              <w:spacing w:line="276" w:lineRule="auto"/>
              <w:jc w:val="center"/>
              <w:rPr>
                <w:rFonts w:ascii="宋体" w:hAnsi="宋体" w:cs="宋体"/>
                <w:szCs w:val="21"/>
              </w:rPr>
            </w:pPr>
          </w:p>
        </w:tc>
        <w:tc>
          <w:tcPr>
            <w:tcW w:w="987" w:type="dxa"/>
            <w:vMerge w:val="continue"/>
            <w:noWrap/>
            <w:vAlign w:val="center"/>
          </w:tcPr>
          <w:p>
            <w:pPr>
              <w:spacing w:line="276" w:lineRule="auto"/>
              <w:jc w:val="center"/>
              <w:rPr>
                <w:rFonts w:ascii="宋体" w:hAnsi="宋体" w:cs="宋体"/>
                <w:szCs w:val="21"/>
              </w:rPr>
            </w:pP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墙面清洁</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p>
        </w:tc>
        <w:tc>
          <w:tcPr>
            <w:tcW w:w="1781" w:type="dxa"/>
            <w:vMerge w:val="restart"/>
            <w:noWrap/>
            <w:vAlign w:val="center"/>
          </w:tcPr>
          <w:p>
            <w:pPr>
              <w:spacing w:line="276" w:lineRule="auto"/>
              <w:jc w:val="center"/>
              <w:rPr>
                <w:rFonts w:ascii="宋体" w:hAnsi="宋体" w:cs="宋体"/>
                <w:szCs w:val="21"/>
              </w:rPr>
            </w:pPr>
            <w:r>
              <w:rPr>
                <w:rFonts w:hint="eastAsia" w:ascii="宋体" w:hAnsi="宋体" w:cs="宋体"/>
                <w:szCs w:val="21"/>
              </w:rPr>
              <w:t>无灰尘、无污渍、无蜘蛛网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continue"/>
            <w:noWrap/>
            <w:vAlign w:val="center"/>
          </w:tcPr>
          <w:p>
            <w:pPr>
              <w:spacing w:line="276" w:lineRule="auto"/>
              <w:jc w:val="center"/>
              <w:rPr>
                <w:rFonts w:ascii="宋体" w:hAnsi="宋体" w:cs="宋体"/>
                <w:szCs w:val="21"/>
              </w:rPr>
            </w:pPr>
          </w:p>
        </w:tc>
        <w:tc>
          <w:tcPr>
            <w:tcW w:w="987" w:type="dxa"/>
            <w:vMerge w:val="continue"/>
            <w:noWrap/>
            <w:vAlign w:val="center"/>
          </w:tcPr>
          <w:p>
            <w:pPr>
              <w:spacing w:line="276" w:lineRule="auto"/>
              <w:jc w:val="center"/>
              <w:rPr>
                <w:rFonts w:ascii="宋体" w:hAnsi="宋体" w:cs="宋体"/>
                <w:szCs w:val="21"/>
              </w:rPr>
            </w:pP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木壁板</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1781" w:type="dxa"/>
            <w:vMerge w:val="continue"/>
            <w:noWrap/>
            <w:vAlign w:val="center"/>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restart"/>
            <w:noWrap/>
            <w:vAlign w:val="center"/>
          </w:tcPr>
          <w:p>
            <w:pPr>
              <w:spacing w:line="276" w:lineRule="auto"/>
              <w:jc w:val="center"/>
              <w:rPr>
                <w:rFonts w:ascii="宋体" w:hAnsi="宋体" w:cs="宋体"/>
                <w:szCs w:val="21"/>
              </w:rPr>
            </w:pPr>
            <w:r>
              <w:rPr>
                <w:rFonts w:hint="eastAsia" w:ascii="宋体" w:hAnsi="宋体" w:cs="宋体"/>
                <w:szCs w:val="21"/>
              </w:rPr>
              <w:t>8</w:t>
            </w:r>
          </w:p>
        </w:tc>
        <w:tc>
          <w:tcPr>
            <w:tcW w:w="987" w:type="dxa"/>
            <w:vMerge w:val="restart"/>
            <w:noWrap/>
            <w:vAlign w:val="center"/>
          </w:tcPr>
          <w:p>
            <w:pPr>
              <w:spacing w:line="276" w:lineRule="auto"/>
              <w:jc w:val="center"/>
              <w:rPr>
                <w:rFonts w:ascii="宋体" w:hAnsi="宋体" w:cs="宋体"/>
                <w:szCs w:val="21"/>
              </w:rPr>
            </w:pPr>
            <w:r>
              <w:rPr>
                <w:rFonts w:hint="eastAsia" w:ascii="宋体" w:hAnsi="宋体" w:cs="宋体"/>
                <w:szCs w:val="21"/>
              </w:rPr>
              <w:t>垃圾</w:t>
            </w: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清理纸篓垃圾更换胶袋</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p>
        </w:tc>
        <w:tc>
          <w:tcPr>
            <w:tcW w:w="1781" w:type="dxa"/>
            <w:noWrap/>
            <w:vAlign w:val="center"/>
          </w:tcPr>
          <w:p>
            <w:pPr>
              <w:spacing w:line="276" w:lineRule="auto"/>
              <w:jc w:val="center"/>
              <w:rPr>
                <w:rFonts w:ascii="宋体" w:hAnsi="宋体" w:cs="宋体"/>
                <w:szCs w:val="21"/>
              </w:rPr>
            </w:pPr>
            <w:r>
              <w:rPr>
                <w:rFonts w:hint="eastAsia" w:ascii="宋体" w:hAnsi="宋体" w:cs="宋体"/>
                <w:szCs w:val="21"/>
              </w:rPr>
              <w:t>不得超过容量的2/3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continue"/>
            <w:noWrap/>
            <w:vAlign w:val="center"/>
          </w:tcPr>
          <w:p>
            <w:pPr>
              <w:spacing w:line="276" w:lineRule="auto"/>
              <w:jc w:val="center"/>
              <w:rPr>
                <w:rFonts w:ascii="宋体" w:hAnsi="宋体" w:cs="宋体"/>
                <w:szCs w:val="21"/>
              </w:rPr>
            </w:pPr>
          </w:p>
        </w:tc>
        <w:tc>
          <w:tcPr>
            <w:tcW w:w="987" w:type="dxa"/>
            <w:vMerge w:val="continue"/>
            <w:noWrap/>
            <w:vAlign w:val="center"/>
          </w:tcPr>
          <w:p>
            <w:pPr>
              <w:spacing w:line="276" w:lineRule="auto"/>
              <w:jc w:val="center"/>
              <w:rPr>
                <w:rFonts w:ascii="宋体" w:hAnsi="宋体" w:cs="宋体"/>
                <w:szCs w:val="21"/>
              </w:rPr>
            </w:pP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清洁烟灰缸</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2</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p>
        </w:tc>
        <w:tc>
          <w:tcPr>
            <w:tcW w:w="1781" w:type="dxa"/>
            <w:noWrap/>
            <w:vAlign w:val="center"/>
          </w:tcPr>
          <w:p>
            <w:pPr>
              <w:spacing w:line="276" w:lineRule="auto"/>
              <w:jc w:val="center"/>
              <w:rPr>
                <w:rFonts w:ascii="宋体" w:hAnsi="宋体" w:cs="宋体"/>
                <w:szCs w:val="21"/>
              </w:rPr>
            </w:pPr>
            <w:r>
              <w:rPr>
                <w:rFonts w:hint="eastAsia" w:ascii="宋体" w:hAnsi="宋体" w:cs="宋体"/>
                <w:szCs w:val="21"/>
              </w:rPr>
              <w:t>无污渍、无灰尘、无垃圾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restart"/>
            <w:noWrap/>
            <w:vAlign w:val="center"/>
          </w:tcPr>
          <w:p>
            <w:pPr>
              <w:spacing w:line="276" w:lineRule="auto"/>
              <w:jc w:val="center"/>
              <w:rPr>
                <w:rFonts w:ascii="宋体" w:hAnsi="宋体" w:cs="宋体"/>
                <w:szCs w:val="21"/>
              </w:rPr>
            </w:pPr>
            <w:r>
              <w:rPr>
                <w:rFonts w:hint="eastAsia" w:ascii="宋体" w:hAnsi="宋体" w:cs="宋体"/>
                <w:szCs w:val="21"/>
              </w:rPr>
              <w:t>9</w:t>
            </w:r>
          </w:p>
        </w:tc>
        <w:tc>
          <w:tcPr>
            <w:tcW w:w="987" w:type="dxa"/>
            <w:vMerge w:val="restart"/>
            <w:noWrap/>
            <w:vAlign w:val="center"/>
          </w:tcPr>
          <w:p>
            <w:pPr>
              <w:spacing w:line="276" w:lineRule="auto"/>
              <w:jc w:val="center"/>
              <w:rPr>
                <w:rFonts w:ascii="宋体" w:hAnsi="宋体" w:cs="宋体"/>
                <w:szCs w:val="21"/>
              </w:rPr>
            </w:pPr>
            <w:r>
              <w:rPr>
                <w:rFonts w:hint="eastAsia" w:ascii="宋体" w:hAnsi="宋体" w:cs="宋体"/>
                <w:szCs w:val="21"/>
              </w:rPr>
              <w:t>其他</w:t>
            </w: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电话消毒</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p>
        </w:tc>
        <w:tc>
          <w:tcPr>
            <w:tcW w:w="1781" w:type="dxa"/>
            <w:noWrap/>
            <w:vAlign w:val="center"/>
          </w:tcPr>
          <w:p>
            <w:pPr>
              <w:spacing w:line="276" w:lineRule="auto"/>
              <w:jc w:val="center"/>
              <w:rPr>
                <w:rFonts w:ascii="宋体" w:hAnsi="宋体" w:cs="宋体"/>
                <w:szCs w:val="21"/>
              </w:rPr>
            </w:pPr>
            <w:r>
              <w:rPr>
                <w:rFonts w:hint="eastAsia" w:ascii="宋体" w:hAnsi="宋体" w:cs="宋体"/>
                <w:szCs w:val="21"/>
              </w:rPr>
              <w:t>酒精消毒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continue"/>
            <w:noWrap/>
            <w:vAlign w:val="center"/>
          </w:tcPr>
          <w:p>
            <w:pPr>
              <w:spacing w:line="276" w:lineRule="auto"/>
              <w:jc w:val="center"/>
              <w:rPr>
                <w:rFonts w:ascii="宋体" w:hAnsi="宋体" w:cs="宋体"/>
                <w:szCs w:val="21"/>
              </w:rPr>
            </w:pPr>
          </w:p>
        </w:tc>
        <w:tc>
          <w:tcPr>
            <w:tcW w:w="987" w:type="dxa"/>
            <w:vMerge w:val="continue"/>
            <w:noWrap/>
            <w:vAlign w:val="center"/>
          </w:tcPr>
          <w:p>
            <w:pPr>
              <w:spacing w:line="276" w:lineRule="auto"/>
              <w:jc w:val="center"/>
              <w:rPr>
                <w:rFonts w:ascii="宋体" w:hAnsi="宋体" w:cs="宋体"/>
                <w:szCs w:val="21"/>
              </w:rPr>
            </w:pP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开关清洁</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p>
        </w:tc>
        <w:tc>
          <w:tcPr>
            <w:tcW w:w="1781" w:type="dxa"/>
            <w:noWrap/>
            <w:vAlign w:val="center"/>
          </w:tcPr>
          <w:p>
            <w:pPr>
              <w:spacing w:line="276" w:lineRule="auto"/>
              <w:jc w:val="center"/>
              <w:rPr>
                <w:rFonts w:ascii="宋体" w:hAnsi="宋体" w:cs="宋体"/>
                <w:szCs w:val="21"/>
              </w:rPr>
            </w:pPr>
            <w:r>
              <w:rPr>
                <w:rFonts w:hint="eastAsia" w:ascii="宋体" w:hAnsi="宋体" w:cs="宋体"/>
                <w:szCs w:val="21"/>
              </w:rPr>
              <w:t>无污渍、无灰尘、无垃圾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continue"/>
            <w:noWrap/>
            <w:vAlign w:val="center"/>
          </w:tcPr>
          <w:p>
            <w:pPr>
              <w:spacing w:line="276" w:lineRule="auto"/>
              <w:jc w:val="center"/>
              <w:rPr>
                <w:rFonts w:ascii="宋体" w:hAnsi="宋体" w:cs="宋体"/>
                <w:szCs w:val="21"/>
              </w:rPr>
            </w:pPr>
          </w:p>
        </w:tc>
        <w:tc>
          <w:tcPr>
            <w:tcW w:w="987" w:type="dxa"/>
            <w:vMerge w:val="continue"/>
            <w:noWrap/>
            <w:vAlign w:val="center"/>
          </w:tcPr>
          <w:p>
            <w:pPr>
              <w:spacing w:line="276" w:lineRule="auto"/>
              <w:jc w:val="center"/>
              <w:rPr>
                <w:rFonts w:ascii="宋体" w:hAnsi="宋体" w:cs="宋体"/>
                <w:szCs w:val="21"/>
              </w:rPr>
            </w:pP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吊牌/指示牌清洁</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1" w:type="dxa"/>
            <w:noWrap/>
            <w:vAlign w:val="center"/>
          </w:tcPr>
          <w:p>
            <w:pPr>
              <w:spacing w:line="276" w:lineRule="auto"/>
              <w:jc w:val="center"/>
              <w:rPr>
                <w:rFonts w:ascii="宋体" w:hAnsi="宋体" w:cs="宋体"/>
                <w:szCs w:val="21"/>
              </w:rPr>
            </w:pPr>
          </w:p>
        </w:tc>
        <w:tc>
          <w:tcPr>
            <w:tcW w:w="516" w:type="dxa"/>
            <w:noWrap/>
            <w:vAlign w:val="center"/>
          </w:tcPr>
          <w:p>
            <w:pPr>
              <w:spacing w:line="276" w:lineRule="auto"/>
              <w:jc w:val="center"/>
              <w:rPr>
                <w:rFonts w:ascii="宋体" w:hAnsi="宋体" w:cs="宋体"/>
                <w:szCs w:val="21"/>
              </w:rPr>
            </w:pPr>
          </w:p>
        </w:tc>
        <w:tc>
          <w:tcPr>
            <w:tcW w:w="1781" w:type="dxa"/>
            <w:noWrap/>
            <w:vAlign w:val="center"/>
          </w:tcPr>
          <w:p>
            <w:pPr>
              <w:spacing w:line="276" w:lineRule="auto"/>
              <w:jc w:val="center"/>
              <w:rPr>
                <w:rFonts w:ascii="宋体" w:hAnsi="宋体" w:cs="宋体"/>
                <w:szCs w:val="21"/>
              </w:rPr>
            </w:pPr>
            <w:r>
              <w:rPr>
                <w:rFonts w:hint="eastAsia" w:ascii="宋体" w:hAnsi="宋体" w:cs="宋体"/>
                <w:szCs w:val="21"/>
              </w:rPr>
              <w:t>无污渍、无灰尘、无垃圾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continue"/>
            <w:noWrap/>
            <w:vAlign w:val="center"/>
          </w:tcPr>
          <w:p>
            <w:pPr>
              <w:spacing w:line="276" w:lineRule="auto"/>
              <w:jc w:val="center"/>
              <w:rPr>
                <w:rFonts w:ascii="宋体" w:hAnsi="宋体" w:cs="宋体"/>
                <w:szCs w:val="21"/>
              </w:rPr>
            </w:pPr>
          </w:p>
        </w:tc>
        <w:tc>
          <w:tcPr>
            <w:tcW w:w="987" w:type="dxa"/>
            <w:vMerge w:val="continue"/>
            <w:noWrap/>
            <w:vAlign w:val="center"/>
          </w:tcPr>
          <w:p>
            <w:pPr>
              <w:spacing w:line="276" w:lineRule="auto"/>
              <w:jc w:val="center"/>
              <w:rPr>
                <w:rFonts w:ascii="宋体" w:hAnsi="宋体" w:cs="宋体"/>
                <w:szCs w:val="21"/>
              </w:rPr>
            </w:pP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顶灯、喇叭、烟感器、风口、排气扇清洁等</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6" w:type="dxa"/>
            <w:noWrap/>
            <w:vAlign w:val="center"/>
          </w:tcPr>
          <w:p>
            <w:pPr>
              <w:spacing w:line="276" w:lineRule="auto"/>
              <w:jc w:val="center"/>
              <w:rPr>
                <w:rFonts w:ascii="宋体" w:hAnsi="宋体" w:cs="宋体"/>
                <w:szCs w:val="21"/>
              </w:rPr>
            </w:pPr>
          </w:p>
        </w:tc>
        <w:tc>
          <w:tcPr>
            <w:tcW w:w="1781" w:type="dxa"/>
            <w:noWrap/>
            <w:vAlign w:val="center"/>
          </w:tcPr>
          <w:p>
            <w:pPr>
              <w:spacing w:line="276" w:lineRule="auto"/>
              <w:jc w:val="center"/>
              <w:rPr>
                <w:rFonts w:ascii="宋体" w:hAnsi="宋体" w:cs="宋体"/>
                <w:szCs w:val="21"/>
              </w:rPr>
            </w:pPr>
            <w:r>
              <w:rPr>
                <w:rFonts w:hint="eastAsia" w:ascii="宋体" w:hAnsi="宋体" w:cs="宋体"/>
                <w:szCs w:val="21"/>
              </w:rPr>
              <w:t>无灰尘、无污渍、无手印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0" w:type="dxa"/>
            <w:vMerge w:val="restart"/>
            <w:noWrap/>
            <w:vAlign w:val="center"/>
          </w:tcPr>
          <w:p>
            <w:pPr>
              <w:spacing w:line="276" w:lineRule="auto"/>
              <w:jc w:val="center"/>
              <w:rPr>
                <w:rFonts w:ascii="宋体" w:hAnsi="宋体" w:cs="宋体"/>
                <w:szCs w:val="21"/>
              </w:rPr>
            </w:pPr>
            <w:r>
              <w:rPr>
                <w:rFonts w:hint="eastAsia" w:ascii="宋体" w:hAnsi="宋体" w:cs="宋体"/>
                <w:szCs w:val="21"/>
              </w:rPr>
              <w:t>附楼休息室</w:t>
            </w:r>
          </w:p>
        </w:tc>
        <w:tc>
          <w:tcPr>
            <w:tcW w:w="988" w:type="dxa"/>
            <w:vMerge w:val="restart"/>
            <w:noWrap/>
            <w:vAlign w:val="center"/>
          </w:tcPr>
          <w:p>
            <w:pPr>
              <w:spacing w:line="276" w:lineRule="auto"/>
              <w:jc w:val="center"/>
              <w:rPr>
                <w:rFonts w:ascii="宋体" w:hAnsi="宋体" w:cs="宋体"/>
                <w:szCs w:val="21"/>
              </w:rPr>
            </w:pPr>
            <w:r>
              <w:rPr>
                <w:rFonts w:hint="eastAsia" w:ascii="宋体" w:hAnsi="宋体" w:cs="宋体"/>
                <w:szCs w:val="21"/>
              </w:rPr>
              <w:t>10</w:t>
            </w:r>
          </w:p>
        </w:tc>
        <w:tc>
          <w:tcPr>
            <w:tcW w:w="987" w:type="dxa"/>
            <w:vMerge w:val="restart"/>
            <w:noWrap/>
            <w:vAlign w:val="center"/>
          </w:tcPr>
          <w:p>
            <w:pPr>
              <w:spacing w:line="276" w:lineRule="auto"/>
              <w:jc w:val="center"/>
              <w:rPr>
                <w:rFonts w:ascii="宋体" w:hAnsi="宋体" w:cs="宋体"/>
                <w:szCs w:val="21"/>
              </w:rPr>
            </w:pPr>
            <w:r>
              <w:rPr>
                <w:rFonts w:hint="eastAsia" w:ascii="宋体" w:hAnsi="宋体" w:cs="宋体"/>
                <w:szCs w:val="21"/>
              </w:rPr>
              <w:t>休息室</w:t>
            </w: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硬质地面清扫</w:t>
            </w: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p>
        </w:tc>
        <w:tc>
          <w:tcPr>
            <w:tcW w:w="511" w:type="dxa"/>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1" w:type="dxa"/>
            <w:noWrap/>
            <w:vAlign w:val="center"/>
          </w:tcPr>
          <w:p>
            <w:pPr>
              <w:spacing w:line="276" w:lineRule="auto"/>
              <w:jc w:val="center"/>
              <w:rPr>
                <w:rFonts w:ascii="宋体" w:hAnsi="宋体" w:cs="宋体"/>
                <w:szCs w:val="21"/>
              </w:rPr>
            </w:pPr>
          </w:p>
        </w:tc>
        <w:tc>
          <w:tcPr>
            <w:tcW w:w="516" w:type="dxa"/>
            <w:noWrap/>
            <w:vAlign w:val="center"/>
          </w:tcPr>
          <w:p>
            <w:pPr>
              <w:keepNext/>
              <w:keepLines/>
              <w:spacing w:before="340" w:after="330" w:line="276" w:lineRule="auto"/>
              <w:jc w:val="center"/>
              <w:outlineLvl w:val="0"/>
              <w:rPr>
                <w:rFonts w:ascii="宋体" w:hAnsi="宋体" w:cs="宋体"/>
                <w:color w:val="0000FF"/>
                <w:szCs w:val="21"/>
              </w:rPr>
            </w:pPr>
          </w:p>
        </w:tc>
        <w:tc>
          <w:tcPr>
            <w:tcW w:w="1781" w:type="dxa"/>
            <w:noWrap/>
            <w:vAlign w:val="center"/>
          </w:tcPr>
          <w:p>
            <w:pPr>
              <w:spacing w:line="276" w:lineRule="auto"/>
              <w:jc w:val="center"/>
              <w:rPr>
                <w:rFonts w:ascii="宋体" w:hAnsi="宋体" w:cs="宋体"/>
                <w:szCs w:val="21"/>
              </w:rPr>
            </w:pPr>
            <w:r>
              <w:rPr>
                <w:rFonts w:hint="eastAsia" w:ascii="宋体" w:hAnsi="宋体" w:cs="宋体"/>
                <w:szCs w:val="21"/>
              </w:rPr>
              <w:t>无污渍、无灰尘、无垃圾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vMerge w:val="continue"/>
            <w:noWrap/>
            <w:vAlign w:val="center"/>
          </w:tcPr>
          <w:p>
            <w:pPr>
              <w:spacing w:line="276" w:lineRule="auto"/>
              <w:jc w:val="center"/>
              <w:rPr>
                <w:rFonts w:ascii="宋体" w:hAnsi="宋体" w:cs="宋体"/>
                <w:szCs w:val="21"/>
              </w:rPr>
            </w:pPr>
          </w:p>
        </w:tc>
        <w:tc>
          <w:tcPr>
            <w:tcW w:w="988" w:type="dxa"/>
            <w:vMerge w:val="continue"/>
            <w:noWrap/>
            <w:vAlign w:val="center"/>
          </w:tcPr>
          <w:p>
            <w:pPr>
              <w:spacing w:line="276" w:lineRule="auto"/>
              <w:jc w:val="center"/>
              <w:rPr>
                <w:rFonts w:ascii="宋体" w:hAnsi="宋体" w:cs="宋体"/>
                <w:szCs w:val="21"/>
              </w:rPr>
            </w:pPr>
          </w:p>
        </w:tc>
        <w:tc>
          <w:tcPr>
            <w:tcW w:w="987" w:type="dxa"/>
            <w:vMerge w:val="continue"/>
            <w:noWrap/>
            <w:vAlign w:val="center"/>
          </w:tcPr>
          <w:p>
            <w:pPr>
              <w:spacing w:line="276" w:lineRule="auto"/>
              <w:jc w:val="center"/>
              <w:rPr>
                <w:rFonts w:ascii="宋体" w:hAnsi="宋体" w:cs="宋体"/>
                <w:szCs w:val="21"/>
              </w:rPr>
            </w:pPr>
          </w:p>
        </w:tc>
        <w:tc>
          <w:tcPr>
            <w:tcW w:w="987" w:type="dxa"/>
            <w:noWrap/>
            <w:vAlign w:val="center"/>
          </w:tcPr>
          <w:p>
            <w:pPr>
              <w:spacing w:line="276" w:lineRule="auto"/>
              <w:jc w:val="center"/>
              <w:rPr>
                <w:rFonts w:ascii="宋体" w:hAnsi="宋体" w:cs="宋体"/>
                <w:szCs w:val="21"/>
              </w:rPr>
            </w:pPr>
            <w:r>
              <w:rPr>
                <w:rFonts w:hint="eastAsia" w:ascii="宋体" w:hAnsi="宋体" w:cs="宋体"/>
                <w:szCs w:val="21"/>
              </w:rPr>
              <w:t>更换床铺</w:t>
            </w:r>
          </w:p>
        </w:tc>
        <w:tc>
          <w:tcPr>
            <w:tcW w:w="2560" w:type="dxa"/>
            <w:gridSpan w:val="5"/>
            <w:noWrap/>
            <w:vAlign w:val="center"/>
          </w:tcPr>
          <w:p>
            <w:pPr>
              <w:spacing w:line="276" w:lineRule="auto"/>
              <w:jc w:val="center"/>
              <w:rPr>
                <w:rFonts w:ascii="宋体" w:hAnsi="宋体" w:cs="宋体"/>
                <w:szCs w:val="21"/>
              </w:rPr>
            </w:pPr>
            <w:r>
              <w:rPr>
                <w:rFonts w:hint="eastAsia" w:ascii="宋体" w:hAnsi="宋体" w:cs="宋体"/>
                <w:szCs w:val="21"/>
              </w:rPr>
              <w:t>通知</w:t>
            </w:r>
          </w:p>
        </w:tc>
        <w:tc>
          <w:tcPr>
            <w:tcW w:w="1781" w:type="dxa"/>
            <w:noWrap/>
            <w:vAlign w:val="center"/>
          </w:tcPr>
          <w:p>
            <w:pPr>
              <w:spacing w:line="276" w:lineRule="auto"/>
              <w:jc w:val="center"/>
              <w:rPr>
                <w:rFonts w:ascii="宋体" w:hAnsi="宋体" w:cs="宋体"/>
                <w:szCs w:val="21"/>
              </w:rPr>
            </w:pPr>
          </w:p>
        </w:tc>
      </w:tr>
    </w:tbl>
    <w:p>
      <w:pPr>
        <w:spacing w:line="276" w:lineRule="auto"/>
        <w:jc w:val="left"/>
        <w:rPr>
          <w:rFonts w:ascii="宋体" w:hAnsi="宋体"/>
          <w:szCs w:val="21"/>
        </w:rPr>
      </w:pPr>
      <w:r>
        <w:rPr>
          <w:rFonts w:hint="eastAsia" w:ascii="宋体" w:hAnsi="宋体"/>
          <w:szCs w:val="21"/>
        </w:rPr>
        <w:t>注：逢周一进行全面消毒。</w:t>
      </w:r>
    </w:p>
    <w:p>
      <w:pPr>
        <w:spacing w:before="100" w:after="100" w:line="276" w:lineRule="auto"/>
        <w:jc w:val="left"/>
        <w:outlineLvl w:val="2"/>
        <w:rPr>
          <w:rFonts w:ascii="宋体" w:hAnsi="宋体"/>
          <w:szCs w:val="21"/>
        </w:rPr>
      </w:pPr>
      <w:r>
        <w:rPr>
          <w:rFonts w:hint="eastAsia" w:ascii="宋体" w:hAnsi="宋体"/>
          <w:szCs w:val="21"/>
        </w:rPr>
        <w:t>C、电梯日常清洁服务频率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7"/>
        <w:gridCol w:w="664"/>
        <w:gridCol w:w="2254"/>
        <w:gridCol w:w="599"/>
        <w:gridCol w:w="783"/>
        <w:gridCol w:w="672"/>
        <w:gridCol w:w="645"/>
        <w:gridCol w:w="698"/>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区域</w:t>
            </w: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序号</w:t>
            </w:r>
          </w:p>
        </w:tc>
        <w:tc>
          <w:tcPr>
            <w:tcW w:w="22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工作内容</w:t>
            </w:r>
          </w:p>
        </w:tc>
        <w:tc>
          <w:tcPr>
            <w:tcW w:w="59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时</w:t>
            </w:r>
          </w:p>
        </w:tc>
        <w:tc>
          <w:tcPr>
            <w:tcW w:w="78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天</w:t>
            </w:r>
          </w:p>
        </w:tc>
        <w:tc>
          <w:tcPr>
            <w:tcW w:w="67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周</w:t>
            </w: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月</w:t>
            </w:r>
          </w:p>
        </w:tc>
        <w:tc>
          <w:tcPr>
            <w:tcW w:w="6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季</w:t>
            </w:r>
          </w:p>
        </w:tc>
        <w:tc>
          <w:tcPr>
            <w:tcW w:w="111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atLeast"/>
          <w:jc w:val="center"/>
        </w:trPr>
        <w:tc>
          <w:tcPr>
            <w:tcW w:w="857"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主楼电梯</w:t>
            </w: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22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空调风口清洁</w:t>
            </w:r>
          </w:p>
        </w:tc>
        <w:tc>
          <w:tcPr>
            <w:tcW w:w="59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8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119"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无灰尘、无污渍、无手印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2</w:t>
            </w:r>
          </w:p>
        </w:tc>
        <w:tc>
          <w:tcPr>
            <w:tcW w:w="22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清洁天花板</w:t>
            </w:r>
          </w:p>
        </w:tc>
        <w:tc>
          <w:tcPr>
            <w:tcW w:w="59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8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4"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w:t>
            </w:r>
          </w:p>
        </w:tc>
        <w:tc>
          <w:tcPr>
            <w:tcW w:w="22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地面清洁</w:t>
            </w:r>
          </w:p>
        </w:tc>
        <w:tc>
          <w:tcPr>
            <w:tcW w:w="59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8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6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6" w:hRule="atLeast"/>
          <w:jc w:val="center"/>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4"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22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地面除污渍</w:t>
            </w:r>
          </w:p>
        </w:tc>
        <w:tc>
          <w:tcPr>
            <w:tcW w:w="59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8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4</w:t>
            </w:r>
          </w:p>
        </w:tc>
        <w:tc>
          <w:tcPr>
            <w:tcW w:w="22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按钮清洁</w:t>
            </w:r>
          </w:p>
        </w:tc>
        <w:tc>
          <w:tcPr>
            <w:tcW w:w="59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循环</w:t>
            </w:r>
          </w:p>
        </w:tc>
        <w:tc>
          <w:tcPr>
            <w:tcW w:w="78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5</w:t>
            </w:r>
          </w:p>
        </w:tc>
        <w:tc>
          <w:tcPr>
            <w:tcW w:w="22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门槽清洁</w:t>
            </w:r>
          </w:p>
        </w:tc>
        <w:tc>
          <w:tcPr>
            <w:tcW w:w="59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8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67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4" w:hRule="atLeast"/>
          <w:jc w:val="center"/>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6</w:t>
            </w:r>
          </w:p>
        </w:tc>
        <w:tc>
          <w:tcPr>
            <w:tcW w:w="22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轿厢不锈钢保养</w:t>
            </w:r>
          </w:p>
        </w:tc>
        <w:tc>
          <w:tcPr>
            <w:tcW w:w="59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8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67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4" w:hRule="atLeast"/>
          <w:jc w:val="center"/>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7</w:t>
            </w:r>
          </w:p>
        </w:tc>
        <w:tc>
          <w:tcPr>
            <w:tcW w:w="22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轿厢面板清洁</w:t>
            </w:r>
          </w:p>
        </w:tc>
        <w:tc>
          <w:tcPr>
            <w:tcW w:w="59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8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67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8</w:t>
            </w:r>
          </w:p>
        </w:tc>
        <w:tc>
          <w:tcPr>
            <w:tcW w:w="22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轿厢玻璃清洗</w:t>
            </w:r>
          </w:p>
        </w:tc>
        <w:tc>
          <w:tcPr>
            <w:tcW w:w="59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循环</w:t>
            </w:r>
          </w:p>
        </w:tc>
        <w:tc>
          <w:tcPr>
            <w:tcW w:w="78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9</w:t>
            </w:r>
          </w:p>
        </w:tc>
        <w:tc>
          <w:tcPr>
            <w:tcW w:w="22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轿厢地面清拖</w:t>
            </w:r>
          </w:p>
        </w:tc>
        <w:tc>
          <w:tcPr>
            <w:tcW w:w="59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循环</w:t>
            </w:r>
          </w:p>
        </w:tc>
        <w:tc>
          <w:tcPr>
            <w:tcW w:w="78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10</w:t>
            </w:r>
          </w:p>
        </w:tc>
        <w:tc>
          <w:tcPr>
            <w:tcW w:w="22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消毒</w:t>
            </w:r>
          </w:p>
        </w:tc>
        <w:tc>
          <w:tcPr>
            <w:tcW w:w="599"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8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67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1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r>
    </w:tbl>
    <w:p>
      <w:pPr>
        <w:spacing w:before="100" w:after="100" w:line="276" w:lineRule="auto"/>
        <w:jc w:val="left"/>
        <w:outlineLvl w:val="2"/>
        <w:rPr>
          <w:rFonts w:ascii="宋体" w:hAnsi="宋体"/>
          <w:szCs w:val="21"/>
        </w:rPr>
      </w:pPr>
      <w:r>
        <w:rPr>
          <w:rFonts w:hint="eastAsia" w:ascii="宋体" w:hAnsi="宋体"/>
          <w:szCs w:val="21"/>
        </w:rPr>
        <w:t>D、卫生间日常清洁服务频率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665"/>
        <w:gridCol w:w="2255"/>
        <w:gridCol w:w="663"/>
        <w:gridCol w:w="797"/>
        <w:gridCol w:w="663"/>
        <w:gridCol w:w="665"/>
        <w:gridCol w:w="663"/>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bottom"/>
          </w:tcPr>
          <w:p>
            <w:pPr>
              <w:spacing w:line="276" w:lineRule="auto"/>
              <w:jc w:val="center"/>
              <w:rPr>
                <w:rFonts w:ascii="宋体" w:hAnsi="宋体" w:cs="宋体"/>
                <w:szCs w:val="21"/>
              </w:rPr>
            </w:pPr>
            <w:r>
              <w:rPr>
                <w:rFonts w:hint="eastAsia" w:ascii="宋体" w:hAnsi="宋体" w:cs="宋体"/>
                <w:szCs w:val="21"/>
              </w:rPr>
              <w:t>区域</w:t>
            </w: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bottom"/>
          </w:tcPr>
          <w:p>
            <w:pPr>
              <w:spacing w:line="276" w:lineRule="auto"/>
              <w:jc w:val="center"/>
              <w:rPr>
                <w:rFonts w:ascii="宋体" w:hAnsi="宋体" w:cs="宋体"/>
                <w:szCs w:val="21"/>
              </w:rPr>
            </w:pPr>
            <w:r>
              <w:rPr>
                <w:rFonts w:hint="eastAsia" w:ascii="宋体" w:hAnsi="宋体" w:cs="宋体"/>
                <w:szCs w:val="21"/>
              </w:rPr>
              <w:t>序号</w:t>
            </w:r>
          </w:p>
        </w:tc>
        <w:tc>
          <w:tcPr>
            <w:tcW w:w="225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bottom"/>
          </w:tcPr>
          <w:p>
            <w:pPr>
              <w:spacing w:line="276" w:lineRule="auto"/>
              <w:jc w:val="center"/>
              <w:rPr>
                <w:rFonts w:ascii="宋体" w:hAnsi="宋体" w:cs="宋体"/>
                <w:szCs w:val="21"/>
              </w:rPr>
            </w:pPr>
            <w:r>
              <w:rPr>
                <w:rFonts w:hint="eastAsia" w:ascii="宋体" w:hAnsi="宋体" w:cs="宋体"/>
                <w:szCs w:val="21"/>
              </w:rPr>
              <w:t>工作内容</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bottom"/>
          </w:tcPr>
          <w:p>
            <w:pPr>
              <w:spacing w:line="276" w:lineRule="auto"/>
              <w:jc w:val="center"/>
              <w:rPr>
                <w:rFonts w:ascii="宋体" w:hAnsi="宋体" w:cs="宋体"/>
                <w:szCs w:val="21"/>
              </w:rPr>
            </w:pPr>
            <w:r>
              <w:rPr>
                <w:rFonts w:hint="eastAsia" w:ascii="宋体" w:hAnsi="宋体" w:cs="宋体"/>
                <w:szCs w:val="21"/>
              </w:rPr>
              <w:t>时</w:t>
            </w:r>
          </w:p>
        </w:tc>
        <w:tc>
          <w:tcPr>
            <w:tcW w:w="79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bottom"/>
          </w:tcPr>
          <w:p>
            <w:pPr>
              <w:spacing w:line="276" w:lineRule="auto"/>
              <w:jc w:val="center"/>
              <w:rPr>
                <w:rFonts w:ascii="宋体" w:hAnsi="宋体" w:cs="宋体"/>
                <w:szCs w:val="21"/>
              </w:rPr>
            </w:pPr>
            <w:r>
              <w:rPr>
                <w:rFonts w:hint="eastAsia" w:ascii="宋体" w:hAnsi="宋体" w:cs="宋体"/>
                <w:szCs w:val="21"/>
              </w:rPr>
              <w:t>天</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bottom"/>
          </w:tcPr>
          <w:p>
            <w:pPr>
              <w:spacing w:line="276" w:lineRule="auto"/>
              <w:jc w:val="center"/>
              <w:rPr>
                <w:rFonts w:ascii="宋体" w:hAnsi="宋体" w:cs="宋体"/>
                <w:szCs w:val="21"/>
              </w:rPr>
            </w:pPr>
            <w:r>
              <w:rPr>
                <w:rFonts w:hint="eastAsia" w:ascii="宋体" w:hAnsi="宋体" w:cs="宋体"/>
                <w:szCs w:val="21"/>
              </w:rPr>
              <w:t>周</w:t>
            </w: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bottom"/>
          </w:tcPr>
          <w:p>
            <w:pPr>
              <w:spacing w:line="276" w:lineRule="auto"/>
              <w:jc w:val="center"/>
              <w:rPr>
                <w:rFonts w:ascii="宋体" w:hAnsi="宋体" w:cs="宋体"/>
                <w:szCs w:val="21"/>
              </w:rPr>
            </w:pPr>
            <w:r>
              <w:rPr>
                <w:rFonts w:hint="eastAsia" w:ascii="宋体" w:hAnsi="宋体" w:cs="宋体"/>
                <w:szCs w:val="21"/>
              </w:rPr>
              <w:t>月</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bottom"/>
          </w:tcPr>
          <w:p>
            <w:pPr>
              <w:spacing w:line="276" w:lineRule="auto"/>
              <w:jc w:val="center"/>
              <w:rPr>
                <w:rFonts w:ascii="宋体" w:hAnsi="宋体" w:cs="宋体"/>
                <w:szCs w:val="21"/>
              </w:rPr>
            </w:pPr>
            <w:r>
              <w:rPr>
                <w:rFonts w:hint="eastAsia" w:ascii="宋体" w:hAnsi="宋体" w:cs="宋体"/>
                <w:szCs w:val="21"/>
              </w:rPr>
              <w:t>季</w:t>
            </w:r>
          </w:p>
        </w:tc>
        <w:tc>
          <w:tcPr>
            <w:tcW w:w="111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bottom"/>
          </w:tcPr>
          <w:p>
            <w:pPr>
              <w:spacing w:line="276" w:lineRule="auto"/>
              <w:jc w:val="center"/>
              <w:rPr>
                <w:rFonts w:ascii="宋体" w:hAnsi="宋体" w:cs="宋体"/>
                <w:szCs w:val="21"/>
              </w:rPr>
            </w:pPr>
            <w:r>
              <w:rPr>
                <w:rFonts w:hint="eastAsia" w:ascii="宋体" w:hAnsi="宋体" w:cs="宋体"/>
                <w:szCs w:val="21"/>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0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卫生间</w:t>
            </w: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225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天花板</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9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1111"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无污点、没有积聚灰尘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225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排气扇、风口清洁</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9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1111"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3</w:t>
            </w:r>
          </w:p>
        </w:tc>
        <w:tc>
          <w:tcPr>
            <w:tcW w:w="225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全面清洁消毒</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9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11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无污点、无气味、无水印、表面光亮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4</w:t>
            </w:r>
          </w:p>
        </w:tc>
        <w:tc>
          <w:tcPr>
            <w:tcW w:w="225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玻璃清洗</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9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11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无污点、无水印、表面光亮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5</w:t>
            </w:r>
          </w:p>
        </w:tc>
        <w:tc>
          <w:tcPr>
            <w:tcW w:w="225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墙面清洁</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9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11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表面无水印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6</w:t>
            </w:r>
          </w:p>
        </w:tc>
        <w:tc>
          <w:tcPr>
            <w:tcW w:w="225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马桶、小便池清洁、消毒</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79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11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无污点、无气味、无水印、表面光亮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7</w:t>
            </w:r>
          </w:p>
        </w:tc>
        <w:tc>
          <w:tcPr>
            <w:tcW w:w="225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洗手盆和镜子的清洁</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79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11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无污点、无水印、表面光亮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8</w:t>
            </w:r>
          </w:p>
        </w:tc>
        <w:tc>
          <w:tcPr>
            <w:tcW w:w="225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地面清洁</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79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11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无垃圾、无水印、无污点、表面光亮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9</w:t>
            </w:r>
          </w:p>
        </w:tc>
        <w:tc>
          <w:tcPr>
            <w:tcW w:w="225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清理垃圾，更换垃圾袋</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79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11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不得超过容量的2/3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10</w:t>
            </w:r>
          </w:p>
        </w:tc>
        <w:tc>
          <w:tcPr>
            <w:tcW w:w="225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标志牌清洁</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9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11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无污点、保持干净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11</w:t>
            </w:r>
          </w:p>
        </w:tc>
        <w:tc>
          <w:tcPr>
            <w:tcW w:w="225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门及门框的清洁</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9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11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无积聚的灰尘、保持</w:t>
            </w:r>
          </w:p>
          <w:p>
            <w:pPr>
              <w:spacing w:line="276" w:lineRule="auto"/>
              <w:rPr>
                <w:rFonts w:ascii="宋体" w:hAnsi="宋体" w:cs="宋体"/>
                <w:szCs w:val="21"/>
              </w:rPr>
            </w:pPr>
            <w:r>
              <w:rPr>
                <w:rFonts w:hint="eastAsia" w:ascii="宋体" w:hAnsi="宋体" w:cs="宋体"/>
                <w:szCs w:val="21"/>
              </w:rPr>
              <w:t>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12</w:t>
            </w:r>
          </w:p>
        </w:tc>
        <w:tc>
          <w:tcPr>
            <w:tcW w:w="225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清洁把手及门锁</w:t>
            </w: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79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6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11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保持表面光亮、无水印</w:t>
            </w:r>
          </w:p>
        </w:tc>
      </w:tr>
    </w:tbl>
    <w:p>
      <w:pPr>
        <w:spacing w:before="100" w:after="100" w:line="276" w:lineRule="auto"/>
        <w:jc w:val="left"/>
        <w:outlineLvl w:val="2"/>
        <w:rPr>
          <w:rFonts w:ascii="宋体" w:hAnsi="宋体"/>
          <w:szCs w:val="21"/>
        </w:rPr>
      </w:pPr>
      <w:r>
        <w:rPr>
          <w:rFonts w:hint="eastAsia" w:ascii="宋体" w:hAnsi="宋体"/>
          <w:szCs w:val="21"/>
        </w:rPr>
        <w:t>E、天台和外围日常清洁服务频率</w:t>
      </w:r>
    </w:p>
    <w:tbl>
      <w:tblPr>
        <w:tblStyle w:val="21"/>
        <w:tblW w:w="0" w:type="auto"/>
        <w:jc w:val="center"/>
        <w:tblLayout w:type="fixed"/>
        <w:tblCellMar>
          <w:top w:w="0" w:type="dxa"/>
          <w:left w:w="108" w:type="dxa"/>
          <w:bottom w:w="0" w:type="dxa"/>
          <w:right w:w="108" w:type="dxa"/>
        </w:tblCellMar>
      </w:tblPr>
      <w:tblGrid>
        <w:gridCol w:w="994"/>
        <w:gridCol w:w="662"/>
        <w:gridCol w:w="1004"/>
        <w:gridCol w:w="1242"/>
        <w:gridCol w:w="507"/>
        <w:gridCol w:w="572"/>
        <w:gridCol w:w="557"/>
        <w:gridCol w:w="554"/>
        <w:gridCol w:w="482"/>
        <w:gridCol w:w="1714"/>
      </w:tblGrid>
      <w:tr>
        <w:tblPrEx>
          <w:tblCellMar>
            <w:top w:w="0" w:type="dxa"/>
            <w:left w:w="108" w:type="dxa"/>
            <w:bottom w:w="0" w:type="dxa"/>
            <w:right w:w="108" w:type="dxa"/>
          </w:tblCellMar>
        </w:tblPrEx>
        <w:trPr>
          <w:trHeight w:val="285" w:hRule="atLeast"/>
          <w:jc w:val="center"/>
        </w:trPr>
        <w:tc>
          <w:tcPr>
            <w:tcW w:w="99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区域</w:t>
            </w:r>
          </w:p>
        </w:tc>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序号</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类别</w:t>
            </w: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工作内容</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时</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天</w:t>
            </w: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周</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月</w:t>
            </w: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季</w:t>
            </w: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清洁标准</w:t>
            </w:r>
          </w:p>
        </w:tc>
      </w:tr>
      <w:tr>
        <w:tblPrEx>
          <w:tblCellMar>
            <w:top w:w="0" w:type="dxa"/>
            <w:left w:w="108" w:type="dxa"/>
            <w:bottom w:w="0" w:type="dxa"/>
            <w:right w:w="108" w:type="dxa"/>
          </w:tblCellMar>
        </w:tblPrEx>
        <w:trPr>
          <w:trHeight w:val="750" w:hRule="atLeast"/>
          <w:jc w:val="center"/>
        </w:trPr>
        <w:tc>
          <w:tcPr>
            <w:tcW w:w="99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天台</w:t>
            </w:r>
          </w:p>
        </w:tc>
        <w:tc>
          <w:tcPr>
            <w:tcW w:w="6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10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地面</w:t>
            </w: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地面清扫</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无垃圾、无灰尘、无污点、整洁</w:t>
            </w:r>
          </w:p>
        </w:tc>
      </w:tr>
      <w:tr>
        <w:tblPrEx>
          <w:tblCellMar>
            <w:top w:w="0" w:type="dxa"/>
            <w:left w:w="108" w:type="dxa"/>
            <w:bottom w:w="0" w:type="dxa"/>
            <w:right w:w="108" w:type="dxa"/>
          </w:tblCellMar>
        </w:tblPrEx>
        <w:trPr>
          <w:trHeight w:val="285"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地面清洗</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171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ascii="宋体" w:hAnsi="宋体" w:cs="宋体"/>
                <w:szCs w:val="21"/>
              </w:rPr>
            </w:pPr>
          </w:p>
        </w:tc>
      </w:tr>
      <w:tr>
        <w:tblPrEx>
          <w:tblCellMar>
            <w:top w:w="0" w:type="dxa"/>
            <w:left w:w="108" w:type="dxa"/>
            <w:bottom w:w="0" w:type="dxa"/>
            <w:right w:w="108" w:type="dxa"/>
          </w:tblCellMar>
        </w:tblPrEx>
        <w:trPr>
          <w:trHeight w:val="510"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墙面</w:t>
            </w: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墙面清抹</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无灰尘、无污点</w:t>
            </w:r>
          </w:p>
        </w:tc>
      </w:tr>
      <w:tr>
        <w:tblPrEx>
          <w:tblCellMar>
            <w:top w:w="0" w:type="dxa"/>
            <w:left w:w="108" w:type="dxa"/>
            <w:bottom w:w="0" w:type="dxa"/>
            <w:right w:w="108" w:type="dxa"/>
          </w:tblCellMar>
        </w:tblPrEx>
        <w:trPr>
          <w:trHeight w:val="495"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3</w:t>
            </w:r>
          </w:p>
        </w:tc>
        <w:tc>
          <w:tcPr>
            <w:tcW w:w="10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其它</w:t>
            </w: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地沟清理</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无污点、无垃圾、不堵塞</w:t>
            </w:r>
          </w:p>
        </w:tc>
      </w:tr>
      <w:tr>
        <w:tblPrEx>
          <w:tblCellMar>
            <w:top w:w="0" w:type="dxa"/>
            <w:left w:w="108" w:type="dxa"/>
            <w:bottom w:w="0" w:type="dxa"/>
            <w:right w:w="108" w:type="dxa"/>
          </w:tblCellMar>
        </w:tblPrEx>
        <w:trPr>
          <w:trHeight w:val="598"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开关清洁</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ascii="宋体" w:hAnsi="宋体" w:cs="宋体"/>
                <w:szCs w:val="21"/>
              </w:rPr>
            </w:pPr>
          </w:p>
        </w:tc>
      </w:tr>
      <w:tr>
        <w:tblPrEx>
          <w:tblCellMar>
            <w:top w:w="0" w:type="dxa"/>
            <w:left w:w="108" w:type="dxa"/>
            <w:bottom w:w="0" w:type="dxa"/>
            <w:right w:w="108" w:type="dxa"/>
          </w:tblCellMar>
        </w:tblPrEx>
        <w:trPr>
          <w:trHeight w:val="330" w:hRule="atLeast"/>
          <w:jc w:val="center"/>
        </w:trPr>
        <w:tc>
          <w:tcPr>
            <w:tcW w:w="99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外围</w:t>
            </w:r>
          </w:p>
        </w:tc>
        <w:tc>
          <w:tcPr>
            <w:tcW w:w="6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10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地面</w:t>
            </w: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去除油渍</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无油污</w:t>
            </w:r>
          </w:p>
        </w:tc>
      </w:tr>
      <w:tr>
        <w:tblPrEx>
          <w:tblCellMar>
            <w:top w:w="0" w:type="dxa"/>
            <w:left w:w="108" w:type="dxa"/>
            <w:bottom w:w="0" w:type="dxa"/>
            <w:right w:w="108" w:type="dxa"/>
          </w:tblCellMar>
        </w:tblPrEx>
        <w:trPr>
          <w:trHeight w:val="750"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地面清扫</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无垃圾、无积水、无落叶、整洁</w:t>
            </w:r>
          </w:p>
        </w:tc>
      </w:tr>
      <w:tr>
        <w:tblPrEx>
          <w:tblCellMar>
            <w:top w:w="0" w:type="dxa"/>
            <w:left w:w="108" w:type="dxa"/>
            <w:bottom w:w="0" w:type="dxa"/>
            <w:right w:w="108" w:type="dxa"/>
          </w:tblCellMar>
        </w:tblPrEx>
        <w:trPr>
          <w:trHeight w:val="285"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地面清洗</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ascii="宋体" w:hAnsi="宋体" w:cs="宋体"/>
                <w:szCs w:val="21"/>
              </w:rPr>
            </w:pPr>
          </w:p>
        </w:tc>
      </w:tr>
      <w:tr>
        <w:tblPrEx>
          <w:tblCellMar>
            <w:top w:w="0" w:type="dxa"/>
            <w:left w:w="108" w:type="dxa"/>
            <w:bottom w:w="0" w:type="dxa"/>
            <w:right w:w="108" w:type="dxa"/>
          </w:tblCellMar>
        </w:tblPrEx>
        <w:trPr>
          <w:trHeight w:val="1020"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玻璃</w:t>
            </w: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玻璃清洗</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无灰尘、无污点、无水印表面光亮</w:t>
            </w:r>
          </w:p>
        </w:tc>
      </w:tr>
      <w:tr>
        <w:tblPrEx>
          <w:tblCellMar>
            <w:top w:w="0" w:type="dxa"/>
            <w:left w:w="108" w:type="dxa"/>
            <w:bottom w:w="0" w:type="dxa"/>
            <w:right w:w="108" w:type="dxa"/>
          </w:tblCellMar>
        </w:tblPrEx>
        <w:trPr>
          <w:trHeight w:val="570"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3</w:t>
            </w:r>
          </w:p>
        </w:tc>
        <w:tc>
          <w:tcPr>
            <w:tcW w:w="10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植物</w:t>
            </w: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花盆清洁</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无灰尘、无污点</w:t>
            </w:r>
          </w:p>
        </w:tc>
      </w:tr>
      <w:tr>
        <w:tblPrEx>
          <w:tblCellMar>
            <w:top w:w="0" w:type="dxa"/>
            <w:left w:w="108" w:type="dxa"/>
            <w:bottom w:w="0" w:type="dxa"/>
            <w:right w:w="108" w:type="dxa"/>
          </w:tblCellMar>
        </w:tblPrEx>
        <w:trPr>
          <w:trHeight w:val="510"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花盆内垃圾清理</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无灰尘、无污点</w:t>
            </w:r>
          </w:p>
        </w:tc>
      </w:tr>
      <w:tr>
        <w:tblPrEx>
          <w:tblCellMar>
            <w:top w:w="0" w:type="dxa"/>
            <w:left w:w="108" w:type="dxa"/>
            <w:bottom w:w="0" w:type="dxa"/>
            <w:right w:w="108" w:type="dxa"/>
          </w:tblCellMar>
        </w:tblPrEx>
        <w:trPr>
          <w:trHeight w:val="1020"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花圃花槽内垃圾清理</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无垃圾、无灰尘、无污点、整洁</w:t>
            </w:r>
          </w:p>
        </w:tc>
      </w:tr>
      <w:tr>
        <w:tblPrEx>
          <w:tblCellMar>
            <w:top w:w="0" w:type="dxa"/>
            <w:left w:w="108" w:type="dxa"/>
            <w:bottom w:w="0" w:type="dxa"/>
            <w:right w:w="108" w:type="dxa"/>
          </w:tblCellMar>
        </w:tblPrEx>
        <w:trPr>
          <w:trHeight w:val="570"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4</w:t>
            </w:r>
          </w:p>
        </w:tc>
        <w:tc>
          <w:tcPr>
            <w:tcW w:w="10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垃圾桶</w:t>
            </w: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垃圾桶内垃圾清理</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不得超过容量的2/3</w:t>
            </w:r>
          </w:p>
        </w:tc>
      </w:tr>
      <w:tr>
        <w:tblPrEx>
          <w:tblCellMar>
            <w:top w:w="0" w:type="dxa"/>
            <w:left w:w="108" w:type="dxa"/>
            <w:bottom w:w="0" w:type="dxa"/>
            <w:right w:w="108" w:type="dxa"/>
          </w:tblCellMar>
        </w:tblPrEx>
        <w:trPr>
          <w:trHeight w:val="765"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垃圾桶外侧清洁</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无灰尘、无污点、表面光亮</w:t>
            </w:r>
          </w:p>
        </w:tc>
      </w:tr>
      <w:tr>
        <w:tblPrEx>
          <w:tblCellMar>
            <w:top w:w="0" w:type="dxa"/>
            <w:left w:w="108" w:type="dxa"/>
            <w:bottom w:w="0" w:type="dxa"/>
            <w:right w:w="108" w:type="dxa"/>
          </w:tblCellMar>
        </w:tblPrEx>
        <w:trPr>
          <w:trHeight w:val="510"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垃圾桶内侧清洁</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无灰尘、无污点</w:t>
            </w:r>
          </w:p>
        </w:tc>
      </w:tr>
      <w:tr>
        <w:tblPrEx>
          <w:tblCellMar>
            <w:top w:w="0" w:type="dxa"/>
            <w:left w:w="108" w:type="dxa"/>
            <w:bottom w:w="0" w:type="dxa"/>
            <w:right w:w="108" w:type="dxa"/>
          </w:tblCellMar>
        </w:tblPrEx>
        <w:trPr>
          <w:trHeight w:val="510"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5</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篮球场</w:t>
            </w: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地面清洗</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无大块垃圾</w:t>
            </w:r>
          </w:p>
        </w:tc>
      </w:tr>
      <w:tr>
        <w:tblPrEx>
          <w:tblCellMar>
            <w:top w:w="0" w:type="dxa"/>
            <w:left w:w="108" w:type="dxa"/>
            <w:bottom w:w="0" w:type="dxa"/>
            <w:right w:w="108" w:type="dxa"/>
          </w:tblCellMar>
        </w:tblPrEx>
        <w:trPr>
          <w:trHeight w:val="825"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6</w:t>
            </w:r>
          </w:p>
        </w:tc>
        <w:tc>
          <w:tcPr>
            <w:tcW w:w="10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其它</w:t>
            </w: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指示牌、凸镜的清洁</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无灰尘、无污点、表面光亮</w:t>
            </w:r>
          </w:p>
        </w:tc>
      </w:tr>
      <w:tr>
        <w:tblPrEx>
          <w:tblCellMar>
            <w:top w:w="0" w:type="dxa"/>
            <w:left w:w="108" w:type="dxa"/>
            <w:bottom w:w="0" w:type="dxa"/>
            <w:right w:w="108" w:type="dxa"/>
          </w:tblCellMar>
        </w:tblPrEx>
        <w:trPr>
          <w:trHeight w:val="765"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外围设施的清洁</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无灰尘、无污点、无垃圾</w:t>
            </w:r>
          </w:p>
        </w:tc>
      </w:tr>
      <w:tr>
        <w:tblPrEx>
          <w:tblCellMar>
            <w:top w:w="0" w:type="dxa"/>
            <w:left w:w="108" w:type="dxa"/>
            <w:bottom w:w="0" w:type="dxa"/>
            <w:right w:w="108" w:type="dxa"/>
          </w:tblCellMar>
        </w:tblPrEx>
        <w:trPr>
          <w:trHeight w:val="765"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地沟清洁</w:t>
            </w:r>
          </w:p>
        </w:tc>
        <w:tc>
          <w:tcPr>
            <w:tcW w:w="50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48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无淤泥、无垃圾、无堵塞</w:t>
            </w:r>
          </w:p>
        </w:tc>
      </w:tr>
      <w:tr>
        <w:tblPrEx>
          <w:tblCellMar>
            <w:top w:w="0" w:type="dxa"/>
            <w:left w:w="108" w:type="dxa"/>
            <w:bottom w:w="0" w:type="dxa"/>
            <w:right w:w="108" w:type="dxa"/>
          </w:tblCellMar>
        </w:tblPrEx>
        <w:trPr>
          <w:trHeight w:val="330" w:hRule="atLeast"/>
          <w:jc w:val="center"/>
        </w:trPr>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66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004"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cs="宋体"/>
                <w:szCs w:val="21"/>
              </w:rPr>
            </w:pPr>
          </w:p>
        </w:tc>
        <w:tc>
          <w:tcPr>
            <w:tcW w:w="1242"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外墙清洗</w:t>
            </w:r>
          </w:p>
        </w:tc>
        <w:tc>
          <w:tcPr>
            <w:tcW w:w="2672" w:type="dxa"/>
            <w:gridSpan w:val="5"/>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一年两次</w:t>
            </w:r>
          </w:p>
        </w:tc>
        <w:tc>
          <w:tcPr>
            <w:tcW w:w="17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无灰尘、无污点</w:t>
            </w:r>
          </w:p>
        </w:tc>
      </w:tr>
    </w:tbl>
    <w:p>
      <w:pPr>
        <w:spacing w:line="276" w:lineRule="auto"/>
        <w:jc w:val="left"/>
        <w:rPr>
          <w:rFonts w:ascii="宋体" w:hAnsi="宋体"/>
          <w:szCs w:val="21"/>
        </w:rPr>
      </w:pPr>
      <w:r>
        <w:rPr>
          <w:rFonts w:hint="eastAsia" w:ascii="宋体" w:hAnsi="宋体"/>
          <w:szCs w:val="21"/>
        </w:rPr>
        <w:t>备注：节假日或举办活动时须配备充足保洁员，及时跟进打扫，清理现场垃圾，保持环境清净卫生。</w:t>
      </w:r>
    </w:p>
    <w:p>
      <w:pPr>
        <w:spacing w:before="100" w:after="100" w:line="276" w:lineRule="auto"/>
        <w:jc w:val="left"/>
        <w:outlineLvl w:val="2"/>
        <w:rPr>
          <w:rFonts w:ascii="宋体" w:hAnsi="宋体"/>
          <w:szCs w:val="21"/>
        </w:rPr>
      </w:pPr>
      <w:r>
        <w:rPr>
          <w:rFonts w:hint="eastAsia" w:ascii="宋体" w:hAnsi="宋体"/>
          <w:szCs w:val="21"/>
        </w:rPr>
        <w:t>F、停车场、仓库、物业用房和机房日常清洁服务频率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669"/>
        <w:gridCol w:w="809"/>
        <w:gridCol w:w="1214"/>
        <w:gridCol w:w="672"/>
        <w:gridCol w:w="672"/>
        <w:gridCol w:w="537"/>
        <w:gridCol w:w="537"/>
        <w:gridCol w:w="537"/>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区域</w:t>
            </w:r>
          </w:p>
        </w:tc>
        <w:tc>
          <w:tcPr>
            <w:tcW w:w="66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序号</w:t>
            </w:r>
          </w:p>
        </w:tc>
        <w:tc>
          <w:tcPr>
            <w:tcW w:w="80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类别</w:t>
            </w: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工作内容</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时</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天</w:t>
            </w: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周</w:t>
            </w: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月</w:t>
            </w: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季</w:t>
            </w:r>
          </w:p>
        </w:tc>
        <w:tc>
          <w:tcPr>
            <w:tcW w:w="16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停车场</w:t>
            </w:r>
          </w:p>
        </w:tc>
        <w:tc>
          <w:tcPr>
            <w:tcW w:w="66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80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地面</w:t>
            </w: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地面清扫、去污</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6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无垃圾、无污渍、无灰尘、整洁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80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地面清洗</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6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无垃圾、无污渍、无灰尘、整洁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80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其它</w:t>
            </w: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指示牌清洁</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6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80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疏通地沟</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6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无淤泥、无垃圾、无堵塞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80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清洁地沟</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6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表面整洁并光亮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80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清理垃圾桶内垃圾</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6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不得超过容量的2/3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80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清洁垃圾桶表面</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循环</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6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80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清洁垃圾桶内侧</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6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物业用房、仓库和机房</w:t>
            </w:r>
          </w:p>
        </w:tc>
        <w:tc>
          <w:tcPr>
            <w:tcW w:w="66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80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地面</w:t>
            </w: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地面清拖</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6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无灰尘、无污渍、无垃圾、整洁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80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疏通地沟</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6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不堵塞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80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墙和天花板</w:t>
            </w: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清抹墙面和天花</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61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无蜘蛛网、无灰尘和污渍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3</w:t>
            </w:r>
          </w:p>
        </w:tc>
        <w:tc>
          <w:tcPr>
            <w:tcW w:w="80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门</w:t>
            </w: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清洁门、门框表面</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61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80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清洁把手</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61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4</w:t>
            </w:r>
          </w:p>
        </w:tc>
        <w:tc>
          <w:tcPr>
            <w:tcW w:w="80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其它</w:t>
            </w: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开关清洁</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617"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无灰尘、无污渍、无手印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6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80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灯具清洁</w:t>
            </w: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37"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617"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r>
    </w:tbl>
    <w:p>
      <w:pPr>
        <w:spacing w:line="276" w:lineRule="auto"/>
        <w:jc w:val="left"/>
        <w:rPr>
          <w:rFonts w:ascii="宋体" w:hAnsi="宋体"/>
          <w:szCs w:val="21"/>
        </w:rPr>
      </w:pPr>
      <w:r>
        <w:rPr>
          <w:rFonts w:hint="eastAsia" w:ascii="宋体" w:hAnsi="宋体"/>
          <w:szCs w:val="21"/>
        </w:rPr>
        <w:t>备注：所有机房内清洁工作必须由工程技术人员指导进行。</w:t>
      </w:r>
    </w:p>
    <w:p>
      <w:pPr>
        <w:spacing w:before="100" w:after="100" w:line="276" w:lineRule="auto"/>
        <w:jc w:val="left"/>
        <w:outlineLvl w:val="2"/>
        <w:rPr>
          <w:rFonts w:ascii="宋体" w:hAnsi="宋体"/>
          <w:szCs w:val="21"/>
        </w:rPr>
      </w:pPr>
      <w:r>
        <w:rPr>
          <w:rFonts w:hint="eastAsia" w:ascii="宋体" w:hAnsi="宋体"/>
          <w:szCs w:val="21"/>
        </w:rPr>
        <w:t>G、附楼休息室日常清洁服务频率</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759"/>
        <w:gridCol w:w="1271"/>
        <w:gridCol w:w="774"/>
        <w:gridCol w:w="552"/>
        <w:gridCol w:w="701"/>
        <w:gridCol w:w="643"/>
        <w:gridCol w:w="594"/>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区域</w:t>
            </w:r>
          </w:p>
        </w:tc>
        <w:tc>
          <w:tcPr>
            <w:tcW w:w="75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序号</w:t>
            </w:r>
          </w:p>
        </w:tc>
        <w:tc>
          <w:tcPr>
            <w:tcW w:w="127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工作内容</w:t>
            </w:r>
          </w:p>
        </w:tc>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时</w:t>
            </w:r>
          </w:p>
        </w:tc>
        <w:tc>
          <w:tcPr>
            <w:tcW w:w="55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天</w:t>
            </w: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周</w:t>
            </w:r>
          </w:p>
        </w:tc>
        <w:tc>
          <w:tcPr>
            <w:tcW w:w="64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月</w:t>
            </w:r>
          </w:p>
        </w:tc>
        <w:tc>
          <w:tcPr>
            <w:tcW w:w="59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季</w:t>
            </w:r>
          </w:p>
        </w:tc>
        <w:tc>
          <w:tcPr>
            <w:tcW w:w="197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19" w:type="dxa"/>
            <w:vMerge w:val="restart"/>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szCs w:val="21"/>
              </w:rPr>
              <w:t>附楼1、2、3休息室</w:t>
            </w:r>
          </w:p>
        </w:tc>
        <w:tc>
          <w:tcPr>
            <w:tcW w:w="75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127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更换布草</w:t>
            </w:r>
          </w:p>
        </w:tc>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64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9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97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5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127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家具清洁</w:t>
            </w:r>
          </w:p>
        </w:tc>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64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9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97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5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3</w:t>
            </w:r>
          </w:p>
        </w:tc>
        <w:tc>
          <w:tcPr>
            <w:tcW w:w="127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天花板</w:t>
            </w:r>
          </w:p>
        </w:tc>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4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9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197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无污点、无积聚灰尘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5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4</w:t>
            </w:r>
          </w:p>
        </w:tc>
        <w:tc>
          <w:tcPr>
            <w:tcW w:w="127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排气扇、风口清洁</w:t>
            </w:r>
          </w:p>
        </w:tc>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64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9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197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5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5</w:t>
            </w:r>
          </w:p>
        </w:tc>
        <w:tc>
          <w:tcPr>
            <w:tcW w:w="127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全面清洁消毒</w:t>
            </w:r>
          </w:p>
        </w:tc>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64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9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97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无污点、无气味、无水印、表面光亮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5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6</w:t>
            </w:r>
          </w:p>
        </w:tc>
        <w:tc>
          <w:tcPr>
            <w:tcW w:w="127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玻璃清洗</w:t>
            </w:r>
          </w:p>
        </w:tc>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64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9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97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无污点、无水印、表面光亮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5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7</w:t>
            </w:r>
          </w:p>
        </w:tc>
        <w:tc>
          <w:tcPr>
            <w:tcW w:w="127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墙面清洁</w:t>
            </w:r>
          </w:p>
        </w:tc>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64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9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97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表面无水印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5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8</w:t>
            </w:r>
          </w:p>
        </w:tc>
        <w:tc>
          <w:tcPr>
            <w:tcW w:w="127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马桶、小便池清洁、消毒</w:t>
            </w:r>
          </w:p>
        </w:tc>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64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9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97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无污点、无气味、无水印、表面光亮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5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9</w:t>
            </w:r>
          </w:p>
        </w:tc>
        <w:tc>
          <w:tcPr>
            <w:tcW w:w="127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洗手盆和镜子的清洁</w:t>
            </w:r>
          </w:p>
        </w:tc>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64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9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97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无污点、无水印、表面光亮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5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10</w:t>
            </w:r>
          </w:p>
        </w:tc>
        <w:tc>
          <w:tcPr>
            <w:tcW w:w="127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地面清洁</w:t>
            </w:r>
          </w:p>
        </w:tc>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64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9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97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无垃圾、无水印、无污点、表面光亮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5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11</w:t>
            </w:r>
          </w:p>
        </w:tc>
        <w:tc>
          <w:tcPr>
            <w:tcW w:w="127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清理垃圾，更换垃圾袋</w:t>
            </w:r>
          </w:p>
        </w:tc>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64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9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97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不得超过容量的2/3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0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5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12</w:t>
            </w:r>
          </w:p>
        </w:tc>
        <w:tc>
          <w:tcPr>
            <w:tcW w:w="127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门及门框的清洁</w:t>
            </w:r>
          </w:p>
        </w:tc>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64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9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97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无积聚灰尘、保持干净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19"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75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13</w:t>
            </w:r>
          </w:p>
        </w:tc>
        <w:tc>
          <w:tcPr>
            <w:tcW w:w="127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清洁把手及门锁</w:t>
            </w:r>
          </w:p>
        </w:tc>
        <w:tc>
          <w:tcPr>
            <w:tcW w:w="77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5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701"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64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59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1978"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276" w:lineRule="auto"/>
              <w:rPr>
                <w:rFonts w:ascii="宋体" w:hAnsi="宋体" w:cs="宋体"/>
                <w:szCs w:val="21"/>
              </w:rPr>
            </w:pPr>
            <w:r>
              <w:rPr>
                <w:rFonts w:hint="eastAsia" w:ascii="宋体" w:hAnsi="宋体" w:cs="宋体"/>
                <w:szCs w:val="21"/>
              </w:rPr>
              <w:t>保持表面光亮、无水印</w:t>
            </w:r>
          </w:p>
        </w:tc>
      </w:tr>
    </w:tbl>
    <w:p>
      <w:pPr>
        <w:spacing w:line="276" w:lineRule="auto"/>
        <w:ind w:firstLine="567"/>
        <w:jc w:val="left"/>
        <w:outlineLvl w:val="1"/>
        <w:rPr>
          <w:rFonts w:ascii="宋体" w:hAnsi="宋体"/>
          <w:szCs w:val="21"/>
        </w:rPr>
      </w:pPr>
      <w:r>
        <w:rPr>
          <w:rFonts w:hint="eastAsia" w:ascii="宋体" w:hAnsi="宋体"/>
          <w:b/>
          <w:bCs/>
          <w:sz w:val="18"/>
          <w:szCs w:val="18"/>
        </w:rPr>
        <w:t>（四）室内绿化、室内摆设植物的养护和管理以及大院环境美容美化及整理规范</w:t>
      </w:r>
    </w:p>
    <w:p>
      <w:pPr>
        <w:spacing w:beforeLines="50" w:line="276" w:lineRule="auto"/>
        <w:ind w:left="-141" w:leftChars="-67" w:firstLine="567"/>
        <w:jc w:val="left"/>
        <w:rPr>
          <w:rFonts w:ascii="宋体" w:hAnsi="宋体"/>
          <w:szCs w:val="21"/>
        </w:rPr>
      </w:pPr>
      <w:r>
        <w:rPr>
          <w:rFonts w:hint="eastAsia" w:ascii="宋体" w:hAnsi="宋体"/>
          <w:szCs w:val="21"/>
        </w:rPr>
        <w:t>绿化管理：本项目的绿化管理范围包括所有室内摆设植物、室外的绿地、花木等的养护和管理以及室外园林的绿化、美容、清洁卫生及植物的养护管理工作。</w:t>
      </w:r>
    </w:p>
    <w:p>
      <w:pPr>
        <w:spacing w:beforeLines="50" w:line="276" w:lineRule="auto"/>
        <w:ind w:left="-141" w:leftChars="-67" w:firstLine="567"/>
        <w:jc w:val="left"/>
        <w:rPr>
          <w:rFonts w:ascii="宋体" w:hAnsi="宋体"/>
          <w:szCs w:val="21"/>
        </w:rPr>
      </w:pPr>
      <w:r>
        <w:rPr>
          <w:rFonts w:hint="eastAsia" w:ascii="宋体" w:hAnsi="宋体"/>
          <w:szCs w:val="21"/>
        </w:rPr>
        <w:t>中标人应安排不少于</w:t>
      </w:r>
      <w:r>
        <w:rPr>
          <w:rFonts w:hint="eastAsia" w:ascii="宋体" w:hAnsi="宋体"/>
          <w:szCs w:val="21"/>
          <w:highlight w:val="red"/>
        </w:rPr>
        <w:t>1个岗位专职负责</w:t>
      </w:r>
      <w:r>
        <w:rPr>
          <w:rFonts w:hint="eastAsia" w:ascii="宋体" w:hAnsi="宋体"/>
          <w:szCs w:val="21"/>
        </w:rPr>
        <w:t>园林的绿化、美容、清洁卫生及室内摆设植物的养护管理工作。</w:t>
      </w:r>
    </w:p>
    <w:p>
      <w:pPr>
        <w:spacing w:beforeLines="50" w:line="276" w:lineRule="auto"/>
        <w:ind w:left="-141" w:leftChars="-67" w:firstLine="567"/>
        <w:jc w:val="left"/>
        <w:rPr>
          <w:rFonts w:ascii="宋体" w:hAnsi="宋体"/>
          <w:szCs w:val="21"/>
        </w:rPr>
      </w:pPr>
      <w:r>
        <w:rPr>
          <w:rFonts w:hint="eastAsia" w:ascii="宋体" w:hAnsi="宋体"/>
          <w:szCs w:val="21"/>
        </w:rPr>
        <w:t>本项目的室内室外绿化、美容、清洁卫生养护和管理由中标人承担相关费用，费用按实际发生据实按月列支。</w:t>
      </w:r>
    </w:p>
    <w:p>
      <w:pPr>
        <w:spacing w:beforeLines="50" w:line="276" w:lineRule="auto"/>
        <w:ind w:left="-141" w:leftChars="-67" w:firstLine="567"/>
        <w:jc w:val="left"/>
        <w:rPr>
          <w:rFonts w:ascii="宋体" w:hAnsi="宋体"/>
          <w:szCs w:val="21"/>
        </w:rPr>
      </w:pPr>
      <w:r>
        <w:rPr>
          <w:rFonts w:hint="eastAsia" w:ascii="宋体" w:hAnsi="宋体"/>
          <w:szCs w:val="21"/>
        </w:rPr>
        <w:t>中标人应加强对楼内所有绿化植物的日常管理与养护和对室外园林内所有绿化植物的日常管理与养护，保持无病虫、无黄叶、无脏物、造型优美，切实做到绿化环境整洁、美好。对于绿化植物应叶片茂盛，枝条均匀，花朵鲜艳，无病虫害，成活率达95%以上，绿化完好率达98%以上，切实做好整个项目范围内的各类室内绿化植物(含室内摆设植物)的日常养护、清洁卫生和定期更换等工作。创造优美、舒适的工作、办事环境。</w:t>
      </w:r>
    </w:p>
    <w:p>
      <w:pPr>
        <w:spacing w:beforeLines="50" w:line="276" w:lineRule="auto"/>
        <w:ind w:left="-141" w:leftChars="-67" w:firstLine="567"/>
        <w:jc w:val="left"/>
        <w:rPr>
          <w:rFonts w:ascii="宋体" w:hAnsi="宋体"/>
          <w:szCs w:val="21"/>
        </w:rPr>
      </w:pPr>
      <w:r>
        <w:rPr>
          <w:rFonts w:hint="eastAsia" w:ascii="宋体" w:hAnsi="宋体"/>
          <w:szCs w:val="21"/>
        </w:rPr>
        <w:t>中标人应经常了解采购人对绿化工作的意见，使客户满意度达到95%以上，有效投诉率不超过1起/月，及时处理率100%，符合行业绿化养护标准。</w:t>
      </w:r>
    </w:p>
    <w:bookmarkEnd w:id="62"/>
    <w:bookmarkEnd w:id="63"/>
    <w:p>
      <w:pPr>
        <w:pStyle w:val="2"/>
      </w:pPr>
      <w:bookmarkStart w:id="64" w:name="_Toc377552360"/>
      <w:bookmarkStart w:id="65" w:name="_Toc126262562"/>
    </w:p>
    <w:p>
      <w:pPr>
        <w:spacing w:line="276" w:lineRule="auto"/>
        <w:ind w:firstLine="567"/>
        <w:jc w:val="left"/>
        <w:outlineLvl w:val="1"/>
        <w:rPr>
          <w:rFonts w:ascii="宋体" w:hAnsi="宋体"/>
          <w:b/>
          <w:bCs/>
          <w:sz w:val="18"/>
          <w:szCs w:val="18"/>
        </w:rPr>
      </w:pPr>
      <w:r>
        <w:rPr>
          <w:rFonts w:hint="eastAsia" w:ascii="宋体" w:hAnsi="宋体"/>
          <w:b/>
          <w:bCs/>
          <w:sz w:val="18"/>
          <w:szCs w:val="18"/>
        </w:rPr>
        <w:t>（五）物业设施设备维护和管理</w:t>
      </w:r>
    </w:p>
    <w:p>
      <w:pPr>
        <w:spacing w:line="276" w:lineRule="auto"/>
        <w:ind w:left="-141" w:leftChars="-67" w:firstLine="567"/>
        <w:jc w:val="left"/>
        <w:outlineLvl w:val="2"/>
        <w:rPr>
          <w:rFonts w:ascii="宋体" w:hAnsi="宋体"/>
          <w:color w:val="000000"/>
          <w:szCs w:val="21"/>
        </w:rPr>
      </w:pPr>
      <w:r>
        <w:rPr>
          <w:rFonts w:hint="eastAsia" w:ascii="宋体" w:hAnsi="宋体"/>
          <w:color w:val="000000"/>
          <w:szCs w:val="21"/>
        </w:rPr>
        <w:t>1、中标人管理要求：</w:t>
      </w:r>
    </w:p>
    <w:p>
      <w:pPr>
        <w:spacing w:beforeLines="50" w:line="276" w:lineRule="auto"/>
        <w:ind w:left="-141" w:leftChars="-67" w:firstLine="567"/>
        <w:jc w:val="left"/>
        <w:rPr>
          <w:rFonts w:ascii="宋体" w:hAnsi="宋体"/>
          <w:color w:val="000000"/>
          <w:szCs w:val="21"/>
        </w:rPr>
      </w:pPr>
      <w:r>
        <w:rPr>
          <w:rFonts w:hint="eastAsia" w:ascii="宋体" w:hAnsi="宋体" w:cs="宋体"/>
          <w:color w:val="000000"/>
          <w:spacing w:val="-2"/>
          <w:szCs w:val="21"/>
        </w:rPr>
        <w:t>▲</w:t>
      </w:r>
      <w:r>
        <w:rPr>
          <w:rFonts w:hint="eastAsia" w:ascii="宋体" w:hAnsi="宋体"/>
          <w:color w:val="000000"/>
          <w:szCs w:val="21"/>
        </w:rPr>
        <w:t>（1）物业设施设备的使用、维护和管理的范围包括国家税务总局阳江高新技术产业开发区税务局位于</w:t>
      </w:r>
      <w:r>
        <w:rPr>
          <w:rFonts w:hint="eastAsia" w:ascii="宋体" w:hAnsi="宋体" w:cs="仿宋_GB2312"/>
          <w:color w:val="000000"/>
          <w:szCs w:val="21"/>
        </w:rPr>
        <w:t>广东省阳江市江城区平冈镇政德路西2号、西7号及平冈镇兴业街附楼</w:t>
      </w:r>
      <w:r>
        <w:rPr>
          <w:rFonts w:hint="eastAsia" w:ascii="宋体" w:hAnsi="宋体"/>
          <w:color w:val="000000"/>
          <w:szCs w:val="21"/>
        </w:rPr>
        <w:t>的给排水系统、电器系统、空调通风系统和燃气设备等。设施设备的日常维护由中标人负责，专业保养工作必须由有资质人员进行实施，相关作业人员（包括但不限于电工、空调维修、消防设施维护、电梯维保人员）必须按国家相关规定持证上岗。</w:t>
      </w:r>
    </w:p>
    <w:p>
      <w:pPr>
        <w:spacing w:beforeLines="50" w:line="276" w:lineRule="auto"/>
        <w:ind w:left="-141" w:leftChars="-67" w:firstLine="567"/>
        <w:jc w:val="left"/>
        <w:rPr>
          <w:rFonts w:ascii="宋体" w:hAnsi="宋体"/>
          <w:szCs w:val="21"/>
        </w:rPr>
      </w:pPr>
      <w:r>
        <w:rPr>
          <w:rFonts w:hint="eastAsia" w:ascii="宋体" w:hAnsi="宋体" w:cs="宋体"/>
          <w:color w:val="000000"/>
          <w:spacing w:val="-2"/>
          <w:szCs w:val="21"/>
        </w:rPr>
        <w:t>▲</w:t>
      </w:r>
      <w:r>
        <w:rPr>
          <w:rFonts w:hint="eastAsia" w:ascii="宋体" w:hAnsi="宋体"/>
          <w:color w:val="000000"/>
          <w:szCs w:val="21"/>
        </w:rPr>
        <w:t>（2）制定消防管理制度，消防中心安排24小时专业专职人员管理，持证上岗，经常巡视检查消防系统设备和设施，发现问题</w:t>
      </w:r>
      <w:r>
        <w:rPr>
          <w:rFonts w:hint="eastAsia" w:ascii="宋体" w:hAnsi="宋体"/>
          <w:szCs w:val="21"/>
        </w:rPr>
        <w:t>及时检修。保证设备完好，处于有效状态，能够运行正常，做到符合阳江消防部门对消防系统的所有规范要求。每月需向采购人提供消防检查报告。制定培训计划，每月对本项目相关人员进行消防技能培训，每年开展一次由消防专业培训机构人员主讲的消防安全培训讲座和消防实操演练，费用由中标人承担。</w:t>
      </w:r>
    </w:p>
    <w:p>
      <w:pPr>
        <w:spacing w:beforeLines="50" w:line="276" w:lineRule="auto"/>
        <w:ind w:left="-141" w:leftChars="-67" w:firstLine="567"/>
        <w:jc w:val="left"/>
        <w:rPr>
          <w:rFonts w:ascii="宋体" w:hAnsi="宋体"/>
          <w:szCs w:val="21"/>
        </w:rPr>
      </w:pPr>
      <w:r>
        <w:rPr>
          <w:rFonts w:hint="eastAsia" w:ascii="宋体" w:hAnsi="宋体" w:cs="宋体"/>
          <w:spacing w:val="-2"/>
          <w:szCs w:val="21"/>
        </w:rPr>
        <w:t>▲</w:t>
      </w:r>
      <w:r>
        <w:rPr>
          <w:rFonts w:hint="eastAsia" w:ascii="宋体" w:hAnsi="宋体"/>
          <w:szCs w:val="21"/>
        </w:rPr>
        <w:t>（3）建立严密的电梯安全运行和维修保养制度，一个月两次对电梯的运行情况进行检查并做好记录。同时按照有关部门规定按时做好电梯年检工作。年检费由中标人支付。中标人应对本项目的工程人员进行电梯事故应急处理培训。</w:t>
      </w:r>
    </w:p>
    <w:p>
      <w:pPr>
        <w:spacing w:beforeLines="50" w:line="276" w:lineRule="auto"/>
        <w:ind w:left="-141" w:leftChars="-67" w:firstLine="567"/>
        <w:jc w:val="left"/>
        <w:rPr>
          <w:rFonts w:ascii="宋体" w:hAnsi="宋体"/>
          <w:szCs w:val="21"/>
        </w:rPr>
      </w:pPr>
      <w:r>
        <w:rPr>
          <w:rFonts w:hint="eastAsia" w:ascii="宋体" w:hAnsi="宋体" w:cs="宋体"/>
          <w:spacing w:val="-2"/>
          <w:szCs w:val="21"/>
        </w:rPr>
        <w:t>▲</w:t>
      </w:r>
      <w:r>
        <w:rPr>
          <w:rFonts w:hint="eastAsia" w:ascii="宋体" w:hAnsi="宋体"/>
          <w:szCs w:val="21"/>
        </w:rPr>
        <w:t>（4）实行配电机房24小时值班制度。严格按章操作，高压电的操作必须按行业相关操作标准进行操作。每年需向采购人提供符合供电部门要求的合格的年检报告。</w:t>
      </w:r>
    </w:p>
    <w:p>
      <w:pPr>
        <w:spacing w:beforeLines="50" w:line="276" w:lineRule="auto"/>
        <w:ind w:left="-141" w:leftChars="-67" w:firstLine="567"/>
        <w:jc w:val="left"/>
        <w:rPr>
          <w:rFonts w:ascii="宋体" w:hAnsi="宋体"/>
          <w:szCs w:val="21"/>
        </w:rPr>
      </w:pPr>
      <w:r>
        <w:rPr>
          <w:rFonts w:hint="eastAsia" w:ascii="宋体" w:hAnsi="宋体" w:cs="宋体"/>
          <w:spacing w:val="-2"/>
          <w:szCs w:val="21"/>
        </w:rPr>
        <w:t>▲</w:t>
      </w:r>
      <w:r>
        <w:rPr>
          <w:rFonts w:hint="eastAsia" w:ascii="宋体" w:hAnsi="宋体"/>
          <w:szCs w:val="21"/>
        </w:rPr>
        <w:t>（5）制定各类突发事件的应急预案，出现突发事故，中标人应严格按照预案进行处理。若因突发事件处理不及时，造成损失，由中标人承担责任。</w:t>
      </w:r>
    </w:p>
    <w:p>
      <w:pPr>
        <w:spacing w:beforeLines="50" w:line="276" w:lineRule="auto"/>
        <w:ind w:left="-141" w:leftChars="-67" w:firstLine="567"/>
        <w:jc w:val="left"/>
        <w:rPr>
          <w:rFonts w:ascii="宋体" w:hAnsi="宋体"/>
          <w:szCs w:val="21"/>
        </w:rPr>
      </w:pPr>
      <w:r>
        <w:rPr>
          <w:rFonts w:hint="eastAsia" w:ascii="宋体" w:hAnsi="宋体" w:cs="宋体"/>
          <w:spacing w:val="-2"/>
          <w:szCs w:val="21"/>
        </w:rPr>
        <w:t>▲</w:t>
      </w:r>
      <w:r>
        <w:rPr>
          <w:rFonts w:hint="eastAsia" w:ascii="宋体" w:hAnsi="宋体"/>
          <w:szCs w:val="21"/>
        </w:rPr>
        <w:t>（6）中标人进场后，要求尽快熟悉设备，并制定对各专业设备的操作流程，任何人员均应严格按照规程操作。如果违反规程操作，造成的后果将由中标人承担全部责任。</w:t>
      </w:r>
    </w:p>
    <w:p>
      <w:pPr>
        <w:spacing w:beforeLines="50" w:line="276" w:lineRule="auto"/>
        <w:ind w:left="-141" w:leftChars="-67" w:firstLine="567"/>
        <w:jc w:val="left"/>
        <w:rPr>
          <w:rFonts w:ascii="宋体" w:hAnsi="宋体"/>
          <w:szCs w:val="21"/>
        </w:rPr>
      </w:pPr>
      <w:r>
        <w:rPr>
          <w:rFonts w:hint="eastAsia" w:ascii="宋体" w:hAnsi="宋体" w:cs="宋体"/>
          <w:spacing w:val="-2"/>
          <w:szCs w:val="21"/>
        </w:rPr>
        <w:t>▲</w:t>
      </w:r>
      <w:r>
        <w:rPr>
          <w:rFonts w:hint="eastAsia" w:ascii="宋体" w:hAnsi="宋体"/>
          <w:szCs w:val="21"/>
        </w:rPr>
        <w:t>（7）中标人应处理、协调好涉及采购人物业管理相关职能部门的工作关系，如供电局、消防局、市政道路、安监局及其他相关部门。</w:t>
      </w:r>
    </w:p>
    <w:p>
      <w:pPr>
        <w:spacing w:line="276" w:lineRule="auto"/>
        <w:ind w:left="-141" w:leftChars="-67" w:firstLine="567"/>
        <w:jc w:val="left"/>
        <w:outlineLvl w:val="2"/>
        <w:rPr>
          <w:rFonts w:ascii="宋体" w:hAnsi="宋体"/>
          <w:szCs w:val="21"/>
        </w:rPr>
      </w:pPr>
      <w:r>
        <w:rPr>
          <w:rFonts w:hint="eastAsia" w:ascii="宋体" w:hAnsi="宋体"/>
          <w:szCs w:val="21"/>
        </w:rPr>
        <w:t>2、房屋公共设施管理检查范围：房屋的内、外墙面、围墙、楼梯间、走廊通道、设备机房、门厅、门窗、屋面、及公共区域内的道路和所有公共设施设备。公用设施维修养护具体要求如下表：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6"/>
        <w:gridCol w:w="1071"/>
        <w:gridCol w:w="801"/>
        <w:gridCol w:w="668"/>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6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序号</w:t>
            </w:r>
          </w:p>
        </w:tc>
        <w:tc>
          <w:tcPr>
            <w:tcW w:w="107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项目</w:t>
            </w:r>
          </w:p>
        </w:tc>
        <w:tc>
          <w:tcPr>
            <w:tcW w:w="80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时间</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次数</w:t>
            </w:r>
          </w:p>
        </w:tc>
        <w:tc>
          <w:tcPr>
            <w:tcW w:w="513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维修养护内容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107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路面路基</w:t>
            </w:r>
          </w:p>
        </w:tc>
        <w:tc>
          <w:tcPr>
            <w:tcW w:w="80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每周</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37"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1．检查路面有无积水。</w:t>
            </w:r>
          </w:p>
          <w:p>
            <w:pPr>
              <w:spacing w:line="276" w:lineRule="auto"/>
              <w:rPr>
                <w:rFonts w:ascii="宋体" w:hAnsi="宋体" w:cs="宋体"/>
                <w:szCs w:val="21"/>
              </w:rPr>
            </w:pPr>
            <w:r>
              <w:rPr>
                <w:rFonts w:hint="eastAsia" w:ascii="宋体" w:hAnsi="宋体" w:cs="宋体"/>
                <w:szCs w:val="21"/>
              </w:rPr>
              <w:t>2．检查道路路面有无起壳、地鼓、裂缝。</w:t>
            </w:r>
          </w:p>
          <w:p>
            <w:pPr>
              <w:spacing w:line="276" w:lineRule="auto"/>
              <w:rPr>
                <w:rFonts w:ascii="宋体" w:hAnsi="宋体" w:cs="宋体"/>
                <w:szCs w:val="21"/>
              </w:rPr>
            </w:pPr>
            <w:r>
              <w:rPr>
                <w:rFonts w:hint="eastAsia" w:ascii="宋体" w:hAnsi="宋体" w:cs="宋体"/>
                <w:szCs w:val="21"/>
              </w:rPr>
              <w:t>3．检查路基有无塌陷。</w:t>
            </w:r>
          </w:p>
          <w:p>
            <w:pPr>
              <w:spacing w:line="276" w:lineRule="auto"/>
              <w:rPr>
                <w:rFonts w:ascii="宋体" w:hAnsi="宋体" w:cs="宋体"/>
                <w:szCs w:val="21"/>
              </w:rPr>
            </w:pPr>
            <w:r>
              <w:rPr>
                <w:rFonts w:hint="eastAsia" w:ascii="宋体" w:hAnsi="宋体" w:cs="宋体"/>
                <w:szCs w:val="21"/>
              </w:rPr>
              <w:t>4．发现异常及时处理或修复。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16"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2</w:t>
            </w:r>
          </w:p>
        </w:tc>
        <w:tc>
          <w:tcPr>
            <w:tcW w:w="1071"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路灯及线路</w:t>
            </w:r>
          </w:p>
        </w:tc>
        <w:tc>
          <w:tcPr>
            <w:tcW w:w="80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每日</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37"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检查灯具完好情况，即坏即修。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071"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80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每周</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37"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1．检查玻璃灯罩有无破损。</w:t>
            </w:r>
          </w:p>
          <w:p>
            <w:pPr>
              <w:spacing w:line="276" w:lineRule="auto"/>
              <w:rPr>
                <w:rFonts w:ascii="宋体" w:hAnsi="宋体" w:cs="宋体"/>
                <w:szCs w:val="21"/>
              </w:rPr>
            </w:pPr>
            <w:r>
              <w:rPr>
                <w:rFonts w:hint="eastAsia" w:ascii="宋体" w:hAnsi="宋体" w:cs="宋体"/>
                <w:szCs w:val="21"/>
              </w:rPr>
              <w:t>2．检查有无金属灯架松脱现象。</w:t>
            </w:r>
          </w:p>
          <w:p>
            <w:pPr>
              <w:spacing w:line="276" w:lineRule="auto"/>
              <w:rPr>
                <w:rFonts w:ascii="宋体" w:hAnsi="宋体" w:cs="宋体"/>
                <w:szCs w:val="21"/>
              </w:rPr>
            </w:pPr>
            <w:r>
              <w:rPr>
                <w:rFonts w:hint="eastAsia" w:ascii="宋体" w:hAnsi="宋体" w:cs="宋体"/>
                <w:szCs w:val="21"/>
              </w:rPr>
              <w:t>3．灯口、灯栅有无损坏。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071"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80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每季</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37"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1．检查路灯线路有无漏电、短路烧毁现象。</w:t>
            </w:r>
          </w:p>
          <w:p>
            <w:pPr>
              <w:spacing w:line="276" w:lineRule="auto"/>
              <w:rPr>
                <w:rFonts w:ascii="宋体" w:hAnsi="宋体" w:cs="宋体"/>
                <w:szCs w:val="21"/>
              </w:rPr>
            </w:pPr>
            <w:r>
              <w:rPr>
                <w:rFonts w:hint="eastAsia" w:ascii="宋体" w:hAnsi="宋体" w:cs="宋体"/>
                <w:szCs w:val="21"/>
              </w:rPr>
              <w:t>2．检查金属灯架有无锈蚀。</w:t>
            </w:r>
          </w:p>
          <w:p>
            <w:pPr>
              <w:spacing w:line="276" w:lineRule="auto"/>
              <w:rPr>
                <w:rFonts w:ascii="宋体" w:hAnsi="宋体" w:cs="宋体"/>
                <w:szCs w:val="21"/>
              </w:rPr>
            </w:pPr>
            <w:r>
              <w:rPr>
                <w:rFonts w:hint="eastAsia" w:ascii="宋体" w:hAnsi="宋体" w:cs="宋体"/>
                <w:szCs w:val="21"/>
              </w:rPr>
              <w:t>3．发现异常即时处理或修复。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071"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80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每半年</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37"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1．检查油漆灯具支架。</w:t>
            </w:r>
          </w:p>
          <w:p>
            <w:pPr>
              <w:spacing w:line="276" w:lineRule="auto"/>
              <w:rPr>
                <w:rFonts w:ascii="宋体" w:hAnsi="宋体" w:cs="宋体"/>
                <w:szCs w:val="21"/>
              </w:rPr>
            </w:pPr>
            <w:r>
              <w:rPr>
                <w:rFonts w:hint="eastAsia" w:ascii="宋体" w:hAnsi="宋体" w:cs="宋体"/>
                <w:szCs w:val="21"/>
              </w:rPr>
              <w:t>2．检查路灯线路有无老化现象。</w:t>
            </w:r>
          </w:p>
          <w:p>
            <w:pPr>
              <w:spacing w:line="276" w:lineRule="auto"/>
              <w:rPr>
                <w:rFonts w:ascii="宋体" w:hAnsi="宋体" w:cs="宋体"/>
                <w:szCs w:val="21"/>
              </w:rPr>
            </w:pPr>
            <w:r>
              <w:rPr>
                <w:rFonts w:hint="eastAsia" w:ascii="宋体" w:hAnsi="宋体" w:cs="宋体"/>
                <w:szCs w:val="21"/>
              </w:rPr>
              <w:t>3．检查油漆灯具线管。</w:t>
            </w:r>
          </w:p>
          <w:p>
            <w:pPr>
              <w:spacing w:line="276" w:lineRule="auto"/>
              <w:rPr>
                <w:rFonts w:ascii="宋体" w:hAnsi="宋体" w:cs="宋体"/>
                <w:szCs w:val="21"/>
              </w:rPr>
            </w:pPr>
            <w:r>
              <w:rPr>
                <w:rFonts w:hint="eastAsia" w:ascii="宋体" w:hAnsi="宋体" w:cs="宋体"/>
                <w:szCs w:val="21"/>
              </w:rPr>
              <w:t>4．发现灯具外露金属软管锈蚀，需要及时更换。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w:t>
            </w:r>
          </w:p>
        </w:tc>
        <w:tc>
          <w:tcPr>
            <w:tcW w:w="107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停车场、主、附楼大院道闸及路面检查</w:t>
            </w:r>
          </w:p>
        </w:tc>
        <w:tc>
          <w:tcPr>
            <w:tcW w:w="80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每日</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37"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1．检查主、附楼大院路面有无积水，是否存在异常渗漏及开裂。</w:t>
            </w:r>
          </w:p>
          <w:p>
            <w:pPr>
              <w:spacing w:line="276" w:lineRule="auto"/>
              <w:rPr>
                <w:rFonts w:ascii="宋体" w:hAnsi="宋体" w:cs="宋体"/>
                <w:szCs w:val="21"/>
              </w:rPr>
            </w:pPr>
            <w:r>
              <w:rPr>
                <w:rFonts w:hint="eastAsia" w:ascii="宋体" w:hAnsi="宋体" w:cs="宋体"/>
                <w:szCs w:val="21"/>
              </w:rPr>
              <w:t>2．检查停车场地面有无起壳、地鼓、裂缝。</w:t>
            </w:r>
          </w:p>
          <w:p>
            <w:pPr>
              <w:spacing w:line="276" w:lineRule="auto"/>
              <w:rPr>
                <w:rFonts w:ascii="宋体" w:hAnsi="宋体" w:cs="宋体"/>
                <w:szCs w:val="21"/>
              </w:rPr>
            </w:pPr>
            <w:r>
              <w:rPr>
                <w:rFonts w:hint="eastAsia" w:ascii="宋体" w:hAnsi="宋体" w:cs="宋体"/>
                <w:szCs w:val="21"/>
              </w:rPr>
              <w:t>3．检查道闸及读卡登记系统是否正常运作。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16"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4</w:t>
            </w:r>
          </w:p>
        </w:tc>
        <w:tc>
          <w:tcPr>
            <w:tcW w:w="1071"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沟渠池井</w:t>
            </w:r>
          </w:p>
        </w:tc>
        <w:tc>
          <w:tcPr>
            <w:tcW w:w="80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每周</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37"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1．检查沟、渠有无堵塞现象，如有异常及时疏通。</w:t>
            </w:r>
          </w:p>
          <w:p>
            <w:pPr>
              <w:spacing w:line="276" w:lineRule="auto"/>
              <w:rPr>
                <w:rFonts w:ascii="宋体" w:hAnsi="宋体" w:cs="宋体"/>
                <w:szCs w:val="21"/>
              </w:rPr>
            </w:pPr>
            <w:r>
              <w:rPr>
                <w:rFonts w:hint="eastAsia" w:ascii="宋体" w:hAnsi="宋体" w:cs="宋体"/>
                <w:szCs w:val="21"/>
              </w:rPr>
              <w:t>2．检查雨水篦有无异常。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61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071"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80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每季</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37"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1．检查井底及池底是否有污物沉积，如有沉积及时清污。</w:t>
            </w:r>
          </w:p>
          <w:p>
            <w:pPr>
              <w:spacing w:line="276" w:lineRule="auto"/>
              <w:rPr>
                <w:rFonts w:ascii="宋体" w:hAnsi="宋体" w:cs="宋体"/>
                <w:szCs w:val="21"/>
              </w:rPr>
            </w:pPr>
            <w:r>
              <w:rPr>
                <w:rFonts w:hint="eastAsia" w:ascii="宋体" w:hAnsi="宋体" w:cs="宋体"/>
                <w:szCs w:val="21"/>
              </w:rPr>
              <w:t>2．检查井壁有无裂缝及塌陷，如有异常及时修复。</w:t>
            </w:r>
          </w:p>
          <w:p>
            <w:pPr>
              <w:spacing w:line="276" w:lineRule="auto"/>
              <w:rPr>
                <w:rFonts w:ascii="宋体" w:hAnsi="宋体" w:cs="宋体"/>
                <w:szCs w:val="21"/>
              </w:rPr>
            </w:pPr>
            <w:r>
              <w:rPr>
                <w:rFonts w:hint="eastAsia" w:ascii="宋体" w:hAnsi="宋体" w:cs="宋体"/>
                <w:szCs w:val="21"/>
              </w:rPr>
              <w:t>3．检查沟、渠是否完好，如有异常及时修复。</w:t>
            </w:r>
          </w:p>
          <w:p>
            <w:pPr>
              <w:spacing w:line="276" w:lineRule="auto"/>
              <w:rPr>
                <w:rFonts w:ascii="宋体" w:hAnsi="宋体" w:cs="宋体"/>
                <w:szCs w:val="21"/>
              </w:rPr>
            </w:pPr>
            <w:r>
              <w:rPr>
                <w:rFonts w:hint="eastAsia" w:ascii="宋体" w:hAnsi="宋体" w:cs="宋体"/>
                <w:szCs w:val="21"/>
              </w:rPr>
              <w:t>4．井盖及雨水篦刷漆。</w:t>
            </w:r>
          </w:p>
          <w:p>
            <w:pPr>
              <w:spacing w:line="276" w:lineRule="auto"/>
              <w:rPr>
                <w:rFonts w:ascii="宋体" w:hAnsi="宋体" w:cs="宋体"/>
                <w:szCs w:val="21"/>
              </w:rPr>
            </w:pPr>
            <w:r>
              <w:rPr>
                <w:rFonts w:hint="eastAsia" w:ascii="宋体" w:hAnsi="宋体" w:cs="宋体"/>
                <w:szCs w:val="21"/>
              </w:rPr>
              <w:t>5．检查井盖完好程度，发现损坏及时修复或更换。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3" w:hRule="atLeast"/>
          <w:jc w:val="center"/>
        </w:trPr>
        <w:tc>
          <w:tcPr>
            <w:tcW w:w="6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5</w:t>
            </w:r>
          </w:p>
        </w:tc>
        <w:tc>
          <w:tcPr>
            <w:tcW w:w="107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公用标志</w:t>
            </w:r>
          </w:p>
          <w:p>
            <w:pPr>
              <w:spacing w:line="276" w:lineRule="auto"/>
              <w:jc w:val="center"/>
              <w:rPr>
                <w:rFonts w:ascii="宋体" w:hAnsi="宋体" w:cs="宋体"/>
                <w:szCs w:val="21"/>
              </w:rPr>
            </w:pPr>
            <w:r>
              <w:rPr>
                <w:rFonts w:hint="eastAsia" w:ascii="宋体" w:hAnsi="宋体" w:cs="宋体"/>
                <w:szCs w:val="21"/>
              </w:rPr>
              <w:t>设施</w:t>
            </w:r>
          </w:p>
        </w:tc>
        <w:tc>
          <w:tcPr>
            <w:tcW w:w="80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每周</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5137"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1．保证标识清晰、无污迹、无脱落、无破损，发现异常及时处理。</w:t>
            </w:r>
          </w:p>
          <w:p>
            <w:pPr>
              <w:spacing w:line="276" w:lineRule="auto"/>
              <w:rPr>
                <w:rFonts w:ascii="宋体" w:hAnsi="宋体" w:cs="宋体"/>
                <w:szCs w:val="21"/>
              </w:rPr>
            </w:pPr>
            <w:r>
              <w:rPr>
                <w:rFonts w:hint="eastAsia" w:ascii="宋体" w:hAnsi="宋体" w:cs="宋体"/>
                <w:szCs w:val="21"/>
              </w:rPr>
              <w:t>2．检查牢固程度，如有松脱，及时恢复。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6</w:t>
            </w:r>
          </w:p>
        </w:tc>
        <w:tc>
          <w:tcPr>
            <w:tcW w:w="107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土建、外墙面及室内装修部分</w:t>
            </w:r>
          </w:p>
        </w:tc>
        <w:tc>
          <w:tcPr>
            <w:tcW w:w="80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随时</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137"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税务局办公楼红线区域内任何土建、外墙（大理石、玻璃幕墙等）及室内装修等出现的问题，随时上报。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6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7</w:t>
            </w:r>
          </w:p>
        </w:tc>
        <w:tc>
          <w:tcPr>
            <w:tcW w:w="107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各楼层会议音响设备</w:t>
            </w:r>
          </w:p>
        </w:tc>
        <w:tc>
          <w:tcPr>
            <w:tcW w:w="80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随时</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137"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1．检查设施，保证多功能厅及大楼内各会议室设施的完好、齐全。</w:t>
            </w:r>
          </w:p>
          <w:p>
            <w:pPr>
              <w:spacing w:line="276" w:lineRule="auto"/>
              <w:rPr>
                <w:rFonts w:ascii="宋体" w:hAnsi="宋体" w:cs="宋体"/>
                <w:szCs w:val="21"/>
              </w:rPr>
            </w:pPr>
            <w:r>
              <w:rPr>
                <w:rFonts w:hint="eastAsia" w:ascii="宋体" w:hAnsi="宋体" w:cs="宋体"/>
                <w:szCs w:val="21"/>
              </w:rPr>
              <w:t>2．根据采购人会议及活动需要，提前准备及调试好相关设施。</w:t>
            </w:r>
          </w:p>
          <w:p>
            <w:pPr>
              <w:spacing w:line="276" w:lineRule="auto"/>
              <w:rPr>
                <w:rFonts w:ascii="宋体" w:hAnsi="宋体" w:cs="宋体"/>
                <w:szCs w:val="21"/>
              </w:rPr>
            </w:pPr>
            <w:r>
              <w:rPr>
                <w:rFonts w:hint="eastAsia" w:ascii="宋体" w:hAnsi="宋体" w:cs="宋体"/>
                <w:szCs w:val="21"/>
              </w:rPr>
              <w:t>3．根据采购人需要，提前制作相关会议电子横幅。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9" w:hRule="atLeast"/>
          <w:jc w:val="center"/>
        </w:trPr>
        <w:tc>
          <w:tcPr>
            <w:tcW w:w="61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8</w:t>
            </w:r>
          </w:p>
        </w:tc>
        <w:tc>
          <w:tcPr>
            <w:tcW w:w="107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厨房设施</w:t>
            </w:r>
          </w:p>
        </w:tc>
        <w:tc>
          <w:tcPr>
            <w:tcW w:w="801"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随时</w:t>
            </w:r>
          </w:p>
        </w:tc>
        <w:tc>
          <w:tcPr>
            <w:tcW w:w="66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137"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1．确保厨房所有用电、用水设施的完好性，损坏部分及时维修。</w:t>
            </w:r>
          </w:p>
          <w:p>
            <w:pPr>
              <w:spacing w:line="276" w:lineRule="auto"/>
              <w:rPr>
                <w:rFonts w:ascii="宋体" w:hAnsi="宋体" w:cs="宋体"/>
                <w:szCs w:val="21"/>
              </w:rPr>
            </w:pPr>
            <w:r>
              <w:rPr>
                <w:rFonts w:hint="eastAsia" w:ascii="宋体" w:hAnsi="宋体" w:cs="宋体"/>
                <w:szCs w:val="21"/>
              </w:rPr>
              <w:t>2．确保用气设施的安全，检查并维护所有灶台设施。</w:t>
            </w:r>
          </w:p>
          <w:p>
            <w:pPr>
              <w:spacing w:line="276" w:lineRule="auto"/>
              <w:rPr>
                <w:rFonts w:ascii="宋体" w:hAnsi="宋体" w:cs="宋体"/>
                <w:szCs w:val="21"/>
              </w:rPr>
            </w:pPr>
            <w:r>
              <w:rPr>
                <w:rFonts w:hint="eastAsia" w:ascii="宋体" w:hAnsi="宋体" w:cs="宋体"/>
                <w:szCs w:val="21"/>
              </w:rPr>
              <w:t>3．确保厨房内的消防及其它方面的安全。</w:t>
            </w:r>
          </w:p>
        </w:tc>
      </w:tr>
    </w:tbl>
    <w:p>
      <w:pPr>
        <w:spacing w:line="276" w:lineRule="auto"/>
        <w:jc w:val="left"/>
        <w:outlineLvl w:val="2"/>
        <w:rPr>
          <w:rFonts w:ascii="宋体" w:hAnsi="宋体"/>
          <w:szCs w:val="21"/>
        </w:rPr>
      </w:pPr>
      <w:r>
        <w:rPr>
          <w:rFonts w:hint="eastAsia" w:ascii="宋体" w:hAnsi="宋体"/>
          <w:szCs w:val="21"/>
        </w:rPr>
        <w:t>3、供配电系统管理范围：本项目各类供配电系统设施设备管理养护要求：</w:t>
      </w:r>
    </w:p>
    <w:p>
      <w:pPr>
        <w:spacing w:line="276" w:lineRule="auto"/>
        <w:jc w:val="left"/>
        <w:rPr>
          <w:rFonts w:ascii="宋体" w:hAnsi="宋体"/>
          <w:szCs w:val="21"/>
        </w:rPr>
      </w:pPr>
      <w:r>
        <w:rPr>
          <w:rFonts w:hint="eastAsia" w:ascii="宋体" w:hAnsi="宋体" w:cs="宋体"/>
          <w:spacing w:val="-2"/>
          <w:szCs w:val="21"/>
        </w:rPr>
        <w:t>▲</w:t>
      </w:r>
      <w:r>
        <w:rPr>
          <w:rFonts w:hint="eastAsia" w:ascii="宋体" w:hAnsi="宋体"/>
          <w:szCs w:val="21"/>
        </w:rPr>
        <w:t>（1）中标人要制定供配电系统管理养护制度和计划，定期对供配电系统范围内的低压电气设备包括低压配电柜、变配电室、柴油发电机组、公共照明智能控制系统、大楼内外所有照明灯具、线路、开关的日常维护检修，建立24小时维修值班制度，及时排除故障，维修合格率100%；</w:t>
      </w:r>
    </w:p>
    <w:p>
      <w:pPr>
        <w:spacing w:line="276" w:lineRule="auto"/>
        <w:jc w:val="left"/>
        <w:rPr>
          <w:rFonts w:ascii="宋体" w:hAnsi="宋体"/>
          <w:szCs w:val="21"/>
        </w:rPr>
      </w:pPr>
      <w:r>
        <w:rPr>
          <w:rFonts w:hint="eastAsia" w:ascii="宋体" w:hAnsi="宋体" w:cs="宋体"/>
          <w:spacing w:val="-2"/>
          <w:szCs w:val="21"/>
        </w:rPr>
        <w:t>▲</w:t>
      </w:r>
      <w:r>
        <w:rPr>
          <w:rFonts w:hint="eastAsia" w:ascii="宋体" w:hAnsi="宋体"/>
          <w:szCs w:val="21"/>
        </w:rPr>
        <w:t>（2）中标人要建立各项设备档案，确保供配电系统24小时正常、安全运行；制定切实可行节电管理制度，有明显节能效果；建立停电预案，确保市政停电情况下发电机组在30分钟内运转供电；</w:t>
      </w:r>
    </w:p>
    <w:p>
      <w:pPr>
        <w:spacing w:line="276" w:lineRule="auto"/>
        <w:jc w:val="left"/>
        <w:rPr>
          <w:rFonts w:ascii="宋体" w:hAnsi="宋体"/>
          <w:szCs w:val="21"/>
        </w:rPr>
      </w:pPr>
      <w:r>
        <w:rPr>
          <w:rFonts w:hint="eastAsia" w:ascii="宋体" w:hAnsi="宋体"/>
          <w:szCs w:val="21"/>
        </w:rPr>
        <w:t>（3）中标人要管理和维护好避雷设施。</w:t>
      </w:r>
    </w:p>
    <w:p>
      <w:pPr>
        <w:spacing w:line="276" w:lineRule="auto"/>
        <w:jc w:val="left"/>
        <w:rPr>
          <w:rFonts w:ascii="宋体" w:hAnsi="宋体"/>
          <w:szCs w:val="21"/>
        </w:rPr>
      </w:pPr>
      <w:r>
        <w:rPr>
          <w:rFonts w:hint="eastAsia" w:ascii="宋体" w:hAnsi="宋体"/>
          <w:szCs w:val="21"/>
        </w:rPr>
        <w:t>（4）供配电系统管理养护具体要求如下表：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857"/>
        <w:gridCol w:w="447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6" w:type="dxa"/>
            <w:noWrap/>
            <w:vAlign w:val="center"/>
          </w:tcPr>
          <w:p>
            <w:pPr>
              <w:spacing w:line="276" w:lineRule="auto"/>
              <w:jc w:val="center"/>
              <w:rPr>
                <w:rFonts w:ascii="宋体" w:hAnsi="宋体" w:cs="宋体"/>
                <w:szCs w:val="21"/>
              </w:rPr>
            </w:pPr>
            <w:r>
              <w:rPr>
                <w:rFonts w:hint="eastAsia" w:ascii="宋体" w:hAnsi="宋体" w:cs="宋体"/>
                <w:szCs w:val="21"/>
              </w:rPr>
              <w:t>项目</w:t>
            </w:r>
          </w:p>
        </w:tc>
        <w:tc>
          <w:tcPr>
            <w:tcW w:w="857" w:type="dxa"/>
            <w:noWrap/>
            <w:vAlign w:val="center"/>
          </w:tcPr>
          <w:p>
            <w:pPr>
              <w:spacing w:line="276" w:lineRule="auto"/>
              <w:jc w:val="center"/>
              <w:rPr>
                <w:rFonts w:ascii="宋体" w:hAnsi="宋体" w:cs="宋体"/>
                <w:szCs w:val="21"/>
              </w:rPr>
            </w:pPr>
            <w:r>
              <w:rPr>
                <w:rFonts w:hint="eastAsia" w:ascii="宋体" w:hAnsi="宋体" w:cs="宋体"/>
                <w:szCs w:val="21"/>
              </w:rPr>
              <w:t>频次</w:t>
            </w:r>
          </w:p>
        </w:tc>
        <w:tc>
          <w:tcPr>
            <w:tcW w:w="4470" w:type="dxa"/>
            <w:noWrap/>
            <w:vAlign w:val="center"/>
          </w:tcPr>
          <w:p>
            <w:pPr>
              <w:spacing w:line="276" w:lineRule="auto"/>
              <w:jc w:val="center"/>
              <w:rPr>
                <w:rFonts w:ascii="宋体" w:hAnsi="宋体" w:cs="宋体"/>
                <w:szCs w:val="21"/>
              </w:rPr>
            </w:pPr>
            <w:r>
              <w:rPr>
                <w:rFonts w:hint="eastAsia" w:ascii="宋体" w:hAnsi="宋体" w:cs="宋体"/>
                <w:szCs w:val="21"/>
              </w:rPr>
              <w:t>内容</w:t>
            </w:r>
          </w:p>
        </w:tc>
        <w:tc>
          <w:tcPr>
            <w:tcW w:w="1960" w:type="dxa"/>
            <w:noWrap/>
            <w:vAlign w:val="center"/>
          </w:tcPr>
          <w:p>
            <w:pPr>
              <w:spacing w:line="276" w:lineRule="auto"/>
              <w:jc w:val="center"/>
              <w:rPr>
                <w:rFonts w:ascii="宋体" w:hAnsi="宋体" w:cs="宋体"/>
                <w:szCs w:val="21"/>
              </w:rPr>
            </w:pPr>
            <w:r>
              <w:rPr>
                <w:rFonts w:hint="eastAsia" w:ascii="宋体" w:hAnsi="宋体" w:cs="宋体"/>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006" w:type="dxa"/>
            <w:vMerge w:val="restart"/>
            <w:noWrap/>
            <w:vAlign w:val="center"/>
          </w:tcPr>
          <w:p>
            <w:pPr>
              <w:spacing w:line="276" w:lineRule="auto"/>
              <w:jc w:val="center"/>
              <w:rPr>
                <w:rFonts w:ascii="宋体" w:hAnsi="宋体" w:cs="宋体"/>
                <w:szCs w:val="21"/>
              </w:rPr>
            </w:pPr>
            <w:r>
              <w:rPr>
                <w:rFonts w:hint="eastAsia" w:ascii="宋体" w:hAnsi="宋体" w:cs="宋体"/>
                <w:szCs w:val="21"/>
              </w:rPr>
              <w:t>高压环网柜</w:t>
            </w:r>
          </w:p>
        </w:tc>
        <w:tc>
          <w:tcPr>
            <w:tcW w:w="857" w:type="dxa"/>
            <w:noWrap/>
            <w:vAlign w:val="center"/>
          </w:tcPr>
          <w:p>
            <w:pPr>
              <w:spacing w:line="276" w:lineRule="auto"/>
              <w:jc w:val="center"/>
              <w:rPr>
                <w:rFonts w:ascii="宋体" w:hAnsi="宋体" w:cs="宋体"/>
                <w:szCs w:val="21"/>
              </w:rPr>
            </w:pPr>
            <w:r>
              <w:rPr>
                <w:rFonts w:hint="eastAsia" w:ascii="宋体" w:hAnsi="宋体" w:cs="宋体"/>
                <w:szCs w:val="21"/>
              </w:rPr>
              <w:t>每周二次</w:t>
            </w:r>
          </w:p>
        </w:tc>
        <w:tc>
          <w:tcPr>
            <w:tcW w:w="4470" w:type="dxa"/>
            <w:noWrap/>
            <w:vAlign w:val="center"/>
          </w:tcPr>
          <w:p>
            <w:pPr>
              <w:spacing w:line="276" w:lineRule="auto"/>
              <w:rPr>
                <w:rFonts w:ascii="宋体" w:hAnsi="宋体" w:cs="宋体"/>
                <w:szCs w:val="21"/>
              </w:rPr>
            </w:pPr>
            <w:r>
              <w:rPr>
                <w:rFonts w:hint="eastAsia" w:ascii="宋体" w:hAnsi="宋体" w:cs="宋体"/>
                <w:szCs w:val="21"/>
              </w:rPr>
              <w:t>所有高压配电房设施需每天巡检，发现问题立即处理，配电房设施必须保持100%的完好率。</w:t>
            </w:r>
          </w:p>
        </w:tc>
        <w:tc>
          <w:tcPr>
            <w:tcW w:w="1960" w:type="dxa"/>
            <w:noWrap/>
            <w:vAlign w:val="center"/>
          </w:tcPr>
          <w:p>
            <w:pPr>
              <w:spacing w:line="276" w:lineRule="auto"/>
              <w:rPr>
                <w:rFonts w:ascii="宋体" w:hAnsi="宋体" w:cs="宋体"/>
                <w:szCs w:val="21"/>
              </w:rPr>
            </w:pPr>
            <w:r>
              <w:rPr>
                <w:rFonts w:hint="eastAsia" w:ascii="宋体" w:hAnsi="宋体" w:cs="宋体"/>
                <w:szCs w:val="21"/>
              </w:rPr>
              <w:t>发现问题，立即处理。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restart"/>
            <w:noWrap/>
            <w:vAlign w:val="center"/>
          </w:tcPr>
          <w:p>
            <w:pPr>
              <w:spacing w:line="276" w:lineRule="auto"/>
              <w:jc w:val="center"/>
              <w:rPr>
                <w:rFonts w:ascii="宋体" w:hAnsi="宋体" w:cs="宋体"/>
                <w:szCs w:val="21"/>
              </w:rPr>
            </w:pPr>
            <w:r>
              <w:rPr>
                <w:rFonts w:hint="eastAsia" w:ascii="宋体" w:hAnsi="宋体" w:cs="宋体"/>
                <w:szCs w:val="21"/>
              </w:rPr>
              <w:t>每月一次</w:t>
            </w:r>
          </w:p>
        </w:tc>
        <w:tc>
          <w:tcPr>
            <w:tcW w:w="4470" w:type="dxa"/>
            <w:noWrap/>
            <w:vAlign w:val="center"/>
          </w:tcPr>
          <w:p>
            <w:pPr>
              <w:spacing w:line="276" w:lineRule="auto"/>
              <w:rPr>
                <w:rFonts w:ascii="宋体" w:hAnsi="宋体" w:cs="宋体"/>
                <w:szCs w:val="21"/>
              </w:rPr>
            </w:pPr>
            <w:r>
              <w:rPr>
                <w:rFonts w:hint="eastAsia" w:ascii="宋体" w:hAnsi="宋体" w:cs="宋体"/>
                <w:szCs w:val="21"/>
              </w:rPr>
              <w:t>每月清理外部灰尘；</w:t>
            </w:r>
          </w:p>
        </w:tc>
        <w:tc>
          <w:tcPr>
            <w:tcW w:w="1960" w:type="dxa"/>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每日检查外观是否良好，有无异声；</w:t>
            </w:r>
          </w:p>
        </w:tc>
        <w:tc>
          <w:tcPr>
            <w:tcW w:w="1960" w:type="dxa"/>
            <w:noWrap/>
            <w:vAlign w:val="center"/>
          </w:tcPr>
          <w:p>
            <w:pPr>
              <w:spacing w:line="276" w:lineRule="auto"/>
              <w:rPr>
                <w:rFonts w:ascii="宋体" w:hAnsi="宋体" w:cs="宋体"/>
                <w:szCs w:val="21"/>
              </w:rPr>
            </w:pPr>
            <w:r>
              <w:rPr>
                <w:rFonts w:hint="eastAsia" w:ascii="宋体" w:hAnsi="宋体" w:cs="宋体"/>
                <w:szCs w:val="21"/>
              </w:rPr>
              <w:t>外观完好、整洁。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指示灯是否完好；</w:t>
            </w:r>
          </w:p>
        </w:tc>
        <w:tc>
          <w:tcPr>
            <w:tcW w:w="1960" w:type="dxa"/>
            <w:noWrap/>
            <w:vAlign w:val="center"/>
          </w:tcPr>
          <w:p>
            <w:pPr>
              <w:spacing w:line="276" w:lineRule="auto"/>
              <w:rPr>
                <w:rFonts w:ascii="宋体" w:hAnsi="宋体" w:cs="宋体"/>
                <w:szCs w:val="21"/>
              </w:rPr>
            </w:pPr>
            <w:r>
              <w:rPr>
                <w:rFonts w:hint="eastAsia" w:ascii="宋体" w:hAnsi="宋体" w:cs="宋体"/>
                <w:szCs w:val="21"/>
              </w:rPr>
              <w:t>指示灯完好。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警示标识挂设位置是否正确。</w:t>
            </w:r>
          </w:p>
        </w:tc>
        <w:tc>
          <w:tcPr>
            <w:tcW w:w="1960" w:type="dxa"/>
            <w:noWrap/>
            <w:vAlign w:val="center"/>
          </w:tcPr>
          <w:p>
            <w:pPr>
              <w:spacing w:line="276" w:lineRule="auto"/>
              <w:rPr>
                <w:rFonts w:ascii="宋体" w:hAnsi="宋体" w:cs="宋体"/>
                <w:szCs w:val="21"/>
              </w:rPr>
            </w:pPr>
            <w:r>
              <w:rPr>
                <w:rFonts w:hint="eastAsia" w:ascii="宋体" w:hAnsi="宋体" w:cs="宋体"/>
                <w:szCs w:val="21"/>
              </w:rPr>
              <w:t>标示位置正确。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restart"/>
            <w:noWrap/>
            <w:vAlign w:val="center"/>
          </w:tcPr>
          <w:p>
            <w:pPr>
              <w:spacing w:line="276" w:lineRule="auto"/>
              <w:jc w:val="center"/>
              <w:rPr>
                <w:rFonts w:ascii="宋体" w:hAnsi="宋体" w:cs="宋体"/>
                <w:szCs w:val="21"/>
              </w:rPr>
            </w:pPr>
            <w:r>
              <w:rPr>
                <w:rFonts w:hint="eastAsia" w:ascii="宋体" w:hAnsi="宋体" w:cs="宋体"/>
                <w:szCs w:val="21"/>
              </w:rPr>
              <w:t>每半年一次</w:t>
            </w:r>
          </w:p>
        </w:tc>
        <w:tc>
          <w:tcPr>
            <w:tcW w:w="4470" w:type="dxa"/>
            <w:noWrap/>
            <w:vAlign w:val="center"/>
          </w:tcPr>
          <w:p>
            <w:pPr>
              <w:spacing w:line="276" w:lineRule="auto"/>
              <w:rPr>
                <w:rFonts w:ascii="宋体" w:hAnsi="宋体" w:cs="宋体"/>
                <w:szCs w:val="21"/>
              </w:rPr>
            </w:pPr>
            <w:r>
              <w:rPr>
                <w:rFonts w:hint="eastAsia" w:ascii="宋体" w:hAnsi="宋体" w:cs="宋体"/>
                <w:szCs w:val="21"/>
              </w:rPr>
              <w:t>检查操作机构是否灵活、互锁机构是否正确；</w:t>
            </w:r>
          </w:p>
        </w:tc>
        <w:tc>
          <w:tcPr>
            <w:tcW w:w="1960" w:type="dxa"/>
            <w:vMerge w:val="restart"/>
            <w:noWrap/>
            <w:vAlign w:val="center"/>
          </w:tcPr>
          <w:p>
            <w:pPr>
              <w:spacing w:line="276" w:lineRule="auto"/>
              <w:rPr>
                <w:rFonts w:ascii="宋体" w:hAnsi="宋体" w:cs="宋体"/>
                <w:szCs w:val="21"/>
              </w:rPr>
            </w:pPr>
            <w:r>
              <w:rPr>
                <w:rFonts w:hint="eastAsia" w:ascii="宋体" w:hAnsi="宋体" w:cs="宋体"/>
                <w:szCs w:val="21"/>
              </w:rPr>
              <w:t>监督专业公司维护效果，阻值符合规范，线头紧固，操作机构灵活。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检测接地电阻、连接点是否可靠；</w:t>
            </w:r>
          </w:p>
        </w:tc>
        <w:tc>
          <w:tcPr>
            <w:tcW w:w="1960"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检查电源接线装置，并紧固螺丝。</w:t>
            </w:r>
          </w:p>
        </w:tc>
        <w:tc>
          <w:tcPr>
            <w:tcW w:w="1960"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06" w:type="dxa"/>
            <w:vMerge w:val="restart"/>
            <w:noWrap/>
            <w:vAlign w:val="center"/>
          </w:tcPr>
          <w:p>
            <w:pPr>
              <w:spacing w:line="276" w:lineRule="auto"/>
              <w:jc w:val="center"/>
              <w:rPr>
                <w:rFonts w:ascii="宋体" w:hAnsi="宋体" w:cs="宋体"/>
                <w:szCs w:val="21"/>
              </w:rPr>
            </w:pPr>
            <w:r>
              <w:rPr>
                <w:rFonts w:hint="eastAsia" w:ascii="宋体" w:hAnsi="宋体" w:cs="宋体"/>
                <w:szCs w:val="21"/>
              </w:rPr>
              <w:t>变压器</w:t>
            </w:r>
          </w:p>
        </w:tc>
        <w:tc>
          <w:tcPr>
            <w:tcW w:w="857" w:type="dxa"/>
            <w:noWrap/>
            <w:vAlign w:val="center"/>
          </w:tcPr>
          <w:p>
            <w:pPr>
              <w:spacing w:line="276" w:lineRule="auto"/>
              <w:jc w:val="center"/>
              <w:rPr>
                <w:rFonts w:ascii="宋体" w:hAnsi="宋体" w:cs="宋体"/>
                <w:szCs w:val="21"/>
              </w:rPr>
            </w:pPr>
            <w:r>
              <w:rPr>
                <w:rFonts w:hint="eastAsia" w:ascii="宋体" w:hAnsi="宋体" w:cs="宋体"/>
                <w:szCs w:val="21"/>
              </w:rPr>
              <w:t>每日二次</w:t>
            </w:r>
          </w:p>
        </w:tc>
        <w:tc>
          <w:tcPr>
            <w:tcW w:w="4470" w:type="dxa"/>
            <w:noWrap/>
            <w:vAlign w:val="center"/>
          </w:tcPr>
          <w:p>
            <w:pPr>
              <w:spacing w:line="276" w:lineRule="auto"/>
              <w:rPr>
                <w:rFonts w:ascii="宋体" w:hAnsi="宋体" w:cs="宋体"/>
                <w:szCs w:val="21"/>
              </w:rPr>
            </w:pPr>
            <w:r>
              <w:rPr>
                <w:rFonts w:hint="eastAsia" w:ascii="宋体" w:hAnsi="宋体" w:cs="宋体"/>
                <w:szCs w:val="21"/>
              </w:rPr>
              <w:t>所有变压器房设施需每天巡检，发现问题立即处理，配电房设施必须保持100%的完好率。</w:t>
            </w:r>
          </w:p>
        </w:tc>
        <w:tc>
          <w:tcPr>
            <w:tcW w:w="1960" w:type="dxa"/>
            <w:noWrap/>
            <w:vAlign w:val="center"/>
          </w:tcPr>
          <w:p>
            <w:pPr>
              <w:spacing w:line="276" w:lineRule="auto"/>
              <w:rPr>
                <w:rFonts w:ascii="宋体" w:hAnsi="宋体" w:cs="宋体"/>
                <w:szCs w:val="21"/>
              </w:rPr>
            </w:pPr>
            <w:r>
              <w:rPr>
                <w:rFonts w:hint="eastAsia" w:ascii="宋体" w:hAnsi="宋体" w:cs="宋体"/>
                <w:szCs w:val="21"/>
              </w:rPr>
              <w:t>发现问题，立即处理。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restart"/>
            <w:noWrap/>
            <w:vAlign w:val="center"/>
          </w:tcPr>
          <w:p>
            <w:pPr>
              <w:spacing w:line="276" w:lineRule="auto"/>
              <w:jc w:val="center"/>
              <w:rPr>
                <w:rFonts w:ascii="宋体" w:hAnsi="宋体" w:cs="宋体"/>
                <w:szCs w:val="21"/>
              </w:rPr>
            </w:pPr>
            <w:r>
              <w:rPr>
                <w:rFonts w:hint="eastAsia" w:ascii="宋体" w:hAnsi="宋体" w:cs="宋体"/>
                <w:szCs w:val="21"/>
              </w:rPr>
              <w:t>每月一次</w:t>
            </w:r>
          </w:p>
        </w:tc>
        <w:tc>
          <w:tcPr>
            <w:tcW w:w="4470" w:type="dxa"/>
            <w:noWrap/>
            <w:vAlign w:val="center"/>
          </w:tcPr>
          <w:p>
            <w:pPr>
              <w:spacing w:line="276" w:lineRule="auto"/>
              <w:rPr>
                <w:rFonts w:ascii="宋体" w:hAnsi="宋体" w:cs="宋体"/>
                <w:szCs w:val="21"/>
              </w:rPr>
            </w:pPr>
            <w:r>
              <w:rPr>
                <w:rFonts w:hint="eastAsia" w:ascii="宋体" w:hAnsi="宋体" w:cs="宋体"/>
                <w:szCs w:val="21"/>
              </w:rPr>
              <w:t>每日检查温控器显示、有无异声异味是否正常；</w:t>
            </w:r>
          </w:p>
        </w:tc>
        <w:tc>
          <w:tcPr>
            <w:tcW w:w="1960" w:type="dxa"/>
            <w:vMerge w:val="restart"/>
            <w:noWrap/>
            <w:vAlign w:val="center"/>
          </w:tcPr>
          <w:p>
            <w:pPr>
              <w:spacing w:line="276" w:lineRule="auto"/>
              <w:rPr>
                <w:rFonts w:ascii="宋体" w:hAnsi="宋体" w:cs="宋体"/>
                <w:szCs w:val="21"/>
              </w:rPr>
            </w:pPr>
            <w:r>
              <w:rPr>
                <w:rFonts w:hint="eastAsia" w:ascii="宋体" w:hAnsi="宋体" w:cs="宋体"/>
                <w:szCs w:val="21"/>
              </w:rPr>
              <w:t>各项正常。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检查变压器电压、电流是否在额定范围内；</w:t>
            </w:r>
          </w:p>
        </w:tc>
        <w:tc>
          <w:tcPr>
            <w:tcW w:w="1960"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作好运行记录，归档。</w:t>
            </w:r>
          </w:p>
        </w:tc>
        <w:tc>
          <w:tcPr>
            <w:tcW w:w="1960"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restart"/>
            <w:noWrap/>
            <w:vAlign w:val="center"/>
          </w:tcPr>
          <w:p>
            <w:pPr>
              <w:spacing w:line="276" w:lineRule="auto"/>
              <w:jc w:val="center"/>
              <w:rPr>
                <w:rFonts w:ascii="宋体" w:hAnsi="宋体" w:cs="宋体"/>
                <w:szCs w:val="21"/>
              </w:rPr>
            </w:pPr>
            <w:r>
              <w:rPr>
                <w:rFonts w:hint="eastAsia" w:ascii="宋体" w:hAnsi="宋体" w:cs="宋体"/>
                <w:szCs w:val="21"/>
              </w:rPr>
              <w:t>每半年一次</w:t>
            </w:r>
          </w:p>
        </w:tc>
        <w:tc>
          <w:tcPr>
            <w:tcW w:w="4470" w:type="dxa"/>
            <w:noWrap/>
            <w:vAlign w:val="center"/>
          </w:tcPr>
          <w:p>
            <w:pPr>
              <w:spacing w:line="276" w:lineRule="auto"/>
              <w:rPr>
                <w:rFonts w:ascii="宋体" w:hAnsi="宋体" w:cs="宋体"/>
                <w:szCs w:val="21"/>
              </w:rPr>
            </w:pPr>
            <w:r>
              <w:rPr>
                <w:rFonts w:hint="eastAsia" w:ascii="宋体" w:hAnsi="宋体" w:cs="宋体"/>
                <w:szCs w:val="21"/>
              </w:rPr>
              <w:t>1.清扫变压器外壳；</w:t>
            </w:r>
          </w:p>
        </w:tc>
        <w:tc>
          <w:tcPr>
            <w:tcW w:w="1960" w:type="dxa"/>
            <w:vMerge w:val="restart"/>
            <w:noWrap/>
            <w:vAlign w:val="center"/>
          </w:tcPr>
          <w:p>
            <w:pPr>
              <w:spacing w:line="276" w:lineRule="auto"/>
              <w:rPr>
                <w:rFonts w:ascii="宋体" w:hAnsi="宋体" w:cs="宋体"/>
                <w:szCs w:val="21"/>
              </w:rPr>
            </w:pPr>
            <w:r>
              <w:rPr>
                <w:rFonts w:hint="eastAsia" w:ascii="宋体" w:hAnsi="宋体" w:cs="宋体"/>
                <w:szCs w:val="21"/>
              </w:rPr>
              <w:t>监督专业公司维护效果外观干净整洁；运行状态良好，保证供电质量；连接部位无松动、过热现象，绝缘子无松动、破损。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2.紧固变压器引出线的接头，如发现接头烧伤或过热的痕迹，应进行整修处理并重新接好；</w:t>
            </w:r>
          </w:p>
        </w:tc>
        <w:tc>
          <w:tcPr>
            <w:tcW w:w="1960"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3.检查变压器的接地线是否良好，地线是否被腐蚀，腐蚀严重时应更换地线；</w:t>
            </w:r>
          </w:p>
        </w:tc>
        <w:tc>
          <w:tcPr>
            <w:tcW w:w="1960"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4.年初向采购人申报，委托供电公司对区内所有变压器进行测试、试验等项目的维修保养，并将结果记录并归档。</w:t>
            </w:r>
          </w:p>
        </w:tc>
        <w:tc>
          <w:tcPr>
            <w:tcW w:w="1960"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06" w:type="dxa"/>
            <w:noWrap/>
            <w:vAlign w:val="center"/>
          </w:tcPr>
          <w:p>
            <w:pPr>
              <w:spacing w:line="276" w:lineRule="auto"/>
              <w:jc w:val="center"/>
              <w:rPr>
                <w:rFonts w:ascii="宋体" w:hAnsi="宋体" w:cs="宋体"/>
                <w:szCs w:val="21"/>
              </w:rPr>
            </w:pPr>
            <w:r>
              <w:rPr>
                <w:rFonts w:hint="eastAsia" w:ascii="宋体" w:hAnsi="宋体" w:cs="宋体"/>
                <w:szCs w:val="21"/>
              </w:rPr>
              <w:t>配电屏</w:t>
            </w:r>
          </w:p>
        </w:tc>
        <w:tc>
          <w:tcPr>
            <w:tcW w:w="857" w:type="dxa"/>
            <w:noWrap/>
            <w:vAlign w:val="center"/>
          </w:tcPr>
          <w:p>
            <w:pPr>
              <w:spacing w:line="276" w:lineRule="auto"/>
              <w:jc w:val="center"/>
              <w:rPr>
                <w:rFonts w:ascii="宋体" w:hAnsi="宋体" w:cs="宋体"/>
                <w:szCs w:val="21"/>
              </w:rPr>
            </w:pPr>
            <w:r>
              <w:rPr>
                <w:rFonts w:hint="eastAsia" w:ascii="宋体" w:hAnsi="宋体" w:cs="宋体"/>
                <w:szCs w:val="21"/>
              </w:rPr>
              <w:t>每日一次</w:t>
            </w:r>
          </w:p>
        </w:tc>
        <w:tc>
          <w:tcPr>
            <w:tcW w:w="4470" w:type="dxa"/>
            <w:noWrap/>
            <w:vAlign w:val="center"/>
          </w:tcPr>
          <w:p>
            <w:pPr>
              <w:spacing w:line="276" w:lineRule="auto"/>
              <w:rPr>
                <w:rFonts w:ascii="宋体" w:hAnsi="宋体" w:cs="宋体"/>
                <w:szCs w:val="21"/>
              </w:rPr>
            </w:pPr>
            <w:r>
              <w:rPr>
                <w:rFonts w:hint="eastAsia" w:ascii="宋体" w:hAnsi="宋体" w:cs="宋体"/>
                <w:szCs w:val="21"/>
              </w:rPr>
              <w:t>所有低压配电房设施需每天巡检，发现问题立即处理，配电房设施必须保持100%的完好率。</w:t>
            </w:r>
          </w:p>
        </w:tc>
        <w:tc>
          <w:tcPr>
            <w:tcW w:w="1960" w:type="dxa"/>
            <w:noWrap/>
            <w:vAlign w:val="center"/>
          </w:tcPr>
          <w:p>
            <w:pPr>
              <w:spacing w:line="276" w:lineRule="auto"/>
              <w:rPr>
                <w:rFonts w:ascii="宋体" w:hAnsi="宋体" w:cs="宋体"/>
                <w:szCs w:val="21"/>
              </w:rPr>
            </w:pPr>
            <w:r>
              <w:rPr>
                <w:rFonts w:hint="eastAsia" w:ascii="宋体" w:hAnsi="宋体" w:cs="宋体"/>
                <w:szCs w:val="21"/>
              </w:rPr>
              <w:t>发现问题，及时处理。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006" w:type="dxa"/>
            <w:vMerge w:val="restart"/>
            <w:noWrap/>
            <w:vAlign w:val="center"/>
          </w:tcPr>
          <w:p>
            <w:pPr>
              <w:spacing w:line="276" w:lineRule="auto"/>
              <w:jc w:val="center"/>
              <w:rPr>
                <w:rFonts w:ascii="宋体" w:hAnsi="宋体" w:cs="宋体"/>
                <w:szCs w:val="21"/>
              </w:rPr>
            </w:pPr>
            <w:r>
              <w:rPr>
                <w:rFonts w:hint="eastAsia" w:ascii="宋体" w:hAnsi="宋体" w:cs="宋体"/>
                <w:szCs w:val="21"/>
              </w:rPr>
              <w:t>电容器屏，低压配电柜</w:t>
            </w:r>
          </w:p>
        </w:tc>
        <w:tc>
          <w:tcPr>
            <w:tcW w:w="857" w:type="dxa"/>
            <w:vMerge w:val="restart"/>
            <w:noWrap/>
            <w:vAlign w:val="center"/>
          </w:tcPr>
          <w:p>
            <w:pPr>
              <w:spacing w:line="276" w:lineRule="auto"/>
              <w:jc w:val="center"/>
              <w:rPr>
                <w:rFonts w:ascii="宋体" w:hAnsi="宋体" w:cs="宋体"/>
                <w:szCs w:val="21"/>
              </w:rPr>
            </w:pPr>
            <w:r>
              <w:rPr>
                <w:rFonts w:hint="eastAsia" w:ascii="宋体" w:hAnsi="宋体" w:cs="宋体"/>
                <w:szCs w:val="21"/>
              </w:rPr>
              <w:t>每月一次</w:t>
            </w:r>
          </w:p>
        </w:tc>
        <w:tc>
          <w:tcPr>
            <w:tcW w:w="4470" w:type="dxa"/>
            <w:noWrap/>
            <w:vAlign w:val="center"/>
          </w:tcPr>
          <w:p>
            <w:pPr>
              <w:spacing w:line="276" w:lineRule="auto"/>
              <w:rPr>
                <w:rFonts w:ascii="宋体" w:hAnsi="宋体" w:cs="宋体"/>
                <w:szCs w:val="21"/>
              </w:rPr>
            </w:pPr>
            <w:r>
              <w:rPr>
                <w:rFonts w:hint="eastAsia" w:ascii="宋体" w:hAnsi="宋体" w:cs="宋体"/>
                <w:szCs w:val="21"/>
              </w:rPr>
              <w:t>1.检查外观是否完好，指示灯是否显示正常，电压、电流是否正常，三相负荷是否平衡，有无异声、异味。</w:t>
            </w:r>
          </w:p>
        </w:tc>
        <w:tc>
          <w:tcPr>
            <w:tcW w:w="1960" w:type="dxa"/>
            <w:noWrap/>
            <w:vAlign w:val="center"/>
          </w:tcPr>
          <w:p>
            <w:pPr>
              <w:spacing w:line="276" w:lineRule="auto"/>
              <w:rPr>
                <w:rFonts w:ascii="宋体" w:hAnsi="宋体" w:cs="宋体"/>
                <w:szCs w:val="21"/>
              </w:rPr>
            </w:pPr>
            <w:r>
              <w:rPr>
                <w:rFonts w:hint="eastAsia" w:ascii="宋体" w:hAnsi="宋体" w:cs="宋体"/>
                <w:szCs w:val="21"/>
              </w:rPr>
              <w:t>外观完好、整洁、各项功能运行正常。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2.检查开关是否在正确位置，标示是否清楚；</w:t>
            </w:r>
          </w:p>
        </w:tc>
        <w:tc>
          <w:tcPr>
            <w:tcW w:w="1960" w:type="dxa"/>
            <w:noWrap/>
            <w:vAlign w:val="center"/>
          </w:tcPr>
          <w:p>
            <w:pPr>
              <w:spacing w:line="276" w:lineRule="auto"/>
              <w:rPr>
                <w:rFonts w:ascii="宋体" w:hAnsi="宋体" w:cs="宋体"/>
                <w:szCs w:val="21"/>
              </w:rPr>
            </w:pPr>
            <w:r>
              <w:rPr>
                <w:rFonts w:hint="eastAsia" w:ascii="宋体" w:hAnsi="宋体" w:cs="宋体"/>
                <w:szCs w:val="21"/>
              </w:rPr>
              <w:t>开关位置正确、标示清楚。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3.检查无功补偿设备工作是否正常，功率因数是否达到要求。检查电容器、熔断器是否过热，熔断；</w:t>
            </w:r>
          </w:p>
        </w:tc>
        <w:tc>
          <w:tcPr>
            <w:tcW w:w="1960" w:type="dxa"/>
            <w:noWrap/>
            <w:vAlign w:val="center"/>
          </w:tcPr>
          <w:p>
            <w:pPr>
              <w:spacing w:line="276" w:lineRule="auto"/>
              <w:rPr>
                <w:rFonts w:ascii="宋体" w:hAnsi="宋体" w:cs="宋体"/>
                <w:szCs w:val="21"/>
              </w:rPr>
            </w:pPr>
            <w:r>
              <w:rPr>
                <w:rFonts w:hint="eastAsia" w:ascii="宋体" w:hAnsi="宋体" w:cs="宋体"/>
                <w:szCs w:val="21"/>
              </w:rPr>
              <w:t>设备运行正常。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4.检查开关触头接触是否良好，有无短路、过载现象；</w:t>
            </w:r>
          </w:p>
        </w:tc>
        <w:tc>
          <w:tcPr>
            <w:tcW w:w="1960" w:type="dxa"/>
            <w:noWrap/>
            <w:vAlign w:val="center"/>
          </w:tcPr>
          <w:p>
            <w:pPr>
              <w:spacing w:line="276" w:lineRule="auto"/>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5.检查电力监控系统监控模块工作是否正常。</w:t>
            </w:r>
          </w:p>
        </w:tc>
        <w:tc>
          <w:tcPr>
            <w:tcW w:w="1960" w:type="dxa"/>
            <w:noWrap/>
            <w:vAlign w:val="center"/>
          </w:tcPr>
          <w:p>
            <w:pPr>
              <w:spacing w:line="276" w:lineRule="auto"/>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6.检查蓄电池电源是否足够，如异常需要及时更换。</w:t>
            </w:r>
          </w:p>
        </w:tc>
        <w:tc>
          <w:tcPr>
            <w:tcW w:w="1960" w:type="dxa"/>
            <w:noWrap/>
            <w:vAlign w:val="center"/>
          </w:tcPr>
          <w:p>
            <w:pPr>
              <w:spacing w:line="276" w:lineRule="auto"/>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restart"/>
            <w:noWrap/>
            <w:vAlign w:val="center"/>
          </w:tcPr>
          <w:p>
            <w:pPr>
              <w:spacing w:line="276" w:lineRule="auto"/>
              <w:jc w:val="center"/>
              <w:rPr>
                <w:rFonts w:ascii="宋体" w:hAnsi="宋体" w:cs="宋体"/>
                <w:szCs w:val="21"/>
              </w:rPr>
            </w:pPr>
            <w:r>
              <w:rPr>
                <w:rFonts w:hint="eastAsia" w:ascii="宋体" w:hAnsi="宋体" w:cs="宋体"/>
                <w:szCs w:val="21"/>
              </w:rPr>
              <w:t>每半年一次</w:t>
            </w:r>
          </w:p>
        </w:tc>
        <w:tc>
          <w:tcPr>
            <w:tcW w:w="4470" w:type="dxa"/>
            <w:noWrap/>
            <w:vAlign w:val="center"/>
          </w:tcPr>
          <w:p>
            <w:pPr>
              <w:spacing w:line="276" w:lineRule="auto"/>
              <w:rPr>
                <w:rFonts w:ascii="宋体" w:hAnsi="宋体" w:cs="宋体"/>
                <w:szCs w:val="21"/>
              </w:rPr>
            </w:pPr>
            <w:r>
              <w:rPr>
                <w:rFonts w:hint="eastAsia" w:ascii="宋体" w:hAnsi="宋体" w:cs="宋体"/>
                <w:szCs w:val="21"/>
              </w:rPr>
              <w:t>1.清洁卫生；</w:t>
            </w:r>
          </w:p>
        </w:tc>
        <w:tc>
          <w:tcPr>
            <w:tcW w:w="1960" w:type="dxa"/>
            <w:noWrap/>
            <w:vAlign w:val="center"/>
          </w:tcPr>
          <w:p>
            <w:pPr>
              <w:spacing w:line="276" w:lineRule="auto"/>
              <w:rPr>
                <w:rFonts w:ascii="宋体" w:hAnsi="宋体" w:cs="宋体"/>
                <w:szCs w:val="21"/>
              </w:rPr>
            </w:pPr>
            <w:r>
              <w:rPr>
                <w:rFonts w:hint="eastAsia" w:ascii="宋体" w:hAnsi="宋体" w:cs="宋体"/>
                <w:szCs w:val="21"/>
              </w:rPr>
              <w:t>设备卫生。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2.紧固螺丝，调整接触点隙，更换打磨烧坏的动静触头；</w:t>
            </w:r>
          </w:p>
        </w:tc>
        <w:tc>
          <w:tcPr>
            <w:tcW w:w="1960" w:type="dxa"/>
            <w:noWrap/>
            <w:vAlign w:val="center"/>
          </w:tcPr>
          <w:p>
            <w:pPr>
              <w:spacing w:line="276" w:lineRule="auto"/>
              <w:rPr>
                <w:rFonts w:ascii="宋体" w:hAnsi="宋体" w:cs="宋体"/>
                <w:szCs w:val="21"/>
              </w:rPr>
            </w:pPr>
            <w:r>
              <w:rPr>
                <w:rFonts w:hint="eastAsia" w:ascii="宋体" w:hAnsi="宋体" w:cs="宋体"/>
                <w:szCs w:val="21"/>
              </w:rPr>
              <w:t>开关状态良好。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3.若有过载现象，应更换容量大的配电设备。</w:t>
            </w:r>
          </w:p>
        </w:tc>
        <w:tc>
          <w:tcPr>
            <w:tcW w:w="1960" w:type="dxa"/>
            <w:noWrap/>
            <w:vAlign w:val="center"/>
          </w:tcPr>
          <w:p>
            <w:pPr>
              <w:spacing w:line="276" w:lineRule="auto"/>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4.检查电容完好情况，及时提出更换报告。</w:t>
            </w:r>
          </w:p>
        </w:tc>
        <w:tc>
          <w:tcPr>
            <w:tcW w:w="1960" w:type="dxa"/>
            <w:noWrap/>
            <w:vAlign w:val="center"/>
          </w:tcPr>
          <w:p>
            <w:pPr>
              <w:spacing w:line="276" w:lineRule="auto"/>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restart"/>
            <w:noWrap/>
            <w:vAlign w:val="center"/>
          </w:tcPr>
          <w:p>
            <w:pPr>
              <w:spacing w:line="276" w:lineRule="auto"/>
              <w:jc w:val="center"/>
              <w:rPr>
                <w:rFonts w:ascii="宋体" w:hAnsi="宋体" w:cs="宋体"/>
                <w:szCs w:val="21"/>
              </w:rPr>
            </w:pPr>
            <w:r>
              <w:rPr>
                <w:rFonts w:hint="eastAsia" w:ascii="宋体" w:hAnsi="宋体" w:cs="宋体"/>
                <w:szCs w:val="21"/>
              </w:rPr>
              <w:t>每年一次</w:t>
            </w:r>
          </w:p>
        </w:tc>
        <w:tc>
          <w:tcPr>
            <w:tcW w:w="4470" w:type="dxa"/>
            <w:noWrap/>
            <w:vAlign w:val="center"/>
          </w:tcPr>
          <w:p>
            <w:pPr>
              <w:spacing w:line="276" w:lineRule="auto"/>
              <w:rPr>
                <w:rFonts w:ascii="宋体" w:hAnsi="宋体" w:cs="宋体"/>
                <w:szCs w:val="21"/>
              </w:rPr>
            </w:pPr>
            <w:r>
              <w:rPr>
                <w:rFonts w:hint="eastAsia" w:ascii="宋体" w:hAnsi="宋体" w:cs="宋体"/>
                <w:szCs w:val="21"/>
              </w:rPr>
              <w:t>1.重复上述检查；</w:t>
            </w:r>
          </w:p>
        </w:tc>
        <w:tc>
          <w:tcPr>
            <w:tcW w:w="1960" w:type="dxa"/>
            <w:noWrap/>
            <w:vAlign w:val="center"/>
          </w:tcPr>
          <w:p>
            <w:pPr>
              <w:spacing w:line="276" w:lineRule="auto"/>
              <w:rPr>
                <w:rFonts w:ascii="宋体" w:hAnsi="宋体" w:cs="宋体"/>
                <w:szCs w:val="21"/>
              </w:rPr>
            </w:pPr>
            <w:r>
              <w:rPr>
                <w:rFonts w:hint="eastAsia" w:ascii="宋体" w:hAnsi="宋体" w:cs="宋体"/>
                <w:szCs w:val="21"/>
              </w:rPr>
              <w:t>屏内清洁无杂物,连接件无松动,无发热变色,仪表等附件完好无损。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2.检测接地电阻；</w:t>
            </w:r>
          </w:p>
        </w:tc>
        <w:tc>
          <w:tcPr>
            <w:tcW w:w="1960" w:type="dxa"/>
            <w:noWrap/>
            <w:vAlign w:val="center"/>
          </w:tcPr>
          <w:p>
            <w:pPr>
              <w:spacing w:line="276" w:lineRule="auto"/>
              <w:rPr>
                <w:rFonts w:ascii="宋体" w:hAnsi="宋体" w:cs="宋体"/>
                <w:szCs w:val="21"/>
              </w:rPr>
            </w:pPr>
            <w:r>
              <w:rPr>
                <w:rFonts w:hint="eastAsia" w:ascii="宋体" w:hAnsi="宋体" w:cs="宋体"/>
                <w:szCs w:val="21"/>
              </w:rPr>
              <w:t>动力配电系统运行安全可靠。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3.测试过流保护装置、联锁装置是否可靠。</w:t>
            </w:r>
          </w:p>
        </w:tc>
        <w:tc>
          <w:tcPr>
            <w:tcW w:w="1960" w:type="dxa"/>
            <w:noWrap/>
            <w:vAlign w:val="center"/>
          </w:tcPr>
          <w:p>
            <w:pPr>
              <w:spacing w:line="276" w:lineRule="auto"/>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 w:type="dxa"/>
            <w:vMerge w:val="restart"/>
            <w:noWrap/>
            <w:vAlign w:val="center"/>
          </w:tcPr>
          <w:p>
            <w:pPr>
              <w:spacing w:line="276" w:lineRule="auto"/>
              <w:jc w:val="center"/>
              <w:rPr>
                <w:rFonts w:ascii="宋体" w:hAnsi="宋体" w:cs="宋体"/>
                <w:szCs w:val="21"/>
              </w:rPr>
            </w:pPr>
            <w:r>
              <w:rPr>
                <w:rFonts w:hint="eastAsia" w:ascii="宋体" w:hAnsi="宋体" w:cs="宋体"/>
                <w:szCs w:val="21"/>
              </w:rPr>
              <w:t>照明器具（包括室外路灯及周边泛光照明）</w:t>
            </w:r>
          </w:p>
        </w:tc>
        <w:tc>
          <w:tcPr>
            <w:tcW w:w="857" w:type="dxa"/>
            <w:vMerge w:val="restart"/>
            <w:noWrap/>
            <w:vAlign w:val="center"/>
          </w:tcPr>
          <w:p>
            <w:pPr>
              <w:spacing w:line="276" w:lineRule="auto"/>
              <w:jc w:val="center"/>
              <w:rPr>
                <w:rFonts w:ascii="宋体" w:hAnsi="宋体" w:cs="宋体"/>
                <w:szCs w:val="21"/>
              </w:rPr>
            </w:pPr>
            <w:r>
              <w:rPr>
                <w:rFonts w:hint="eastAsia" w:ascii="宋体" w:hAnsi="宋体" w:cs="宋体"/>
                <w:szCs w:val="21"/>
              </w:rPr>
              <w:t>每月一次</w:t>
            </w:r>
          </w:p>
        </w:tc>
        <w:tc>
          <w:tcPr>
            <w:tcW w:w="4470" w:type="dxa"/>
            <w:noWrap/>
            <w:vAlign w:val="center"/>
          </w:tcPr>
          <w:p>
            <w:pPr>
              <w:spacing w:line="276" w:lineRule="auto"/>
              <w:rPr>
                <w:rFonts w:ascii="宋体" w:hAnsi="宋体" w:cs="宋体"/>
                <w:szCs w:val="21"/>
              </w:rPr>
            </w:pPr>
            <w:r>
              <w:rPr>
                <w:rFonts w:hint="eastAsia" w:ascii="宋体" w:hAnsi="宋体" w:cs="宋体"/>
                <w:szCs w:val="21"/>
              </w:rPr>
              <w:t>1.照明器具的清洁卫生；</w:t>
            </w:r>
          </w:p>
        </w:tc>
        <w:tc>
          <w:tcPr>
            <w:tcW w:w="1960" w:type="dxa"/>
            <w:noWrap/>
            <w:vAlign w:val="center"/>
          </w:tcPr>
          <w:p>
            <w:pPr>
              <w:spacing w:line="276" w:lineRule="auto"/>
              <w:rPr>
                <w:rFonts w:ascii="宋体" w:hAnsi="宋体" w:cs="宋体"/>
                <w:szCs w:val="21"/>
              </w:rPr>
            </w:pPr>
            <w:r>
              <w:rPr>
                <w:rFonts w:hint="eastAsia" w:ascii="宋体" w:hAnsi="宋体" w:cs="宋体"/>
                <w:szCs w:val="21"/>
              </w:rPr>
              <w:t>室内外灯具完好、卫生。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2.检查外观是否良好，有无异声；</w:t>
            </w:r>
          </w:p>
        </w:tc>
        <w:tc>
          <w:tcPr>
            <w:tcW w:w="1960" w:type="dxa"/>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3.检查灯具照度的均匀度；如有异常，马上处理；</w:t>
            </w:r>
          </w:p>
        </w:tc>
        <w:tc>
          <w:tcPr>
            <w:tcW w:w="1960" w:type="dxa"/>
            <w:noWrap/>
            <w:vAlign w:val="center"/>
          </w:tcPr>
          <w:p>
            <w:pPr>
              <w:spacing w:line="276" w:lineRule="auto"/>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4.调整照明器具亮度，节约能源；</w:t>
            </w:r>
          </w:p>
        </w:tc>
        <w:tc>
          <w:tcPr>
            <w:tcW w:w="1960" w:type="dxa"/>
            <w:noWrap/>
            <w:vAlign w:val="center"/>
          </w:tcPr>
          <w:p>
            <w:pPr>
              <w:spacing w:line="276" w:lineRule="auto"/>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5.更换过热、故障配件、避免短路现象；</w:t>
            </w:r>
          </w:p>
        </w:tc>
        <w:tc>
          <w:tcPr>
            <w:tcW w:w="1960" w:type="dxa"/>
            <w:noWrap/>
            <w:vAlign w:val="center"/>
          </w:tcPr>
          <w:p>
            <w:pPr>
              <w:spacing w:line="276" w:lineRule="auto"/>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6.根据季节和要求合理调整灯光工程的开机时间。</w:t>
            </w:r>
          </w:p>
        </w:tc>
        <w:tc>
          <w:tcPr>
            <w:tcW w:w="1960" w:type="dxa"/>
            <w:noWrap/>
            <w:vAlign w:val="center"/>
          </w:tcPr>
          <w:p>
            <w:pPr>
              <w:spacing w:line="276" w:lineRule="auto"/>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7.每月检查室外泛光照明，及周边路灯的完好情况，有故障立即排查，予以处理，并检查防水情况是否完好，防止进水或者老鼠破坏造成短路。</w:t>
            </w:r>
          </w:p>
        </w:tc>
        <w:tc>
          <w:tcPr>
            <w:tcW w:w="1960" w:type="dxa"/>
            <w:noWrap/>
            <w:vAlign w:val="center"/>
          </w:tcPr>
          <w:p>
            <w:pPr>
              <w:spacing w:line="276" w:lineRule="auto"/>
              <w:rPr>
                <w:rFonts w:ascii="宋体" w:hAnsi="宋体" w:cs="宋体"/>
                <w:szCs w:val="21"/>
              </w:rPr>
            </w:pPr>
            <w:r>
              <w:rPr>
                <w:rFonts w:hint="eastAsia" w:ascii="宋体" w:hAnsi="宋体" w:cs="宋体"/>
                <w:szCs w:val="21"/>
              </w:rPr>
              <w:t>不漏水，不短路，工作正常。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06" w:type="dxa"/>
            <w:vMerge w:val="restart"/>
            <w:noWrap/>
            <w:vAlign w:val="center"/>
          </w:tcPr>
          <w:p>
            <w:pPr>
              <w:spacing w:line="276" w:lineRule="auto"/>
              <w:jc w:val="center"/>
              <w:rPr>
                <w:rFonts w:ascii="宋体" w:hAnsi="宋体" w:cs="宋体"/>
                <w:szCs w:val="21"/>
              </w:rPr>
            </w:pPr>
            <w:r>
              <w:rPr>
                <w:rFonts w:hint="eastAsia" w:ascii="宋体" w:hAnsi="宋体" w:cs="宋体"/>
                <w:szCs w:val="21"/>
              </w:rPr>
              <w:t>供电线路</w:t>
            </w:r>
          </w:p>
        </w:tc>
        <w:tc>
          <w:tcPr>
            <w:tcW w:w="857" w:type="dxa"/>
            <w:vMerge w:val="restart"/>
            <w:noWrap/>
            <w:vAlign w:val="center"/>
          </w:tcPr>
          <w:p>
            <w:pPr>
              <w:spacing w:line="276" w:lineRule="auto"/>
              <w:jc w:val="center"/>
              <w:rPr>
                <w:rFonts w:ascii="宋体" w:hAnsi="宋体" w:cs="宋体"/>
                <w:szCs w:val="21"/>
              </w:rPr>
            </w:pPr>
            <w:r>
              <w:rPr>
                <w:rFonts w:hint="eastAsia" w:ascii="宋体" w:hAnsi="宋体" w:cs="宋体"/>
                <w:szCs w:val="21"/>
              </w:rPr>
              <w:t>每月一次</w:t>
            </w:r>
          </w:p>
        </w:tc>
        <w:tc>
          <w:tcPr>
            <w:tcW w:w="4470" w:type="dxa"/>
            <w:noWrap/>
            <w:vAlign w:val="center"/>
          </w:tcPr>
          <w:p>
            <w:pPr>
              <w:spacing w:line="276" w:lineRule="auto"/>
              <w:rPr>
                <w:rFonts w:ascii="宋体" w:hAnsi="宋体" w:cs="宋体"/>
                <w:szCs w:val="21"/>
              </w:rPr>
            </w:pPr>
            <w:r>
              <w:rPr>
                <w:rFonts w:hint="eastAsia" w:ascii="宋体" w:hAnsi="宋体" w:cs="宋体"/>
                <w:szCs w:val="21"/>
              </w:rPr>
              <w:t>1.清洁卫生；</w:t>
            </w:r>
          </w:p>
        </w:tc>
        <w:tc>
          <w:tcPr>
            <w:tcW w:w="1960" w:type="dxa"/>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2.清楚环境无积水、杂物；</w:t>
            </w:r>
          </w:p>
        </w:tc>
        <w:tc>
          <w:tcPr>
            <w:tcW w:w="1960" w:type="dxa"/>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3.供电电缆标示是否清晰、脱落,如有马上处理；</w:t>
            </w:r>
          </w:p>
        </w:tc>
        <w:tc>
          <w:tcPr>
            <w:tcW w:w="1960" w:type="dxa"/>
            <w:noWrap/>
            <w:vAlign w:val="center"/>
          </w:tcPr>
          <w:p>
            <w:pPr>
              <w:spacing w:line="276" w:lineRule="auto"/>
              <w:rPr>
                <w:rFonts w:ascii="宋体" w:hAnsi="宋体" w:cs="宋体"/>
                <w:szCs w:val="21"/>
              </w:rPr>
            </w:pPr>
            <w:r>
              <w:rPr>
                <w:rFonts w:hint="eastAsia" w:ascii="宋体" w:hAnsi="宋体" w:cs="宋体"/>
                <w:szCs w:val="21"/>
              </w:rPr>
              <w:t>标示清晰。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4.检查线路有无过热现象、进出线路接线装置是否完好。</w:t>
            </w:r>
          </w:p>
        </w:tc>
        <w:tc>
          <w:tcPr>
            <w:tcW w:w="1960" w:type="dxa"/>
            <w:noWrap/>
            <w:vAlign w:val="center"/>
          </w:tcPr>
          <w:p>
            <w:pPr>
              <w:spacing w:line="276" w:lineRule="auto"/>
              <w:rPr>
                <w:rFonts w:ascii="宋体" w:hAnsi="宋体" w:cs="宋体"/>
                <w:szCs w:val="21"/>
              </w:rPr>
            </w:pPr>
            <w:r>
              <w:rPr>
                <w:rFonts w:hint="eastAsia" w:ascii="宋体" w:hAnsi="宋体" w:cs="宋体"/>
                <w:szCs w:val="21"/>
              </w:rPr>
              <w:t>线路无过热现象，接线装置紧固。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restart"/>
            <w:noWrap/>
            <w:vAlign w:val="center"/>
          </w:tcPr>
          <w:p>
            <w:pPr>
              <w:spacing w:line="276" w:lineRule="auto"/>
              <w:jc w:val="center"/>
              <w:rPr>
                <w:rFonts w:ascii="宋体" w:hAnsi="宋体" w:cs="宋体"/>
                <w:szCs w:val="21"/>
              </w:rPr>
            </w:pPr>
            <w:r>
              <w:rPr>
                <w:rFonts w:hint="eastAsia" w:ascii="宋体" w:hAnsi="宋体" w:cs="宋体"/>
                <w:szCs w:val="21"/>
              </w:rPr>
              <w:t>每年</w:t>
            </w:r>
          </w:p>
          <w:p>
            <w:pPr>
              <w:spacing w:line="276" w:lineRule="auto"/>
              <w:jc w:val="center"/>
              <w:rPr>
                <w:rFonts w:ascii="宋体" w:hAnsi="宋体" w:cs="宋体"/>
                <w:szCs w:val="21"/>
              </w:rPr>
            </w:pPr>
            <w:r>
              <w:rPr>
                <w:rFonts w:hint="eastAsia" w:ascii="宋体" w:hAnsi="宋体" w:cs="宋体"/>
                <w:szCs w:val="21"/>
              </w:rPr>
              <w:t>一次</w:t>
            </w:r>
          </w:p>
        </w:tc>
        <w:tc>
          <w:tcPr>
            <w:tcW w:w="4470" w:type="dxa"/>
            <w:noWrap/>
            <w:vAlign w:val="center"/>
          </w:tcPr>
          <w:p>
            <w:pPr>
              <w:spacing w:line="276" w:lineRule="auto"/>
              <w:rPr>
                <w:rFonts w:ascii="宋体" w:hAnsi="宋体" w:cs="宋体"/>
                <w:szCs w:val="21"/>
              </w:rPr>
            </w:pPr>
            <w:r>
              <w:rPr>
                <w:rFonts w:hint="eastAsia" w:ascii="宋体" w:hAnsi="宋体" w:cs="宋体"/>
                <w:szCs w:val="21"/>
              </w:rPr>
              <w:t>1.用仪表检测线路绝缘电阻；</w:t>
            </w:r>
          </w:p>
        </w:tc>
        <w:tc>
          <w:tcPr>
            <w:tcW w:w="1960" w:type="dxa"/>
            <w:vMerge w:val="restart"/>
            <w:noWrap/>
            <w:vAlign w:val="center"/>
          </w:tcPr>
          <w:p>
            <w:pPr>
              <w:spacing w:line="276" w:lineRule="auto"/>
              <w:rPr>
                <w:rFonts w:ascii="宋体" w:hAnsi="宋体" w:cs="宋体"/>
                <w:szCs w:val="21"/>
              </w:rPr>
            </w:pPr>
            <w:r>
              <w:rPr>
                <w:rFonts w:hint="eastAsia" w:ascii="宋体" w:hAnsi="宋体" w:cs="宋体"/>
                <w:szCs w:val="21"/>
              </w:rPr>
              <w:t>阻值符合规范，无锈蚀。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2.对金属支架、电缆套管涂防锈漆或沥青。</w:t>
            </w:r>
          </w:p>
        </w:tc>
        <w:tc>
          <w:tcPr>
            <w:tcW w:w="1960"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06" w:type="dxa"/>
            <w:vMerge w:val="restart"/>
            <w:noWrap/>
            <w:vAlign w:val="center"/>
          </w:tcPr>
          <w:p>
            <w:pPr>
              <w:spacing w:line="276" w:lineRule="auto"/>
              <w:jc w:val="center"/>
              <w:rPr>
                <w:rFonts w:ascii="宋体" w:hAnsi="宋体" w:cs="宋体"/>
                <w:szCs w:val="21"/>
              </w:rPr>
            </w:pPr>
            <w:r>
              <w:rPr>
                <w:rFonts w:hint="eastAsia" w:ascii="宋体" w:hAnsi="宋体" w:cs="宋体"/>
                <w:szCs w:val="21"/>
              </w:rPr>
              <w:t>柴油发电机</w:t>
            </w:r>
          </w:p>
        </w:tc>
        <w:tc>
          <w:tcPr>
            <w:tcW w:w="857" w:type="dxa"/>
            <w:vMerge w:val="restart"/>
            <w:noWrap/>
            <w:vAlign w:val="center"/>
          </w:tcPr>
          <w:p>
            <w:pPr>
              <w:spacing w:line="276" w:lineRule="auto"/>
              <w:jc w:val="center"/>
              <w:rPr>
                <w:rFonts w:ascii="宋体" w:hAnsi="宋体" w:cs="宋体"/>
                <w:szCs w:val="21"/>
              </w:rPr>
            </w:pPr>
            <w:r>
              <w:rPr>
                <w:rFonts w:hint="eastAsia" w:ascii="宋体" w:hAnsi="宋体" w:cs="宋体"/>
                <w:szCs w:val="21"/>
              </w:rPr>
              <w:t>每月</w:t>
            </w:r>
          </w:p>
          <w:p>
            <w:pPr>
              <w:spacing w:line="276" w:lineRule="auto"/>
              <w:jc w:val="center"/>
              <w:rPr>
                <w:rFonts w:ascii="宋体" w:hAnsi="宋体" w:cs="宋体"/>
                <w:szCs w:val="21"/>
              </w:rPr>
            </w:pPr>
            <w:r>
              <w:rPr>
                <w:rFonts w:hint="eastAsia" w:ascii="宋体" w:hAnsi="宋体" w:cs="宋体"/>
                <w:szCs w:val="21"/>
              </w:rPr>
              <w:t>一次</w:t>
            </w:r>
          </w:p>
        </w:tc>
        <w:tc>
          <w:tcPr>
            <w:tcW w:w="4470" w:type="dxa"/>
            <w:noWrap/>
            <w:vAlign w:val="center"/>
          </w:tcPr>
          <w:p>
            <w:pPr>
              <w:spacing w:line="276" w:lineRule="auto"/>
              <w:rPr>
                <w:rFonts w:ascii="宋体" w:hAnsi="宋体" w:cs="宋体"/>
                <w:szCs w:val="21"/>
              </w:rPr>
            </w:pPr>
            <w:r>
              <w:rPr>
                <w:rFonts w:hint="eastAsia" w:ascii="宋体" w:hAnsi="宋体" w:cs="宋体"/>
                <w:szCs w:val="21"/>
              </w:rPr>
              <w:t>1.保持机房、设备清洁；检查润滑油位、冷却水位、燃油量、蓄电池电位和传动皮带，排烟、空气系统、控制系统是否正常。</w:t>
            </w:r>
          </w:p>
        </w:tc>
        <w:tc>
          <w:tcPr>
            <w:tcW w:w="1960" w:type="dxa"/>
            <w:vMerge w:val="restart"/>
            <w:noWrap/>
            <w:vAlign w:val="center"/>
          </w:tcPr>
          <w:p>
            <w:pPr>
              <w:spacing w:line="276" w:lineRule="auto"/>
              <w:rPr>
                <w:rFonts w:ascii="宋体" w:hAnsi="宋体" w:cs="宋体"/>
                <w:szCs w:val="21"/>
              </w:rPr>
            </w:pPr>
            <w:r>
              <w:rPr>
                <w:rFonts w:hint="eastAsia" w:ascii="宋体" w:hAnsi="宋体" w:cs="宋体"/>
                <w:szCs w:val="21"/>
              </w:rPr>
              <w:t>设备清洁、</w:t>
            </w:r>
          </w:p>
          <w:p>
            <w:pPr>
              <w:spacing w:line="276" w:lineRule="auto"/>
              <w:rPr>
                <w:rFonts w:ascii="宋体" w:hAnsi="宋体" w:cs="宋体"/>
                <w:szCs w:val="21"/>
              </w:rPr>
            </w:pPr>
            <w:r>
              <w:rPr>
                <w:rFonts w:hint="eastAsia" w:ascii="宋体" w:hAnsi="宋体" w:cs="宋体"/>
                <w:szCs w:val="21"/>
              </w:rPr>
              <w:t>正常有效。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2.外观检查发动机有无损坏、渗漏、皮带是否松弛或磨损。</w:t>
            </w:r>
          </w:p>
        </w:tc>
        <w:tc>
          <w:tcPr>
            <w:tcW w:w="1960"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3.每月一次试运行，15-20分钟/次，观察油压、水温、电压等是否正常。</w:t>
            </w:r>
          </w:p>
        </w:tc>
        <w:tc>
          <w:tcPr>
            <w:tcW w:w="1960"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continue"/>
            <w:noWrap/>
            <w:vAlign w:val="center"/>
          </w:tcPr>
          <w:p>
            <w:pPr>
              <w:spacing w:line="276" w:lineRule="auto"/>
              <w:jc w:val="center"/>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4.蓄电池电池液高于极板15-20MM，随时保持电池电压正常状态。</w:t>
            </w:r>
          </w:p>
        </w:tc>
        <w:tc>
          <w:tcPr>
            <w:tcW w:w="1960"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06" w:type="dxa"/>
            <w:vMerge w:val="continue"/>
            <w:noWrap/>
            <w:vAlign w:val="center"/>
          </w:tcPr>
          <w:p>
            <w:pPr>
              <w:spacing w:line="276" w:lineRule="auto"/>
              <w:jc w:val="center"/>
              <w:rPr>
                <w:rFonts w:ascii="宋体" w:hAnsi="宋体" w:cs="宋体"/>
                <w:szCs w:val="21"/>
              </w:rPr>
            </w:pPr>
          </w:p>
        </w:tc>
        <w:tc>
          <w:tcPr>
            <w:tcW w:w="857" w:type="dxa"/>
            <w:vMerge w:val="restart"/>
            <w:noWrap/>
            <w:vAlign w:val="center"/>
          </w:tcPr>
          <w:p>
            <w:pPr>
              <w:spacing w:line="276" w:lineRule="auto"/>
              <w:jc w:val="center"/>
              <w:rPr>
                <w:rFonts w:ascii="宋体" w:hAnsi="宋体" w:cs="宋体"/>
                <w:szCs w:val="21"/>
              </w:rPr>
            </w:pPr>
            <w:r>
              <w:rPr>
                <w:rFonts w:hint="eastAsia" w:ascii="宋体" w:hAnsi="宋体" w:cs="宋体"/>
                <w:szCs w:val="21"/>
              </w:rPr>
              <w:t>半年</w:t>
            </w:r>
          </w:p>
          <w:p>
            <w:pPr>
              <w:spacing w:line="276" w:lineRule="auto"/>
              <w:jc w:val="center"/>
              <w:rPr>
                <w:rFonts w:ascii="宋体" w:hAnsi="宋体" w:cs="宋体"/>
                <w:szCs w:val="21"/>
              </w:rPr>
            </w:pPr>
            <w:r>
              <w:rPr>
                <w:rFonts w:hint="eastAsia" w:ascii="宋体" w:hAnsi="宋体" w:cs="宋体"/>
                <w:szCs w:val="21"/>
              </w:rPr>
              <w:t>一次</w:t>
            </w:r>
          </w:p>
        </w:tc>
        <w:tc>
          <w:tcPr>
            <w:tcW w:w="4470" w:type="dxa"/>
            <w:noWrap/>
            <w:vAlign w:val="center"/>
          </w:tcPr>
          <w:p>
            <w:pPr>
              <w:spacing w:line="276" w:lineRule="auto"/>
              <w:rPr>
                <w:rFonts w:ascii="宋体" w:hAnsi="宋体" w:cs="宋体"/>
                <w:szCs w:val="21"/>
              </w:rPr>
            </w:pPr>
            <w:r>
              <w:rPr>
                <w:rFonts w:hint="eastAsia" w:ascii="宋体" w:hAnsi="宋体" w:cs="宋体"/>
                <w:szCs w:val="21"/>
              </w:rPr>
              <w:t>1.检查发动机绕组对地绝缘电阻；</w:t>
            </w:r>
          </w:p>
        </w:tc>
        <w:tc>
          <w:tcPr>
            <w:tcW w:w="1960" w:type="dxa"/>
            <w:noWrap/>
            <w:vAlign w:val="center"/>
          </w:tcPr>
          <w:p>
            <w:pPr>
              <w:spacing w:line="276" w:lineRule="auto"/>
              <w:rPr>
                <w:rFonts w:ascii="宋体" w:hAnsi="宋体" w:cs="宋体"/>
                <w:szCs w:val="21"/>
              </w:rPr>
            </w:pPr>
            <w:r>
              <w:rPr>
                <w:rFonts w:hint="eastAsia" w:ascii="宋体" w:hAnsi="宋体" w:cs="宋体"/>
                <w:szCs w:val="21"/>
              </w:rPr>
              <w:t>阻值合格。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006" w:type="dxa"/>
            <w:vMerge w:val="continue"/>
            <w:noWrap/>
            <w:vAlign w:val="center"/>
          </w:tcPr>
          <w:p>
            <w:pPr>
              <w:spacing w:line="276" w:lineRule="auto"/>
              <w:rPr>
                <w:rFonts w:ascii="宋体" w:hAnsi="宋体" w:cs="宋体"/>
                <w:szCs w:val="21"/>
              </w:rPr>
            </w:pPr>
          </w:p>
        </w:tc>
        <w:tc>
          <w:tcPr>
            <w:tcW w:w="857" w:type="dxa"/>
            <w:vMerge w:val="continue"/>
            <w:noWrap/>
            <w:vAlign w:val="center"/>
          </w:tcPr>
          <w:p>
            <w:pPr>
              <w:spacing w:line="276" w:lineRule="auto"/>
              <w:rPr>
                <w:rFonts w:ascii="宋体" w:hAnsi="宋体" w:cs="宋体"/>
                <w:szCs w:val="21"/>
              </w:rPr>
            </w:pPr>
          </w:p>
        </w:tc>
        <w:tc>
          <w:tcPr>
            <w:tcW w:w="4470" w:type="dxa"/>
            <w:noWrap/>
            <w:vAlign w:val="center"/>
          </w:tcPr>
          <w:p>
            <w:pPr>
              <w:spacing w:line="276" w:lineRule="auto"/>
              <w:rPr>
                <w:rFonts w:ascii="宋体" w:hAnsi="宋体" w:cs="宋体"/>
                <w:szCs w:val="21"/>
              </w:rPr>
            </w:pPr>
            <w:r>
              <w:rPr>
                <w:rFonts w:hint="eastAsia" w:ascii="宋体" w:hAnsi="宋体" w:cs="宋体"/>
                <w:szCs w:val="21"/>
              </w:rPr>
              <w:t>2.检查配电柜、控制屏接头是否拧紧,各类传感信号正常；3.设备整体除尘清洁。</w:t>
            </w:r>
          </w:p>
        </w:tc>
        <w:tc>
          <w:tcPr>
            <w:tcW w:w="1960" w:type="dxa"/>
            <w:noWrap/>
            <w:vAlign w:val="center"/>
          </w:tcPr>
          <w:p>
            <w:pPr>
              <w:spacing w:line="276" w:lineRule="auto"/>
              <w:rPr>
                <w:rFonts w:ascii="宋体" w:hAnsi="宋体" w:cs="宋体"/>
                <w:szCs w:val="21"/>
              </w:rPr>
            </w:pPr>
            <w:r>
              <w:rPr>
                <w:rFonts w:hint="eastAsia" w:ascii="宋体" w:hAnsi="宋体" w:cs="宋体"/>
                <w:szCs w:val="21"/>
              </w:rPr>
              <w:t>接头无松动、信号正确。</w:t>
            </w:r>
          </w:p>
        </w:tc>
      </w:tr>
    </w:tbl>
    <w:p>
      <w:pPr>
        <w:spacing w:line="276" w:lineRule="auto"/>
        <w:jc w:val="left"/>
        <w:outlineLvl w:val="2"/>
        <w:rPr>
          <w:rFonts w:ascii="宋体" w:hAnsi="宋体"/>
          <w:szCs w:val="21"/>
        </w:rPr>
      </w:pPr>
      <w:r>
        <w:rPr>
          <w:rFonts w:hint="eastAsia" w:ascii="宋体" w:hAnsi="宋体"/>
          <w:szCs w:val="21"/>
        </w:rPr>
        <w:t>4、给排水系统管理范围；本项目给排水系统各类设施设备。</w:t>
      </w:r>
    </w:p>
    <w:p>
      <w:pPr>
        <w:spacing w:line="276" w:lineRule="auto"/>
        <w:jc w:val="left"/>
        <w:rPr>
          <w:rFonts w:ascii="宋体" w:hAnsi="宋体"/>
          <w:szCs w:val="21"/>
        </w:rPr>
      </w:pPr>
      <w:r>
        <w:rPr>
          <w:rFonts w:hint="eastAsia" w:ascii="宋体" w:hAnsi="宋体"/>
          <w:szCs w:val="21"/>
        </w:rPr>
        <w:t>给排水系统管理养护要求：</w:t>
      </w:r>
    </w:p>
    <w:p>
      <w:pPr>
        <w:spacing w:line="276" w:lineRule="auto"/>
        <w:jc w:val="left"/>
        <w:rPr>
          <w:rFonts w:ascii="宋体" w:hAnsi="宋体"/>
          <w:szCs w:val="21"/>
        </w:rPr>
      </w:pPr>
      <w:r>
        <w:rPr>
          <w:rFonts w:hint="eastAsia" w:ascii="宋体" w:hAnsi="宋体"/>
          <w:szCs w:val="21"/>
        </w:rPr>
        <w:t>（1）中标人制定并严格落实供水、用水管理制度和给排水系统设备维修保养制度，加强对给排水系统范围内的设备设施包括管网、水泵、水箱、水池、化粪池、水井、阀门等的日常检查、保养、维修、清洁和清通工作，建立24小时维修值班制度，及时发现和排除故障，维修合格率100%，确保给排水系统正常、安全运行；</w:t>
      </w:r>
    </w:p>
    <w:p>
      <w:pPr>
        <w:spacing w:line="276" w:lineRule="auto"/>
        <w:jc w:val="left"/>
        <w:rPr>
          <w:rFonts w:ascii="宋体" w:hAnsi="宋体"/>
          <w:szCs w:val="21"/>
        </w:rPr>
      </w:pPr>
      <w:r>
        <w:rPr>
          <w:rFonts w:hint="eastAsia" w:ascii="宋体" w:hAnsi="宋体"/>
          <w:szCs w:val="21"/>
        </w:rPr>
        <w:t>（2）每季度对生活水池进行清洗消毒，按规定做好生活用水的处理，确保生活饮用水符合国家规定的标准和要求，确保消防水池的用水安全符合相关标准。</w:t>
      </w:r>
    </w:p>
    <w:p>
      <w:pPr>
        <w:spacing w:line="276" w:lineRule="auto"/>
        <w:jc w:val="left"/>
        <w:rPr>
          <w:rFonts w:ascii="宋体" w:hAnsi="宋体"/>
          <w:szCs w:val="21"/>
        </w:rPr>
      </w:pPr>
      <w:r>
        <w:rPr>
          <w:rFonts w:hint="eastAsia" w:ascii="宋体" w:hAnsi="宋体"/>
          <w:szCs w:val="21"/>
        </w:rPr>
        <w:t>（3）给排水系统管理养护具体要求如下表：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005"/>
        <w:gridCol w:w="4579"/>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1001" w:type="dxa"/>
            <w:noWrap/>
            <w:vAlign w:val="center"/>
          </w:tcPr>
          <w:p>
            <w:pPr>
              <w:spacing w:line="276" w:lineRule="auto"/>
              <w:jc w:val="center"/>
              <w:rPr>
                <w:rFonts w:ascii="宋体" w:hAnsi="宋体" w:cs="宋体"/>
                <w:szCs w:val="21"/>
              </w:rPr>
            </w:pPr>
            <w:r>
              <w:rPr>
                <w:rFonts w:hint="eastAsia" w:ascii="宋体" w:hAnsi="宋体" w:cs="宋体"/>
                <w:szCs w:val="21"/>
              </w:rPr>
              <w:t>项目</w:t>
            </w:r>
          </w:p>
        </w:tc>
        <w:tc>
          <w:tcPr>
            <w:tcW w:w="1005" w:type="dxa"/>
            <w:noWrap/>
            <w:vAlign w:val="center"/>
          </w:tcPr>
          <w:p>
            <w:pPr>
              <w:spacing w:line="276" w:lineRule="auto"/>
              <w:jc w:val="center"/>
              <w:rPr>
                <w:rFonts w:ascii="宋体" w:hAnsi="宋体" w:cs="宋体"/>
                <w:szCs w:val="21"/>
              </w:rPr>
            </w:pPr>
            <w:r>
              <w:rPr>
                <w:rFonts w:hint="eastAsia" w:ascii="宋体" w:hAnsi="宋体" w:cs="宋体"/>
                <w:szCs w:val="21"/>
              </w:rPr>
              <w:t>频次</w:t>
            </w:r>
          </w:p>
        </w:tc>
        <w:tc>
          <w:tcPr>
            <w:tcW w:w="4579" w:type="dxa"/>
            <w:noWrap/>
            <w:vAlign w:val="center"/>
          </w:tcPr>
          <w:p>
            <w:pPr>
              <w:spacing w:line="276" w:lineRule="auto"/>
              <w:jc w:val="center"/>
              <w:rPr>
                <w:rFonts w:ascii="宋体" w:hAnsi="宋体" w:cs="宋体"/>
                <w:szCs w:val="21"/>
              </w:rPr>
            </w:pPr>
            <w:r>
              <w:rPr>
                <w:rFonts w:hint="eastAsia" w:ascii="宋体" w:hAnsi="宋体" w:cs="宋体"/>
                <w:szCs w:val="21"/>
              </w:rPr>
              <w:t>内容</w:t>
            </w:r>
          </w:p>
        </w:tc>
        <w:tc>
          <w:tcPr>
            <w:tcW w:w="1708" w:type="dxa"/>
            <w:noWrap/>
            <w:vAlign w:val="center"/>
          </w:tcPr>
          <w:p>
            <w:pPr>
              <w:spacing w:line="276" w:lineRule="auto"/>
              <w:jc w:val="center"/>
              <w:rPr>
                <w:rFonts w:ascii="宋体" w:hAnsi="宋体" w:cs="宋体"/>
                <w:szCs w:val="21"/>
              </w:rPr>
            </w:pPr>
            <w:r>
              <w:rPr>
                <w:rFonts w:hint="eastAsia" w:ascii="宋体" w:hAnsi="宋体" w:cs="宋体"/>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01" w:type="dxa"/>
            <w:vMerge w:val="restart"/>
            <w:noWrap/>
            <w:vAlign w:val="center"/>
          </w:tcPr>
          <w:p>
            <w:pPr>
              <w:spacing w:line="276" w:lineRule="auto"/>
              <w:jc w:val="center"/>
              <w:rPr>
                <w:rFonts w:ascii="宋体" w:hAnsi="宋体" w:cs="宋体"/>
                <w:szCs w:val="21"/>
              </w:rPr>
            </w:pPr>
            <w:r>
              <w:rPr>
                <w:rFonts w:hint="eastAsia" w:ascii="宋体" w:hAnsi="宋体" w:cs="宋体"/>
                <w:szCs w:val="21"/>
              </w:rPr>
              <w:t>生活泵排污泵</w:t>
            </w:r>
          </w:p>
        </w:tc>
        <w:tc>
          <w:tcPr>
            <w:tcW w:w="1005" w:type="dxa"/>
            <w:vMerge w:val="restart"/>
            <w:noWrap/>
            <w:vAlign w:val="center"/>
          </w:tcPr>
          <w:p>
            <w:pPr>
              <w:spacing w:line="276" w:lineRule="auto"/>
              <w:jc w:val="center"/>
              <w:rPr>
                <w:rFonts w:ascii="宋体" w:hAnsi="宋体" w:cs="宋体"/>
                <w:szCs w:val="21"/>
              </w:rPr>
            </w:pPr>
            <w:r>
              <w:rPr>
                <w:rFonts w:hint="eastAsia" w:ascii="宋体" w:hAnsi="宋体" w:cs="宋体"/>
                <w:szCs w:val="21"/>
              </w:rPr>
              <w:t>每天</w:t>
            </w:r>
          </w:p>
          <w:p>
            <w:pPr>
              <w:spacing w:line="276" w:lineRule="auto"/>
              <w:jc w:val="center"/>
              <w:rPr>
                <w:rFonts w:ascii="宋体" w:hAnsi="宋体" w:cs="宋体"/>
                <w:szCs w:val="21"/>
              </w:rPr>
            </w:pPr>
            <w:r>
              <w:rPr>
                <w:rFonts w:hint="eastAsia" w:ascii="宋体" w:hAnsi="宋体" w:cs="宋体"/>
                <w:szCs w:val="21"/>
              </w:rPr>
              <w:t>一次</w:t>
            </w:r>
          </w:p>
        </w:tc>
        <w:tc>
          <w:tcPr>
            <w:tcW w:w="4579" w:type="dxa"/>
            <w:noWrap/>
            <w:vAlign w:val="center"/>
          </w:tcPr>
          <w:p>
            <w:pPr>
              <w:spacing w:line="276" w:lineRule="auto"/>
              <w:rPr>
                <w:rFonts w:ascii="宋体" w:hAnsi="宋体" w:cs="宋体"/>
                <w:szCs w:val="21"/>
              </w:rPr>
            </w:pPr>
            <w:r>
              <w:rPr>
                <w:rFonts w:hint="eastAsia" w:ascii="宋体" w:hAnsi="宋体" w:cs="宋体"/>
                <w:szCs w:val="21"/>
              </w:rPr>
              <w:t>生活水泵每天巡查，确保正常运行，发现故障及故障隐患及时处理，保持100%的完好率；</w:t>
            </w:r>
          </w:p>
        </w:tc>
        <w:tc>
          <w:tcPr>
            <w:tcW w:w="1708" w:type="dxa"/>
            <w:vMerge w:val="restart"/>
            <w:noWrap/>
            <w:vAlign w:val="center"/>
          </w:tcPr>
          <w:p>
            <w:pPr>
              <w:spacing w:line="276" w:lineRule="auto"/>
              <w:rPr>
                <w:rFonts w:ascii="宋体" w:hAnsi="宋体" w:cs="宋体"/>
                <w:szCs w:val="21"/>
              </w:rPr>
            </w:pPr>
            <w:r>
              <w:rPr>
                <w:rFonts w:hint="eastAsia" w:ascii="宋体" w:hAnsi="宋体" w:cs="宋体"/>
                <w:szCs w:val="21"/>
              </w:rPr>
              <w:t>设备卫生，</w:t>
            </w:r>
          </w:p>
          <w:p>
            <w:pPr>
              <w:spacing w:line="276" w:lineRule="auto"/>
              <w:rPr>
                <w:rFonts w:ascii="宋体" w:hAnsi="宋体" w:cs="宋体"/>
                <w:szCs w:val="21"/>
              </w:rPr>
            </w:pPr>
            <w:r>
              <w:rPr>
                <w:rFonts w:hint="eastAsia" w:ascii="宋体" w:hAnsi="宋体" w:cs="宋体"/>
                <w:szCs w:val="21"/>
              </w:rPr>
              <w:t>水位指示清晰。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continue"/>
            <w:noWrap/>
            <w:vAlign w:val="center"/>
          </w:tcPr>
          <w:p>
            <w:pPr>
              <w:spacing w:line="276" w:lineRule="auto"/>
              <w:jc w:val="center"/>
              <w:rPr>
                <w:rFonts w:ascii="宋体" w:hAnsi="宋体" w:cs="宋体"/>
                <w:szCs w:val="21"/>
              </w:rPr>
            </w:pPr>
          </w:p>
        </w:tc>
        <w:tc>
          <w:tcPr>
            <w:tcW w:w="4579" w:type="dxa"/>
            <w:noWrap/>
            <w:vAlign w:val="center"/>
          </w:tcPr>
          <w:p>
            <w:pPr>
              <w:spacing w:line="276" w:lineRule="auto"/>
              <w:rPr>
                <w:rFonts w:ascii="宋体" w:hAnsi="宋体" w:cs="宋体"/>
                <w:szCs w:val="21"/>
              </w:rPr>
            </w:pPr>
            <w:r>
              <w:rPr>
                <w:rFonts w:hint="eastAsia" w:ascii="宋体" w:hAnsi="宋体" w:cs="宋体"/>
                <w:szCs w:val="21"/>
              </w:rPr>
              <w:t>观察其水位、水压等指示是否正常，运行时有无异声、异味；</w:t>
            </w:r>
          </w:p>
        </w:tc>
        <w:tc>
          <w:tcPr>
            <w:tcW w:w="1708"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continue"/>
            <w:noWrap/>
            <w:vAlign w:val="center"/>
          </w:tcPr>
          <w:p>
            <w:pPr>
              <w:spacing w:line="276" w:lineRule="auto"/>
              <w:jc w:val="center"/>
              <w:rPr>
                <w:rFonts w:ascii="宋体" w:hAnsi="宋体" w:cs="宋体"/>
                <w:szCs w:val="21"/>
              </w:rPr>
            </w:pPr>
          </w:p>
        </w:tc>
        <w:tc>
          <w:tcPr>
            <w:tcW w:w="4579" w:type="dxa"/>
            <w:noWrap/>
            <w:vAlign w:val="center"/>
          </w:tcPr>
          <w:p>
            <w:pPr>
              <w:spacing w:line="276" w:lineRule="auto"/>
              <w:rPr>
                <w:rFonts w:ascii="宋体" w:hAnsi="宋体" w:cs="宋体"/>
                <w:szCs w:val="21"/>
              </w:rPr>
            </w:pPr>
            <w:r>
              <w:rPr>
                <w:rFonts w:hint="eastAsia" w:ascii="宋体" w:hAnsi="宋体" w:cs="宋体"/>
                <w:szCs w:val="21"/>
              </w:rPr>
              <w:t>检查盘根处滴水是否符合规范,如不规范,应及时处理。</w:t>
            </w:r>
          </w:p>
        </w:tc>
        <w:tc>
          <w:tcPr>
            <w:tcW w:w="1708"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noWrap/>
            <w:vAlign w:val="center"/>
          </w:tcPr>
          <w:p>
            <w:pPr>
              <w:spacing w:line="276" w:lineRule="auto"/>
              <w:jc w:val="center"/>
              <w:rPr>
                <w:rFonts w:ascii="宋体" w:hAnsi="宋体" w:cs="宋体"/>
                <w:szCs w:val="21"/>
              </w:rPr>
            </w:pPr>
            <w:r>
              <w:rPr>
                <w:rFonts w:hint="eastAsia" w:ascii="宋体" w:hAnsi="宋体" w:cs="宋体"/>
                <w:szCs w:val="21"/>
              </w:rPr>
              <w:t>每月</w:t>
            </w:r>
          </w:p>
          <w:p>
            <w:pPr>
              <w:spacing w:line="276" w:lineRule="auto"/>
              <w:jc w:val="center"/>
              <w:rPr>
                <w:rFonts w:ascii="宋体" w:hAnsi="宋体" w:cs="宋体"/>
                <w:szCs w:val="21"/>
              </w:rPr>
            </w:pPr>
            <w:r>
              <w:rPr>
                <w:rFonts w:hint="eastAsia" w:ascii="宋体" w:hAnsi="宋体" w:cs="宋体"/>
                <w:szCs w:val="21"/>
              </w:rPr>
              <w:t>一次</w:t>
            </w:r>
          </w:p>
        </w:tc>
        <w:tc>
          <w:tcPr>
            <w:tcW w:w="4579" w:type="dxa"/>
            <w:noWrap/>
            <w:vAlign w:val="center"/>
          </w:tcPr>
          <w:p>
            <w:pPr>
              <w:spacing w:line="276" w:lineRule="auto"/>
              <w:rPr>
                <w:rFonts w:ascii="宋体" w:hAnsi="宋体" w:cs="宋体"/>
                <w:szCs w:val="21"/>
              </w:rPr>
            </w:pPr>
            <w:r>
              <w:rPr>
                <w:rFonts w:hint="eastAsia" w:ascii="宋体" w:hAnsi="宋体" w:cs="宋体"/>
                <w:szCs w:val="21"/>
              </w:rPr>
              <w:t>潜水泵每月检查，浮球阀高低水位及水泵自动控制是否正常，并随时保持100%的完好率。电机、轴承加注黄油：如有异响，应更换轴承；泵体及管道阀门除锈刷漆；紧固柜各线路接头螺母，清扫柜内灰尘等。</w:t>
            </w:r>
          </w:p>
        </w:tc>
        <w:tc>
          <w:tcPr>
            <w:tcW w:w="1708" w:type="dxa"/>
            <w:noWrap/>
            <w:vAlign w:val="center"/>
          </w:tcPr>
          <w:p>
            <w:pPr>
              <w:spacing w:line="276" w:lineRule="auto"/>
              <w:rPr>
                <w:rFonts w:ascii="宋体" w:hAnsi="宋体" w:cs="宋体"/>
                <w:szCs w:val="21"/>
              </w:rPr>
            </w:pPr>
            <w:r>
              <w:rPr>
                <w:rFonts w:hint="eastAsia" w:ascii="宋体" w:hAnsi="宋体" w:cs="宋体"/>
                <w:szCs w:val="21"/>
              </w:rPr>
              <w:t>线头紧固良好。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01" w:type="dxa"/>
            <w:vMerge w:val="restart"/>
            <w:noWrap/>
            <w:vAlign w:val="center"/>
          </w:tcPr>
          <w:p>
            <w:pPr>
              <w:spacing w:line="276" w:lineRule="auto"/>
              <w:jc w:val="center"/>
              <w:rPr>
                <w:rFonts w:ascii="宋体" w:hAnsi="宋体" w:cs="宋体"/>
                <w:szCs w:val="21"/>
              </w:rPr>
            </w:pPr>
            <w:r>
              <w:rPr>
                <w:rFonts w:hint="eastAsia" w:ascii="宋体" w:hAnsi="宋体" w:cs="宋体"/>
                <w:szCs w:val="21"/>
              </w:rPr>
              <w:t>供水、排污管网</w:t>
            </w:r>
          </w:p>
        </w:tc>
        <w:tc>
          <w:tcPr>
            <w:tcW w:w="1005" w:type="dxa"/>
            <w:vMerge w:val="restart"/>
            <w:noWrap/>
            <w:vAlign w:val="center"/>
          </w:tcPr>
          <w:p>
            <w:pPr>
              <w:spacing w:line="276" w:lineRule="auto"/>
              <w:jc w:val="center"/>
              <w:rPr>
                <w:rFonts w:ascii="宋体" w:hAnsi="宋体" w:cs="宋体"/>
                <w:szCs w:val="21"/>
              </w:rPr>
            </w:pPr>
            <w:r>
              <w:rPr>
                <w:rFonts w:hint="eastAsia" w:ascii="宋体" w:hAnsi="宋体" w:cs="宋体"/>
                <w:szCs w:val="21"/>
              </w:rPr>
              <w:t>每周</w:t>
            </w:r>
          </w:p>
          <w:p>
            <w:pPr>
              <w:spacing w:line="276" w:lineRule="auto"/>
              <w:jc w:val="center"/>
              <w:rPr>
                <w:rFonts w:ascii="宋体" w:hAnsi="宋体" w:cs="宋体"/>
                <w:szCs w:val="21"/>
              </w:rPr>
            </w:pPr>
            <w:r>
              <w:rPr>
                <w:rFonts w:hint="eastAsia" w:ascii="宋体" w:hAnsi="宋体" w:cs="宋体"/>
                <w:szCs w:val="21"/>
              </w:rPr>
              <w:t>一次</w:t>
            </w:r>
          </w:p>
        </w:tc>
        <w:tc>
          <w:tcPr>
            <w:tcW w:w="4579" w:type="dxa"/>
            <w:noWrap/>
            <w:vAlign w:val="center"/>
          </w:tcPr>
          <w:p>
            <w:pPr>
              <w:spacing w:line="276" w:lineRule="auto"/>
              <w:rPr>
                <w:rFonts w:ascii="宋体" w:hAnsi="宋体" w:cs="宋体"/>
                <w:szCs w:val="21"/>
              </w:rPr>
            </w:pPr>
            <w:r>
              <w:rPr>
                <w:rFonts w:hint="eastAsia" w:ascii="宋体" w:hAnsi="宋体" w:cs="宋体"/>
                <w:szCs w:val="21"/>
              </w:rPr>
              <w:t>检查外观是否完好，应无滴、漏现象；</w:t>
            </w:r>
          </w:p>
        </w:tc>
        <w:tc>
          <w:tcPr>
            <w:tcW w:w="1708" w:type="dxa"/>
            <w:vMerge w:val="restart"/>
            <w:noWrap/>
            <w:vAlign w:val="center"/>
          </w:tcPr>
          <w:p>
            <w:pPr>
              <w:spacing w:line="276" w:lineRule="auto"/>
              <w:rPr>
                <w:rFonts w:ascii="宋体" w:hAnsi="宋体" w:cs="宋体"/>
                <w:szCs w:val="21"/>
              </w:rPr>
            </w:pPr>
            <w:r>
              <w:rPr>
                <w:rFonts w:hint="eastAsia" w:ascii="宋体" w:hAnsi="宋体" w:cs="宋体"/>
                <w:szCs w:val="21"/>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continue"/>
            <w:noWrap/>
            <w:vAlign w:val="center"/>
          </w:tcPr>
          <w:p>
            <w:pPr>
              <w:spacing w:line="276" w:lineRule="auto"/>
              <w:jc w:val="center"/>
              <w:rPr>
                <w:rFonts w:ascii="宋体" w:hAnsi="宋体" w:cs="宋体"/>
                <w:szCs w:val="21"/>
              </w:rPr>
            </w:pPr>
          </w:p>
        </w:tc>
        <w:tc>
          <w:tcPr>
            <w:tcW w:w="4579" w:type="dxa"/>
            <w:noWrap/>
            <w:vAlign w:val="center"/>
          </w:tcPr>
          <w:p>
            <w:pPr>
              <w:spacing w:line="276" w:lineRule="auto"/>
              <w:rPr>
                <w:rFonts w:ascii="宋体" w:hAnsi="宋体" w:cs="宋体"/>
                <w:szCs w:val="21"/>
              </w:rPr>
            </w:pPr>
            <w:r>
              <w:rPr>
                <w:rFonts w:hint="eastAsia" w:ascii="宋体" w:hAnsi="宋体" w:cs="宋体"/>
                <w:szCs w:val="21"/>
              </w:rPr>
              <w:t>检查闸阀，观察供压力表是否正常。阀门开启位置是否正确，标示是否清晰。</w:t>
            </w:r>
          </w:p>
        </w:tc>
        <w:tc>
          <w:tcPr>
            <w:tcW w:w="1708"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restart"/>
            <w:noWrap/>
            <w:vAlign w:val="center"/>
          </w:tcPr>
          <w:p>
            <w:pPr>
              <w:spacing w:line="276" w:lineRule="auto"/>
              <w:jc w:val="center"/>
              <w:rPr>
                <w:rFonts w:ascii="宋体" w:hAnsi="宋体" w:cs="宋体"/>
                <w:szCs w:val="21"/>
              </w:rPr>
            </w:pPr>
            <w:r>
              <w:rPr>
                <w:rFonts w:hint="eastAsia" w:ascii="宋体" w:hAnsi="宋体" w:cs="宋体"/>
                <w:szCs w:val="21"/>
              </w:rPr>
              <w:t>每季</w:t>
            </w:r>
          </w:p>
          <w:p>
            <w:pPr>
              <w:spacing w:line="276" w:lineRule="auto"/>
              <w:jc w:val="center"/>
              <w:rPr>
                <w:rFonts w:ascii="宋体" w:hAnsi="宋体" w:cs="宋体"/>
                <w:szCs w:val="21"/>
              </w:rPr>
            </w:pPr>
            <w:r>
              <w:rPr>
                <w:rFonts w:hint="eastAsia" w:ascii="宋体" w:hAnsi="宋体" w:cs="宋体"/>
                <w:szCs w:val="21"/>
              </w:rPr>
              <w:t>一次</w:t>
            </w:r>
          </w:p>
        </w:tc>
        <w:tc>
          <w:tcPr>
            <w:tcW w:w="4579" w:type="dxa"/>
            <w:noWrap/>
            <w:vAlign w:val="center"/>
          </w:tcPr>
          <w:p>
            <w:pPr>
              <w:spacing w:line="276" w:lineRule="auto"/>
              <w:rPr>
                <w:rFonts w:ascii="宋体" w:hAnsi="宋体" w:cs="宋体"/>
                <w:szCs w:val="21"/>
              </w:rPr>
            </w:pPr>
            <w:r>
              <w:rPr>
                <w:rFonts w:hint="eastAsia" w:ascii="宋体" w:hAnsi="宋体" w:cs="宋体"/>
                <w:szCs w:val="21"/>
              </w:rPr>
              <w:t>清理管道内的杂物，疏通排污管道；</w:t>
            </w:r>
          </w:p>
        </w:tc>
        <w:tc>
          <w:tcPr>
            <w:tcW w:w="1708" w:type="dxa"/>
            <w:vMerge w:val="restart"/>
            <w:noWrap/>
            <w:vAlign w:val="center"/>
          </w:tcPr>
          <w:p>
            <w:pPr>
              <w:spacing w:line="276" w:lineRule="auto"/>
              <w:rPr>
                <w:rFonts w:ascii="宋体" w:hAnsi="宋体" w:cs="宋体"/>
                <w:szCs w:val="21"/>
              </w:rPr>
            </w:pPr>
            <w:r>
              <w:rPr>
                <w:rFonts w:hint="eastAsia" w:ascii="宋体" w:hAnsi="宋体" w:cs="宋体"/>
                <w:szCs w:val="21"/>
              </w:rPr>
              <w:t>管道内无杂物，阀门开启灵活，无泄漏。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continue"/>
            <w:noWrap/>
            <w:vAlign w:val="center"/>
          </w:tcPr>
          <w:p>
            <w:pPr>
              <w:spacing w:line="276" w:lineRule="auto"/>
              <w:jc w:val="center"/>
              <w:rPr>
                <w:rFonts w:ascii="宋体" w:hAnsi="宋体" w:cs="宋体"/>
                <w:szCs w:val="21"/>
              </w:rPr>
            </w:pPr>
          </w:p>
        </w:tc>
        <w:tc>
          <w:tcPr>
            <w:tcW w:w="4579" w:type="dxa"/>
            <w:noWrap/>
            <w:vAlign w:val="center"/>
          </w:tcPr>
          <w:p>
            <w:pPr>
              <w:spacing w:line="276" w:lineRule="auto"/>
              <w:rPr>
                <w:rFonts w:ascii="宋体" w:hAnsi="宋体" w:cs="宋体"/>
                <w:szCs w:val="21"/>
              </w:rPr>
            </w:pPr>
            <w:r>
              <w:rPr>
                <w:rFonts w:hint="eastAsia" w:ascii="宋体" w:hAnsi="宋体" w:cs="宋体"/>
                <w:szCs w:val="21"/>
              </w:rPr>
              <w:t>检查闸阀开启、关闭是否灵活，有无跑、冒、滴、漏现象。</w:t>
            </w:r>
          </w:p>
        </w:tc>
        <w:tc>
          <w:tcPr>
            <w:tcW w:w="1708"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restart"/>
            <w:noWrap/>
            <w:vAlign w:val="center"/>
          </w:tcPr>
          <w:p>
            <w:pPr>
              <w:spacing w:line="276" w:lineRule="auto"/>
              <w:jc w:val="center"/>
              <w:rPr>
                <w:rFonts w:ascii="宋体" w:hAnsi="宋体" w:cs="宋体"/>
                <w:szCs w:val="21"/>
              </w:rPr>
            </w:pPr>
            <w:r>
              <w:rPr>
                <w:rFonts w:hint="eastAsia" w:ascii="宋体" w:hAnsi="宋体" w:cs="宋体"/>
                <w:szCs w:val="21"/>
              </w:rPr>
              <w:t>每年</w:t>
            </w:r>
          </w:p>
          <w:p>
            <w:pPr>
              <w:spacing w:line="276" w:lineRule="auto"/>
              <w:jc w:val="center"/>
              <w:rPr>
                <w:rFonts w:ascii="宋体" w:hAnsi="宋体" w:cs="宋体"/>
                <w:szCs w:val="21"/>
              </w:rPr>
            </w:pPr>
            <w:r>
              <w:rPr>
                <w:rFonts w:hint="eastAsia" w:ascii="宋体" w:hAnsi="宋体" w:cs="宋体"/>
                <w:szCs w:val="21"/>
              </w:rPr>
              <w:t>一次</w:t>
            </w:r>
          </w:p>
        </w:tc>
        <w:tc>
          <w:tcPr>
            <w:tcW w:w="4579" w:type="dxa"/>
            <w:noWrap/>
            <w:vAlign w:val="center"/>
          </w:tcPr>
          <w:p>
            <w:pPr>
              <w:spacing w:line="276" w:lineRule="auto"/>
              <w:rPr>
                <w:rFonts w:ascii="宋体" w:hAnsi="宋体" w:cs="宋体"/>
                <w:szCs w:val="21"/>
              </w:rPr>
            </w:pPr>
            <w:r>
              <w:rPr>
                <w:rFonts w:hint="eastAsia" w:ascii="宋体" w:hAnsi="宋体" w:cs="宋体"/>
                <w:szCs w:val="21"/>
              </w:rPr>
              <w:t>重复上述内容；</w:t>
            </w:r>
          </w:p>
        </w:tc>
        <w:tc>
          <w:tcPr>
            <w:tcW w:w="1708" w:type="dxa"/>
            <w:vMerge w:val="restart"/>
            <w:noWrap/>
            <w:vAlign w:val="center"/>
          </w:tcPr>
          <w:p>
            <w:pPr>
              <w:spacing w:line="276" w:lineRule="auto"/>
              <w:rPr>
                <w:rFonts w:ascii="宋体" w:hAnsi="宋体" w:cs="宋体"/>
                <w:szCs w:val="21"/>
              </w:rPr>
            </w:pPr>
            <w:r>
              <w:rPr>
                <w:rFonts w:hint="eastAsia" w:ascii="宋体" w:hAnsi="宋体" w:cs="宋体"/>
                <w:szCs w:val="21"/>
              </w:rPr>
              <w:t>管架防锈良好，阀门工作正常，标示清晰。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continue"/>
            <w:noWrap/>
            <w:vAlign w:val="center"/>
          </w:tcPr>
          <w:p>
            <w:pPr>
              <w:spacing w:line="276" w:lineRule="auto"/>
              <w:jc w:val="center"/>
              <w:rPr>
                <w:rFonts w:ascii="宋体" w:hAnsi="宋体" w:cs="宋体"/>
                <w:szCs w:val="21"/>
              </w:rPr>
            </w:pPr>
          </w:p>
        </w:tc>
        <w:tc>
          <w:tcPr>
            <w:tcW w:w="4579" w:type="dxa"/>
            <w:noWrap/>
            <w:vAlign w:val="center"/>
          </w:tcPr>
          <w:p>
            <w:pPr>
              <w:spacing w:line="276" w:lineRule="auto"/>
              <w:rPr>
                <w:rFonts w:ascii="宋体" w:hAnsi="宋体" w:cs="宋体"/>
                <w:szCs w:val="21"/>
              </w:rPr>
            </w:pPr>
            <w:r>
              <w:rPr>
                <w:rFonts w:hint="eastAsia" w:ascii="宋体" w:hAnsi="宋体" w:cs="宋体"/>
                <w:szCs w:val="21"/>
              </w:rPr>
              <w:t>检查修整全部管架；</w:t>
            </w:r>
          </w:p>
        </w:tc>
        <w:tc>
          <w:tcPr>
            <w:tcW w:w="1708"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continue"/>
            <w:noWrap/>
            <w:vAlign w:val="center"/>
          </w:tcPr>
          <w:p>
            <w:pPr>
              <w:spacing w:line="276" w:lineRule="auto"/>
              <w:jc w:val="center"/>
              <w:rPr>
                <w:rFonts w:ascii="宋体" w:hAnsi="宋体" w:cs="宋体"/>
                <w:szCs w:val="21"/>
              </w:rPr>
            </w:pPr>
          </w:p>
        </w:tc>
        <w:tc>
          <w:tcPr>
            <w:tcW w:w="4579" w:type="dxa"/>
            <w:noWrap/>
            <w:vAlign w:val="center"/>
          </w:tcPr>
          <w:p>
            <w:pPr>
              <w:spacing w:line="276" w:lineRule="auto"/>
              <w:rPr>
                <w:rFonts w:ascii="宋体" w:hAnsi="宋体" w:cs="宋体"/>
                <w:szCs w:val="21"/>
              </w:rPr>
            </w:pPr>
            <w:r>
              <w:rPr>
                <w:rFonts w:hint="eastAsia" w:ascii="宋体" w:hAnsi="宋体" w:cs="宋体"/>
                <w:szCs w:val="21"/>
              </w:rPr>
              <w:t>管道及支架除锈刷漆：</w:t>
            </w:r>
          </w:p>
        </w:tc>
        <w:tc>
          <w:tcPr>
            <w:tcW w:w="1708"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continue"/>
            <w:noWrap/>
            <w:vAlign w:val="center"/>
          </w:tcPr>
          <w:p>
            <w:pPr>
              <w:spacing w:line="276" w:lineRule="auto"/>
              <w:jc w:val="center"/>
              <w:rPr>
                <w:rFonts w:ascii="宋体" w:hAnsi="宋体" w:cs="宋体"/>
                <w:szCs w:val="21"/>
              </w:rPr>
            </w:pPr>
          </w:p>
        </w:tc>
        <w:tc>
          <w:tcPr>
            <w:tcW w:w="4579" w:type="dxa"/>
            <w:noWrap/>
            <w:vAlign w:val="center"/>
          </w:tcPr>
          <w:p>
            <w:pPr>
              <w:spacing w:line="276" w:lineRule="auto"/>
              <w:rPr>
                <w:rFonts w:ascii="宋体" w:hAnsi="宋体" w:cs="宋体"/>
                <w:szCs w:val="21"/>
              </w:rPr>
            </w:pPr>
            <w:r>
              <w:rPr>
                <w:rFonts w:hint="eastAsia" w:ascii="宋体" w:hAnsi="宋体" w:cs="宋体"/>
                <w:szCs w:val="21"/>
              </w:rPr>
              <w:t>检查止回阀、浮球阀、液位控制器是否正常；管道内部清洗、作防腐处理；</w:t>
            </w:r>
          </w:p>
        </w:tc>
        <w:tc>
          <w:tcPr>
            <w:tcW w:w="1708"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continue"/>
            <w:noWrap/>
            <w:vAlign w:val="center"/>
          </w:tcPr>
          <w:p>
            <w:pPr>
              <w:spacing w:line="276" w:lineRule="auto"/>
              <w:jc w:val="center"/>
              <w:rPr>
                <w:rFonts w:ascii="宋体" w:hAnsi="宋体" w:cs="宋体"/>
                <w:szCs w:val="21"/>
              </w:rPr>
            </w:pPr>
          </w:p>
        </w:tc>
        <w:tc>
          <w:tcPr>
            <w:tcW w:w="4579" w:type="dxa"/>
            <w:noWrap/>
            <w:vAlign w:val="center"/>
          </w:tcPr>
          <w:p>
            <w:pPr>
              <w:spacing w:line="276" w:lineRule="auto"/>
              <w:rPr>
                <w:rFonts w:ascii="宋体" w:hAnsi="宋体" w:cs="宋体"/>
                <w:szCs w:val="21"/>
              </w:rPr>
            </w:pPr>
            <w:r>
              <w:rPr>
                <w:rFonts w:hint="eastAsia" w:ascii="宋体" w:hAnsi="宋体" w:cs="宋体"/>
                <w:szCs w:val="21"/>
              </w:rPr>
              <w:t>更换各类阀门标示，并标注管内水流方向；各类阀门丝杆上油并加装防护套。</w:t>
            </w:r>
          </w:p>
        </w:tc>
        <w:tc>
          <w:tcPr>
            <w:tcW w:w="1708"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01" w:type="dxa"/>
            <w:vMerge w:val="restart"/>
            <w:noWrap/>
            <w:vAlign w:val="center"/>
          </w:tcPr>
          <w:p>
            <w:pPr>
              <w:spacing w:line="276" w:lineRule="auto"/>
              <w:jc w:val="center"/>
              <w:rPr>
                <w:rFonts w:ascii="宋体" w:hAnsi="宋体" w:cs="宋体"/>
                <w:szCs w:val="21"/>
              </w:rPr>
            </w:pPr>
            <w:r>
              <w:rPr>
                <w:rFonts w:hint="eastAsia" w:ascii="宋体" w:hAnsi="宋体" w:cs="宋体"/>
                <w:szCs w:val="21"/>
              </w:rPr>
              <w:t>生活水池</w:t>
            </w:r>
          </w:p>
        </w:tc>
        <w:tc>
          <w:tcPr>
            <w:tcW w:w="1005" w:type="dxa"/>
            <w:vMerge w:val="restart"/>
            <w:noWrap/>
            <w:vAlign w:val="center"/>
          </w:tcPr>
          <w:p>
            <w:pPr>
              <w:spacing w:line="276" w:lineRule="auto"/>
              <w:jc w:val="center"/>
              <w:rPr>
                <w:rFonts w:ascii="宋体" w:hAnsi="宋体" w:cs="宋体"/>
                <w:szCs w:val="21"/>
              </w:rPr>
            </w:pPr>
            <w:r>
              <w:rPr>
                <w:rFonts w:hint="eastAsia" w:ascii="宋体" w:hAnsi="宋体" w:cs="宋体"/>
                <w:szCs w:val="21"/>
              </w:rPr>
              <w:t>每周</w:t>
            </w:r>
          </w:p>
          <w:p>
            <w:pPr>
              <w:spacing w:line="276" w:lineRule="auto"/>
              <w:jc w:val="center"/>
              <w:rPr>
                <w:rFonts w:ascii="宋体" w:hAnsi="宋体" w:cs="宋体"/>
                <w:szCs w:val="21"/>
              </w:rPr>
            </w:pPr>
            <w:r>
              <w:rPr>
                <w:rFonts w:hint="eastAsia" w:ascii="宋体" w:hAnsi="宋体" w:cs="宋体"/>
                <w:szCs w:val="21"/>
              </w:rPr>
              <w:t>一次</w:t>
            </w:r>
          </w:p>
        </w:tc>
        <w:tc>
          <w:tcPr>
            <w:tcW w:w="4579" w:type="dxa"/>
            <w:noWrap/>
            <w:vAlign w:val="center"/>
          </w:tcPr>
          <w:p>
            <w:pPr>
              <w:spacing w:line="276" w:lineRule="auto"/>
              <w:rPr>
                <w:rFonts w:ascii="宋体" w:hAnsi="宋体" w:cs="宋体"/>
                <w:szCs w:val="21"/>
              </w:rPr>
            </w:pPr>
            <w:r>
              <w:rPr>
                <w:rFonts w:hint="eastAsia" w:ascii="宋体" w:hAnsi="宋体" w:cs="宋体"/>
                <w:szCs w:val="21"/>
              </w:rPr>
              <w:t>检查外观是否完好，有无跑冒、滴、漏现象，箱口及透气管防虫纱网是否完好；</w:t>
            </w:r>
          </w:p>
        </w:tc>
        <w:tc>
          <w:tcPr>
            <w:tcW w:w="1708" w:type="dxa"/>
            <w:vMerge w:val="restart"/>
            <w:noWrap/>
            <w:vAlign w:val="center"/>
          </w:tcPr>
          <w:p>
            <w:pPr>
              <w:spacing w:line="276" w:lineRule="auto"/>
              <w:rPr>
                <w:rFonts w:ascii="宋体" w:hAnsi="宋体" w:cs="宋体"/>
                <w:szCs w:val="21"/>
              </w:rPr>
            </w:pPr>
            <w:r>
              <w:rPr>
                <w:rFonts w:hint="eastAsia" w:ascii="宋体" w:hAnsi="宋体" w:cs="宋体"/>
                <w:szCs w:val="21"/>
              </w:rPr>
              <w:t>无泄漏，防虫网、盖板完好，水质合格。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continue"/>
            <w:noWrap/>
            <w:vAlign w:val="center"/>
          </w:tcPr>
          <w:p>
            <w:pPr>
              <w:spacing w:line="276" w:lineRule="auto"/>
              <w:jc w:val="center"/>
              <w:rPr>
                <w:rFonts w:ascii="宋体" w:hAnsi="宋体" w:cs="宋体"/>
                <w:szCs w:val="21"/>
              </w:rPr>
            </w:pPr>
          </w:p>
        </w:tc>
        <w:tc>
          <w:tcPr>
            <w:tcW w:w="4579" w:type="dxa"/>
            <w:noWrap/>
            <w:vAlign w:val="center"/>
          </w:tcPr>
          <w:p>
            <w:pPr>
              <w:spacing w:line="276" w:lineRule="auto"/>
              <w:rPr>
                <w:rFonts w:ascii="宋体" w:hAnsi="宋体" w:cs="宋体"/>
                <w:szCs w:val="21"/>
              </w:rPr>
            </w:pPr>
            <w:r>
              <w:rPr>
                <w:rFonts w:hint="eastAsia" w:ascii="宋体" w:hAnsi="宋体" w:cs="宋体"/>
                <w:szCs w:val="21"/>
              </w:rPr>
              <w:t>打开排污阀排污。检查进水浮阀并作手动进水试验；</w:t>
            </w:r>
          </w:p>
        </w:tc>
        <w:tc>
          <w:tcPr>
            <w:tcW w:w="1708"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continue"/>
            <w:noWrap/>
            <w:vAlign w:val="center"/>
          </w:tcPr>
          <w:p>
            <w:pPr>
              <w:spacing w:line="276" w:lineRule="auto"/>
              <w:jc w:val="center"/>
              <w:rPr>
                <w:rFonts w:ascii="宋体" w:hAnsi="宋体" w:cs="宋体"/>
                <w:szCs w:val="21"/>
              </w:rPr>
            </w:pPr>
          </w:p>
        </w:tc>
        <w:tc>
          <w:tcPr>
            <w:tcW w:w="4579" w:type="dxa"/>
            <w:noWrap/>
            <w:vAlign w:val="center"/>
          </w:tcPr>
          <w:p>
            <w:pPr>
              <w:spacing w:line="276" w:lineRule="auto"/>
              <w:rPr>
                <w:rFonts w:ascii="宋体" w:hAnsi="宋体" w:cs="宋体"/>
                <w:szCs w:val="21"/>
              </w:rPr>
            </w:pPr>
            <w:r>
              <w:rPr>
                <w:rFonts w:hint="eastAsia" w:ascii="宋体" w:hAnsi="宋体" w:cs="宋体"/>
                <w:szCs w:val="21"/>
              </w:rPr>
              <w:t>观察水质情况，检测水的PH值和含氯量。水箱、水池盖板是否上锁并且完好。</w:t>
            </w:r>
          </w:p>
        </w:tc>
        <w:tc>
          <w:tcPr>
            <w:tcW w:w="1708"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noWrap/>
            <w:vAlign w:val="center"/>
          </w:tcPr>
          <w:p>
            <w:pPr>
              <w:spacing w:line="276" w:lineRule="auto"/>
              <w:jc w:val="center"/>
              <w:rPr>
                <w:rFonts w:ascii="宋体" w:hAnsi="宋体" w:cs="宋体"/>
                <w:szCs w:val="21"/>
              </w:rPr>
            </w:pPr>
            <w:r>
              <w:rPr>
                <w:rFonts w:hint="eastAsia" w:ascii="宋体" w:hAnsi="宋体" w:cs="宋体"/>
                <w:szCs w:val="21"/>
              </w:rPr>
              <w:t>每月</w:t>
            </w:r>
          </w:p>
          <w:p>
            <w:pPr>
              <w:spacing w:line="276" w:lineRule="auto"/>
              <w:jc w:val="center"/>
              <w:rPr>
                <w:rFonts w:ascii="宋体" w:hAnsi="宋体" w:cs="宋体"/>
                <w:szCs w:val="21"/>
              </w:rPr>
            </w:pPr>
            <w:r>
              <w:rPr>
                <w:rFonts w:hint="eastAsia" w:ascii="宋体" w:hAnsi="宋体" w:cs="宋体"/>
                <w:szCs w:val="21"/>
              </w:rPr>
              <w:t>一次</w:t>
            </w:r>
          </w:p>
        </w:tc>
        <w:tc>
          <w:tcPr>
            <w:tcW w:w="4579" w:type="dxa"/>
            <w:noWrap/>
            <w:vAlign w:val="center"/>
          </w:tcPr>
          <w:p>
            <w:pPr>
              <w:spacing w:line="276" w:lineRule="auto"/>
              <w:rPr>
                <w:rFonts w:ascii="宋体" w:hAnsi="宋体" w:cs="宋体"/>
                <w:szCs w:val="21"/>
              </w:rPr>
            </w:pPr>
            <w:r>
              <w:rPr>
                <w:rFonts w:hint="eastAsia" w:ascii="宋体" w:hAnsi="宋体" w:cs="宋体"/>
                <w:szCs w:val="21"/>
              </w:rPr>
              <w:t>按规定比例按时投放消毒药品。</w:t>
            </w:r>
          </w:p>
        </w:tc>
        <w:tc>
          <w:tcPr>
            <w:tcW w:w="1708" w:type="dxa"/>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restart"/>
            <w:noWrap/>
            <w:vAlign w:val="center"/>
          </w:tcPr>
          <w:p>
            <w:pPr>
              <w:spacing w:line="276" w:lineRule="auto"/>
              <w:jc w:val="center"/>
              <w:rPr>
                <w:rFonts w:ascii="宋体" w:hAnsi="宋体" w:cs="宋体"/>
                <w:szCs w:val="21"/>
              </w:rPr>
            </w:pPr>
            <w:r>
              <w:rPr>
                <w:rFonts w:hint="eastAsia" w:ascii="宋体" w:hAnsi="宋体" w:cs="宋体"/>
                <w:szCs w:val="21"/>
              </w:rPr>
              <w:t>每年</w:t>
            </w:r>
          </w:p>
          <w:p>
            <w:pPr>
              <w:spacing w:line="276" w:lineRule="auto"/>
              <w:jc w:val="center"/>
              <w:rPr>
                <w:rFonts w:ascii="宋体" w:hAnsi="宋体" w:cs="宋体"/>
                <w:szCs w:val="21"/>
              </w:rPr>
            </w:pPr>
            <w:r>
              <w:rPr>
                <w:rFonts w:hint="eastAsia" w:ascii="宋体" w:hAnsi="宋体" w:cs="宋体"/>
                <w:szCs w:val="21"/>
              </w:rPr>
              <w:t>清洗</w:t>
            </w:r>
          </w:p>
          <w:p>
            <w:pPr>
              <w:spacing w:line="276" w:lineRule="auto"/>
              <w:jc w:val="center"/>
              <w:rPr>
                <w:rFonts w:ascii="宋体" w:hAnsi="宋体" w:cs="宋体"/>
                <w:szCs w:val="21"/>
              </w:rPr>
            </w:pPr>
            <w:r>
              <w:rPr>
                <w:rFonts w:hint="eastAsia" w:ascii="宋体" w:hAnsi="宋体" w:cs="宋体"/>
                <w:szCs w:val="21"/>
              </w:rPr>
              <w:t>两次</w:t>
            </w:r>
          </w:p>
        </w:tc>
        <w:tc>
          <w:tcPr>
            <w:tcW w:w="4579" w:type="dxa"/>
            <w:noWrap/>
            <w:vAlign w:val="center"/>
          </w:tcPr>
          <w:p>
            <w:pPr>
              <w:spacing w:line="276" w:lineRule="auto"/>
              <w:rPr>
                <w:rFonts w:ascii="宋体" w:hAnsi="宋体" w:cs="宋体"/>
                <w:szCs w:val="21"/>
              </w:rPr>
            </w:pPr>
            <w:r>
              <w:rPr>
                <w:rFonts w:hint="eastAsia" w:ascii="宋体" w:hAnsi="宋体" w:cs="宋体"/>
                <w:szCs w:val="21"/>
              </w:rPr>
              <w:t>提前24小时通知相关部门做好储水准备；</w:t>
            </w:r>
          </w:p>
        </w:tc>
        <w:tc>
          <w:tcPr>
            <w:tcW w:w="1708" w:type="dxa"/>
            <w:vMerge w:val="restart"/>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continue"/>
            <w:noWrap/>
            <w:vAlign w:val="center"/>
          </w:tcPr>
          <w:p>
            <w:pPr>
              <w:spacing w:line="276" w:lineRule="auto"/>
              <w:jc w:val="center"/>
              <w:rPr>
                <w:rFonts w:ascii="宋体" w:hAnsi="宋体" w:cs="宋体"/>
                <w:szCs w:val="21"/>
              </w:rPr>
            </w:pPr>
          </w:p>
        </w:tc>
        <w:tc>
          <w:tcPr>
            <w:tcW w:w="4579" w:type="dxa"/>
            <w:noWrap/>
            <w:vAlign w:val="center"/>
          </w:tcPr>
          <w:p>
            <w:pPr>
              <w:spacing w:line="276" w:lineRule="auto"/>
              <w:rPr>
                <w:rFonts w:ascii="宋体" w:hAnsi="宋体" w:cs="宋体"/>
                <w:szCs w:val="21"/>
              </w:rPr>
            </w:pPr>
            <w:r>
              <w:rPr>
                <w:rFonts w:hint="eastAsia" w:ascii="宋体" w:hAnsi="宋体" w:cs="宋体"/>
                <w:szCs w:val="21"/>
              </w:rPr>
              <w:t>提前关闭水池进水闸阀，排放干水池；</w:t>
            </w:r>
          </w:p>
        </w:tc>
        <w:tc>
          <w:tcPr>
            <w:tcW w:w="1708"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continue"/>
            <w:noWrap/>
            <w:vAlign w:val="center"/>
          </w:tcPr>
          <w:p>
            <w:pPr>
              <w:spacing w:line="276" w:lineRule="auto"/>
              <w:jc w:val="center"/>
              <w:rPr>
                <w:rFonts w:ascii="宋体" w:hAnsi="宋体" w:cs="宋体"/>
                <w:szCs w:val="21"/>
              </w:rPr>
            </w:pPr>
          </w:p>
        </w:tc>
        <w:tc>
          <w:tcPr>
            <w:tcW w:w="4579" w:type="dxa"/>
            <w:noWrap/>
            <w:vAlign w:val="center"/>
          </w:tcPr>
          <w:p>
            <w:pPr>
              <w:spacing w:line="276" w:lineRule="auto"/>
              <w:rPr>
                <w:rFonts w:ascii="宋体" w:hAnsi="宋体" w:cs="宋体"/>
                <w:szCs w:val="21"/>
              </w:rPr>
            </w:pPr>
            <w:r>
              <w:rPr>
                <w:rFonts w:hint="eastAsia" w:ascii="宋体" w:hAnsi="宋体" w:cs="宋体"/>
                <w:szCs w:val="21"/>
              </w:rPr>
              <w:t>专业公司清洗消毒。</w:t>
            </w:r>
          </w:p>
        </w:tc>
        <w:tc>
          <w:tcPr>
            <w:tcW w:w="1708"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01" w:type="dxa"/>
            <w:vMerge w:val="restart"/>
            <w:noWrap/>
            <w:vAlign w:val="center"/>
          </w:tcPr>
          <w:p>
            <w:pPr>
              <w:spacing w:line="276" w:lineRule="auto"/>
              <w:jc w:val="center"/>
              <w:rPr>
                <w:rFonts w:ascii="宋体" w:hAnsi="宋体" w:cs="宋体"/>
                <w:szCs w:val="21"/>
              </w:rPr>
            </w:pPr>
            <w:r>
              <w:rPr>
                <w:rFonts w:hint="eastAsia" w:ascii="宋体" w:hAnsi="宋体" w:cs="宋体"/>
                <w:szCs w:val="21"/>
              </w:rPr>
              <w:t>给水井雨水井污水井</w:t>
            </w:r>
          </w:p>
        </w:tc>
        <w:tc>
          <w:tcPr>
            <w:tcW w:w="1005" w:type="dxa"/>
            <w:vMerge w:val="restart"/>
            <w:noWrap/>
            <w:vAlign w:val="center"/>
          </w:tcPr>
          <w:p>
            <w:pPr>
              <w:spacing w:line="276" w:lineRule="auto"/>
              <w:jc w:val="center"/>
              <w:rPr>
                <w:rFonts w:ascii="宋体" w:hAnsi="宋体" w:cs="宋体"/>
                <w:szCs w:val="21"/>
              </w:rPr>
            </w:pPr>
            <w:r>
              <w:rPr>
                <w:rFonts w:hint="eastAsia" w:ascii="宋体" w:hAnsi="宋体" w:cs="宋体"/>
                <w:szCs w:val="21"/>
              </w:rPr>
              <w:t>每月</w:t>
            </w:r>
          </w:p>
          <w:p>
            <w:pPr>
              <w:spacing w:line="276" w:lineRule="auto"/>
              <w:jc w:val="center"/>
              <w:rPr>
                <w:rFonts w:ascii="宋体" w:hAnsi="宋体" w:cs="宋体"/>
                <w:szCs w:val="21"/>
              </w:rPr>
            </w:pPr>
            <w:r>
              <w:rPr>
                <w:rFonts w:hint="eastAsia" w:ascii="宋体" w:hAnsi="宋体" w:cs="宋体"/>
                <w:szCs w:val="21"/>
              </w:rPr>
              <w:t>一次</w:t>
            </w:r>
          </w:p>
        </w:tc>
        <w:tc>
          <w:tcPr>
            <w:tcW w:w="4579" w:type="dxa"/>
            <w:noWrap/>
            <w:vAlign w:val="center"/>
          </w:tcPr>
          <w:p>
            <w:pPr>
              <w:spacing w:line="276" w:lineRule="auto"/>
              <w:rPr>
                <w:rFonts w:ascii="宋体" w:hAnsi="宋体" w:cs="宋体"/>
                <w:szCs w:val="21"/>
              </w:rPr>
            </w:pPr>
            <w:r>
              <w:rPr>
                <w:rFonts w:hint="eastAsia" w:ascii="宋体" w:hAnsi="宋体" w:cs="宋体"/>
                <w:szCs w:val="21"/>
              </w:rPr>
              <w:t>检查井盖是否盖严、完好，开盖检查井底是否有污物，如有则清除干净；</w:t>
            </w:r>
          </w:p>
        </w:tc>
        <w:tc>
          <w:tcPr>
            <w:tcW w:w="1708" w:type="dxa"/>
            <w:vMerge w:val="restart"/>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continue"/>
            <w:noWrap/>
            <w:vAlign w:val="center"/>
          </w:tcPr>
          <w:p>
            <w:pPr>
              <w:spacing w:line="276" w:lineRule="auto"/>
              <w:jc w:val="center"/>
              <w:rPr>
                <w:rFonts w:ascii="宋体" w:hAnsi="宋体" w:cs="宋体"/>
                <w:szCs w:val="21"/>
              </w:rPr>
            </w:pPr>
          </w:p>
        </w:tc>
        <w:tc>
          <w:tcPr>
            <w:tcW w:w="4579" w:type="dxa"/>
            <w:noWrap/>
            <w:vAlign w:val="center"/>
          </w:tcPr>
          <w:p>
            <w:pPr>
              <w:spacing w:line="276" w:lineRule="auto"/>
              <w:rPr>
                <w:rFonts w:ascii="宋体" w:hAnsi="宋体" w:cs="宋体"/>
                <w:szCs w:val="21"/>
              </w:rPr>
            </w:pPr>
            <w:r>
              <w:rPr>
                <w:rFonts w:hint="eastAsia" w:ascii="宋体" w:hAnsi="宋体" w:cs="宋体"/>
                <w:szCs w:val="21"/>
              </w:rPr>
              <w:t>检查井盖铸造字迹是否清晰、正确。</w:t>
            </w:r>
          </w:p>
        </w:tc>
        <w:tc>
          <w:tcPr>
            <w:tcW w:w="1708"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restart"/>
            <w:noWrap/>
            <w:vAlign w:val="center"/>
          </w:tcPr>
          <w:p>
            <w:pPr>
              <w:spacing w:line="276" w:lineRule="auto"/>
              <w:jc w:val="center"/>
              <w:rPr>
                <w:rFonts w:ascii="宋体" w:hAnsi="宋体" w:cs="宋体"/>
                <w:szCs w:val="21"/>
              </w:rPr>
            </w:pPr>
            <w:r>
              <w:rPr>
                <w:rFonts w:hint="eastAsia" w:ascii="宋体" w:hAnsi="宋体" w:cs="宋体"/>
                <w:szCs w:val="21"/>
              </w:rPr>
              <w:t>每半年</w:t>
            </w:r>
          </w:p>
          <w:p>
            <w:pPr>
              <w:spacing w:line="276" w:lineRule="auto"/>
              <w:jc w:val="center"/>
              <w:rPr>
                <w:rFonts w:ascii="宋体" w:hAnsi="宋体" w:cs="宋体"/>
                <w:szCs w:val="21"/>
              </w:rPr>
            </w:pPr>
            <w:r>
              <w:rPr>
                <w:rFonts w:hint="eastAsia" w:ascii="宋体" w:hAnsi="宋体" w:cs="宋体"/>
                <w:szCs w:val="21"/>
              </w:rPr>
              <w:t>一次</w:t>
            </w:r>
          </w:p>
        </w:tc>
        <w:tc>
          <w:tcPr>
            <w:tcW w:w="4579" w:type="dxa"/>
            <w:noWrap/>
            <w:vAlign w:val="center"/>
          </w:tcPr>
          <w:p>
            <w:pPr>
              <w:spacing w:line="276" w:lineRule="auto"/>
              <w:rPr>
                <w:rFonts w:ascii="宋体" w:hAnsi="宋体" w:cs="宋体"/>
                <w:szCs w:val="21"/>
              </w:rPr>
            </w:pPr>
            <w:r>
              <w:rPr>
                <w:rFonts w:hint="eastAsia" w:ascii="宋体" w:hAnsi="宋体" w:cs="宋体"/>
                <w:szCs w:val="21"/>
              </w:rPr>
              <w:t>重复上述检查；</w:t>
            </w:r>
          </w:p>
        </w:tc>
        <w:tc>
          <w:tcPr>
            <w:tcW w:w="1708" w:type="dxa"/>
            <w:vMerge w:val="restart"/>
            <w:noWrap/>
            <w:vAlign w:val="center"/>
          </w:tcPr>
          <w:p>
            <w:pPr>
              <w:spacing w:line="276" w:lineRule="auto"/>
              <w:rPr>
                <w:rFonts w:ascii="宋体" w:hAnsi="宋体" w:cs="宋体"/>
                <w:szCs w:val="21"/>
              </w:rPr>
            </w:pPr>
            <w:r>
              <w:rPr>
                <w:rFonts w:hint="eastAsia" w:ascii="宋体" w:hAnsi="宋体" w:cs="宋体"/>
                <w:szCs w:val="21"/>
              </w:rPr>
              <w:t>清查下水管道污泥，保持管道畅通。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continue"/>
            <w:noWrap/>
            <w:vAlign w:val="center"/>
          </w:tcPr>
          <w:p>
            <w:pPr>
              <w:spacing w:line="276" w:lineRule="auto"/>
              <w:jc w:val="center"/>
              <w:rPr>
                <w:rFonts w:ascii="宋体" w:hAnsi="宋体" w:cs="宋体"/>
                <w:szCs w:val="21"/>
              </w:rPr>
            </w:pPr>
          </w:p>
        </w:tc>
        <w:tc>
          <w:tcPr>
            <w:tcW w:w="4579" w:type="dxa"/>
            <w:noWrap/>
            <w:vAlign w:val="center"/>
          </w:tcPr>
          <w:p>
            <w:pPr>
              <w:spacing w:line="276" w:lineRule="auto"/>
              <w:rPr>
                <w:rFonts w:ascii="宋体" w:hAnsi="宋体" w:cs="宋体"/>
                <w:szCs w:val="21"/>
              </w:rPr>
            </w:pPr>
            <w:r>
              <w:rPr>
                <w:rFonts w:hint="eastAsia" w:ascii="宋体" w:hAnsi="宋体" w:cs="宋体"/>
                <w:szCs w:val="21"/>
              </w:rPr>
              <w:t>清理污泥，疏通下水管道；</w:t>
            </w:r>
          </w:p>
        </w:tc>
        <w:tc>
          <w:tcPr>
            <w:tcW w:w="1708"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01" w:type="dxa"/>
            <w:vMerge w:val="continue"/>
            <w:noWrap/>
            <w:vAlign w:val="center"/>
          </w:tcPr>
          <w:p>
            <w:pPr>
              <w:spacing w:line="276" w:lineRule="auto"/>
              <w:jc w:val="center"/>
              <w:rPr>
                <w:rFonts w:ascii="宋体" w:hAnsi="宋体" w:cs="宋体"/>
                <w:szCs w:val="21"/>
              </w:rPr>
            </w:pPr>
          </w:p>
        </w:tc>
        <w:tc>
          <w:tcPr>
            <w:tcW w:w="1005" w:type="dxa"/>
            <w:vMerge w:val="continue"/>
            <w:noWrap/>
            <w:vAlign w:val="center"/>
          </w:tcPr>
          <w:p>
            <w:pPr>
              <w:spacing w:line="276" w:lineRule="auto"/>
              <w:jc w:val="center"/>
              <w:rPr>
                <w:rFonts w:ascii="宋体" w:hAnsi="宋体" w:cs="宋体"/>
                <w:szCs w:val="21"/>
              </w:rPr>
            </w:pPr>
          </w:p>
        </w:tc>
        <w:tc>
          <w:tcPr>
            <w:tcW w:w="4579" w:type="dxa"/>
            <w:noWrap/>
            <w:vAlign w:val="center"/>
          </w:tcPr>
          <w:p>
            <w:pPr>
              <w:spacing w:line="276" w:lineRule="auto"/>
              <w:rPr>
                <w:rFonts w:ascii="宋体" w:hAnsi="宋体" w:cs="宋体"/>
                <w:szCs w:val="21"/>
              </w:rPr>
            </w:pPr>
            <w:r>
              <w:rPr>
                <w:rFonts w:hint="eastAsia" w:ascii="宋体" w:hAnsi="宋体" w:cs="宋体"/>
                <w:szCs w:val="21"/>
              </w:rPr>
              <w:t>各类井盖及金属构件刷漆。</w:t>
            </w:r>
          </w:p>
        </w:tc>
        <w:tc>
          <w:tcPr>
            <w:tcW w:w="1708" w:type="dxa"/>
            <w:vMerge w:val="continue"/>
            <w:noWrap/>
            <w:vAlign w:val="center"/>
          </w:tcPr>
          <w:p>
            <w:pPr>
              <w:spacing w:line="276"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001" w:type="dxa"/>
            <w:noWrap/>
            <w:vAlign w:val="center"/>
          </w:tcPr>
          <w:p>
            <w:pPr>
              <w:spacing w:line="276" w:lineRule="auto"/>
              <w:jc w:val="center"/>
              <w:rPr>
                <w:rFonts w:ascii="宋体" w:hAnsi="宋体" w:cs="宋体"/>
                <w:szCs w:val="21"/>
              </w:rPr>
            </w:pPr>
            <w:r>
              <w:rPr>
                <w:rFonts w:hint="eastAsia" w:ascii="宋体" w:hAnsi="宋体" w:cs="宋体"/>
                <w:szCs w:val="21"/>
              </w:rPr>
              <w:t>隔油池</w:t>
            </w:r>
          </w:p>
        </w:tc>
        <w:tc>
          <w:tcPr>
            <w:tcW w:w="1005" w:type="dxa"/>
            <w:noWrap/>
            <w:vAlign w:val="center"/>
          </w:tcPr>
          <w:p>
            <w:pPr>
              <w:spacing w:line="276" w:lineRule="auto"/>
              <w:jc w:val="center"/>
              <w:rPr>
                <w:rFonts w:ascii="宋体" w:hAnsi="宋体" w:cs="宋体"/>
                <w:szCs w:val="21"/>
              </w:rPr>
            </w:pPr>
            <w:r>
              <w:rPr>
                <w:rFonts w:hint="eastAsia" w:ascii="宋体" w:hAnsi="宋体" w:cs="宋体"/>
                <w:szCs w:val="21"/>
              </w:rPr>
              <w:t>每月一次</w:t>
            </w:r>
          </w:p>
        </w:tc>
        <w:tc>
          <w:tcPr>
            <w:tcW w:w="4579" w:type="dxa"/>
            <w:noWrap/>
            <w:vAlign w:val="center"/>
          </w:tcPr>
          <w:p>
            <w:pPr>
              <w:spacing w:line="276" w:lineRule="auto"/>
              <w:rPr>
                <w:rFonts w:ascii="宋体" w:hAnsi="宋体" w:cs="宋体"/>
                <w:szCs w:val="21"/>
              </w:rPr>
            </w:pPr>
            <w:r>
              <w:rPr>
                <w:rFonts w:hint="eastAsia" w:ascii="宋体" w:hAnsi="宋体" w:cs="宋体"/>
                <w:szCs w:val="21"/>
              </w:rPr>
              <w:t>1．隔油池每月至少安排抽油车抽取一次。</w:t>
            </w:r>
          </w:p>
        </w:tc>
        <w:tc>
          <w:tcPr>
            <w:tcW w:w="1708" w:type="dxa"/>
            <w:vMerge w:val="continue"/>
            <w:noWrap/>
            <w:vAlign w:val="center"/>
          </w:tcPr>
          <w:p>
            <w:pPr>
              <w:spacing w:line="276" w:lineRule="auto"/>
              <w:rPr>
                <w:rFonts w:ascii="宋体" w:hAnsi="宋体" w:cs="宋体"/>
                <w:szCs w:val="21"/>
              </w:rPr>
            </w:pPr>
          </w:p>
        </w:tc>
      </w:tr>
    </w:tbl>
    <w:p>
      <w:pPr>
        <w:spacing w:line="276" w:lineRule="auto"/>
        <w:jc w:val="left"/>
        <w:outlineLvl w:val="2"/>
        <w:rPr>
          <w:rFonts w:ascii="宋体" w:hAnsi="宋体"/>
          <w:szCs w:val="21"/>
        </w:rPr>
      </w:pPr>
      <w:r>
        <w:rPr>
          <w:rFonts w:hint="eastAsia" w:ascii="宋体" w:hAnsi="宋体"/>
          <w:szCs w:val="21"/>
        </w:rPr>
        <w:t>5、消防系统管理范围：本项目消防系统各类设施设备管理养护要求：</w:t>
      </w:r>
    </w:p>
    <w:p>
      <w:pPr>
        <w:spacing w:line="360" w:lineRule="auto"/>
        <w:jc w:val="left"/>
        <w:rPr>
          <w:rFonts w:ascii="宋体" w:hAnsi="宋体"/>
          <w:szCs w:val="21"/>
        </w:rPr>
      </w:pPr>
      <w:r>
        <w:rPr>
          <w:rFonts w:hint="eastAsia" w:ascii="宋体" w:hAnsi="宋体" w:cs="宋体"/>
          <w:spacing w:val="-2"/>
          <w:szCs w:val="21"/>
        </w:rPr>
        <w:t>▲</w:t>
      </w:r>
      <w:r>
        <w:rPr>
          <w:rFonts w:hint="eastAsia" w:ascii="宋体" w:hAnsi="宋体"/>
          <w:szCs w:val="21"/>
        </w:rPr>
        <w:t>（1）中标人制订并严格执行消防管理制度，监控消防专业公司对消防系统设备维修保养，加强对消防系统范围内的设备设施包括控制中心、报警系统、应急广播和对讲电话、防排烟风机、气体灭火系统、消防栓及管网、消防泵、喷淋泵、喷淋管网、各类阀门、疏散指示牌等的日常检查、检测、检修和保养；及时发现并协助排除设施设备故障，维修合格率100%；</w:t>
      </w:r>
    </w:p>
    <w:p>
      <w:pPr>
        <w:spacing w:line="360" w:lineRule="auto"/>
        <w:jc w:val="left"/>
        <w:rPr>
          <w:rFonts w:ascii="宋体" w:hAnsi="宋体"/>
          <w:szCs w:val="21"/>
        </w:rPr>
      </w:pPr>
      <w:r>
        <w:rPr>
          <w:rFonts w:hint="eastAsia" w:ascii="宋体" w:hAnsi="宋体" w:cs="宋体"/>
          <w:spacing w:val="-2"/>
          <w:szCs w:val="21"/>
        </w:rPr>
        <w:t>▲</w:t>
      </w:r>
      <w:r>
        <w:rPr>
          <w:rFonts w:hint="eastAsia" w:ascii="宋体" w:hAnsi="宋体"/>
          <w:szCs w:val="21"/>
        </w:rPr>
        <w:t>（2）中标人要落实区域消防安全责任人，加强消防日常检查，制定突发性火灾等应急预案，设立消防疏散示意图，保证紧急疏散通道通畅，确保无消防安全隐患，火灾发生率为“零”；</w:t>
      </w:r>
    </w:p>
    <w:p>
      <w:pPr>
        <w:spacing w:line="360" w:lineRule="auto"/>
        <w:jc w:val="left"/>
        <w:rPr>
          <w:rFonts w:ascii="宋体" w:hAnsi="宋体"/>
          <w:szCs w:val="21"/>
        </w:rPr>
      </w:pPr>
      <w:r>
        <w:rPr>
          <w:rFonts w:hint="eastAsia" w:ascii="宋体" w:hAnsi="宋体"/>
          <w:szCs w:val="21"/>
        </w:rPr>
        <w:t>（3）消防系统管理养护具体要求如下表：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338"/>
        <w:gridCol w:w="4104"/>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2" w:type="dxa"/>
            <w:noWrap/>
            <w:vAlign w:val="center"/>
          </w:tcPr>
          <w:p>
            <w:pPr>
              <w:spacing w:line="276" w:lineRule="auto"/>
              <w:jc w:val="center"/>
              <w:rPr>
                <w:rFonts w:ascii="宋体" w:hAnsi="宋体" w:cs="宋体"/>
                <w:szCs w:val="21"/>
              </w:rPr>
            </w:pPr>
            <w:r>
              <w:rPr>
                <w:rFonts w:hint="eastAsia" w:ascii="宋体" w:hAnsi="宋体" w:cs="宋体"/>
                <w:szCs w:val="21"/>
              </w:rPr>
              <w:t>项目</w:t>
            </w:r>
          </w:p>
        </w:tc>
        <w:tc>
          <w:tcPr>
            <w:tcW w:w="1338" w:type="dxa"/>
            <w:noWrap/>
            <w:vAlign w:val="center"/>
          </w:tcPr>
          <w:p>
            <w:pPr>
              <w:spacing w:line="276" w:lineRule="auto"/>
              <w:jc w:val="center"/>
              <w:rPr>
                <w:rFonts w:ascii="宋体" w:hAnsi="宋体" w:cs="宋体"/>
                <w:szCs w:val="21"/>
              </w:rPr>
            </w:pPr>
            <w:r>
              <w:rPr>
                <w:rFonts w:hint="eastAsia" w:ascii="宋体" w:hAnsi="宋体" w:cs="宋体"/>
                <w:szCs w:val="21"/>
              </w:rPr>
              <w:t>频次</w:t>
            </w:r>
          </w:p>
        </w:tc>
        <w:tc>
          <w:tcPr>
            <w:tcW w:w="4104" w:type="dxa"/>
            <w:noWrap/>
            <w:vAlign w:val="center"/>
          </w:tcPr>
          <w:p>
            <w:pPr>
              <w:spacing w:line="276" w:lineRule="auto"/>
              <w:jc w:val="center"/>
              <w:rPr>
                <w:rFonts w:ascii="宋体" w:hAnsi="宋体" w:cs="宋体"/>
                <w:szCs w:val="21"/>
              </w:rPr>
            </w:pPr>
            <w:r>
              <w:rPr>
                <w:rFonts w:hint="eastAsia" w:ascii="宋体" w:hAnsi="宋体" w:cs="宋体"/>
                <w:szCs w:val="21"/>
              </w:rPr>
              <w:t>内容</w:t>
            </w:r>
          </w:p>
        </w:tc>
        <w:tc>
          <w:tcPr>
            <w:tcW w:w="1370" w:type="dxa"/>
            <w:noWrap/>
            <w:vAlign w:val="center"/>
          </w:tcPr>
          <w:p>
            <w:pPr>
              <w:spacing w:line="276" w:lineRule="auto"/>
              <w:jc w:val="center"/>
              <w:rPr>
                <w:rFonts w:ascii="宋体" w:hAnsi="宋体" w:cs="宋体"/>
                <w:szCs w:val="21"/>
              </w:rPr>
            </w:pPr>
            <w:r>
              <w:rPr>
                <w:rFonts w:hint="eastAsia" w:ascii="宋体" w:hAnsi="宋体" w:cs="宋体"/>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482" w:type="dxa"/>
            <w:vMerge w:val="restart"/>
            <w:noWrap/>
            <w:vAlign w:val="center"/>
          </w:tcPr>
          <w:p>
            <w:pPr>
              <w:spacing w:line="276" w:lineRule="auto"/>
              <w:jc w:val="center"/>
              <w:rPr>
                <w:rFonts w:ascii="宋体" w:hAnsi="宋体" w:cs="宋体"/>
                <w:szCs w:val="21"/>
              </w:rPr>
            </w:pPr>
            <w:r>
              <w:rPr>
                <w:rFonts w:hint="eastAsia" w:ascii="宋体" w:hAnsi="宋体" w:cs="宋体"/>
                <w:szCs w:val="21"/>
              </w:rPr>
              <w:t>消火栓及管网</w:t>
            </w:r>
          </w:p>
        </w:tc>
        <w:tc>
          <w:tcPr>
            <w:tcW w:w="1338" w:type="dxa"/>
            <w:noWrap/>
            <w:vAlign w:val="center"/>
          </w:tcPr>
          <w:p>
            <w:pPr>
              <w:spacing w:line="276" w:lineRule="auto"/>
              <w:jc w:val="center"/>
              <w:rPr>
                <w:rFonts w:ascii="宋体" w:hAnsi="宋体" w:cs="宋体"/>
                <w:szCs w:val="21"/>
              </w:rPr>
            </w:pPr>
            <w:r>
              <w:rPr>
                <w:rFonts w:hint="eastAsia" w:ascii="宋体" w:hAnsi="宋体" w:cs="宋体"/>
                <w:szCs w:val="21"/>
              </w:rPr>
              <w:t>每月一次</w:t>
            </w:r>
          </w:p>
        </w:tc>
        <w:tc>
          <w:tcPr>
            <w:tcW w:w="4104" w:type="dxa"/>
            <w:noWrap/>
            <w:vAlign w:val="center"/>
          </w:tcPr>
          <w:p>
            <w:pPr>
              <w:spacing w:line="276" w:lineRule="auto"/>
              <w:rPr>
                <w:rFonts w:ascii="宋体" w:hAnsi="宋体" w:cs="宋体"/>
                <w:szCs w:val="21"/>
              </w:rPr>
            </w:pPr>
            <w:r>
              <w:rPr>
                <w:rFonts w:hint="eastAsia" w:ascii="宋体" w:hAnsi="宋体" w:cs="宋体"/>
                <w:szCs w:val="21"/>
              </w:rPr>
              <w:t>1.清洁箱内卫生；</w:t>
            </w:r>
          </w:p>
          <w:p>
            <w:pPr>
              <w:spacing w:line="276" w:lineRule="auto"/>
              <w:rPr>
                <w:rFonts w:ascii="宋体" w:hAnsi="宋体" w:cs="宋体"/>
                <w:szCs w:val="21"/>
              </w:rPr>
            </w:pPr>
            <w:r>
              <w:rPr>
                <w:rFonts w:hint="eastAsia" w:ascii="宋体" w:hAnsi="宋体" w:cs="宋体"/>
                <w:szCs w:val="21"/>
              </w:rPr>
              <w:t>2.检查箱件是否齐全。</w:t>
            </w:r>
          </w:p>
        </w:tc>
        <w:tc>
          <w:tcPr>
            <w:tcW w:w="1370" w:type="dxa"/>
            <w:vMerge w:val="restart"/>
            <w:noWrap/>
            <w:vAlign w:val="center"/>
          </w:tcPr>
          <w:p>
            <w:pPr>
              <w:spacing w:line="276" w:lineRule="auto"/>
              <w:jc w:val="center"/>
              <w:rPr>
                <w:rFonts w:ascii="宋体" w:hAnsi="宋体" w:cs="宋体"/>
                <w:szCs w:val="21"/>
              </w:rPr>
            </w:pPr>
            <w:r>
              <w:rPr>
                <w:rFonts w:hint="eastAsia" w:ascii="宋体" w:hAnsi="宋体" w:cs="宋体"/>
                <w:szCs w:val="21"/>
              </w:rPr>
              <w:t>卫生良好，配件齐全无滴漏、压力正常、工作正常。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482" w:type="dxa"/>
            <w:vMerge w:val="continue"/>
            <w:noWrap/>
            <w:vAlign w:val="center"/>
          </w:tcPr>
          <w:p>
            <w:pPr>
              <w:spacing w:line="276" w:lineRule="auto"/>
              <w:jc w:val="center"/>
              <w:rPr>
                <w:rFonts w:ascii="宋体" w:hAnsi="宋体" w:cs="宋体"/>
                <w:szCs w:val="21"/>
              </w:rPr>
            </w:pPr>
          </w:p>
        </w:tc>
        <w:tc>
          <w:tcPr>
            <w:tcW w:w="1338" w:type="dxa"/>
            <w:noWrap/>
            <w:vAlign w:val="center"/>
          </w:tcPr>
          <w:p>
            <w:pPr>
              <w:spacing w:line="276" w:lineRule="auto"/>
              <w:jc w:val="center"/>
              <w:rPr>
                <w:rFonts w:ascii="宋体" w:hAnsi="宋体" w:cs="宋体"/>
                <w:szCs w:val="21"/>
              </w:rPr>
            </w:pPr>
            <w:r>
              <w:rPr>
                <w:rFonts w:hint="eastAsia" w:ascii="宋体" w:hAnsi="宋体" w:cs="宋体"/>
                <w:szCs w:val="21"/>
              </w:rPr>
              <w:t>每半年一次</w:t>
            </w:r>
          </w:p>
        </w:tc>
        <w:tc>
          <w:tcPr>
            <w:tcW w:w="4104" w:type="dxa"/>
            <w:noWrap/>
            <w:vAlign w:val="center"/>
          </w:tcPr>
          <w:p>
            <w:pPr>
              <w:spacing w:line="276" w:lineRule="auto"/>
              <w:rPr>
                <w:rFonts w:ascii="宋体" w:hAnsi="宋体" w:cs="宋体"/>
                <w:szCs w:val="21"/>
              </w:rPr>
            </w:pPr>
            <w:r>
              <w:rPr>
                <w:rFonts w:hint="eastAsia" w:ascii="宋体" w:hAnsi="宋体" w:cs="宋体"/>
                <w:szCs w:val="21"/>
              </w:rPr>
              <w:t>1.消防栓水压测试射程在13米，能实现联动；</w:t>
            </w:r>
          </w:p>
          <w:p>
            <w:pPr>
              <w:spacing w:line="276" w:lineRule="auto"/>
              <w:rPr>
                <w:rFonts w:ascii="宋体" w:hAnsi="宋体" w:cs="宋体"/>
                <w:szCs w:val="21"/>
              </w:rPr>
            </w:pPr>
            <w:r>
              <w:rPr>
                <w:rFonts w:hint="eastAsia" w:ascii="宋体" w:hAnsi="宋体" w:cs="宋体"/>
                <w:szCs w:val="21"/>
              </w:rPr>
              <w:t>2.对水带进行防霉处理；</w:t>
            </w:r>
          </w:p>
          <w:p>
            <w:pPr>
              <w:spacing w:line="276" w:lineRule="auto"/>
              <w:rPr>
                <w:rFonts w:ascii="宋体" w:hAnsi="宋体" w:cs="宋体"/>
                <w:szCs w:val="21"/>
              </w:rPr>
            </w:pPr>
            <w:r>
              <w:rPr>
                <w:rFonts w:hint="eastAsia" w:ascii="宋体" w:hAnsi="宋体" w:cs="宋体"/>
                <w:szCs w:val="21"/>
              </w:rPr>
              <w:t>3.每年至少一次所有管网的除锈刷漆，底漆，面漆均符合相关要求。</w:t>
            </w:r>
          </w:p>
        </w:tc>
        <w:tc>
          <w:tcPr>
            <w:tcW w:w="1370" w:type="dxa"/>
            <w:vMerge w:val="continue"/>
            <w:noWrap/>
            <w:vAlign w:val="center"/>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482" w:type="dxa"/>
            <w:vMerge w:val="restart"/>
            <w:noWrap/>
            <w:vAlign w:val="center"/>
          </w:tcPr>
          <w:p>
            <w:pPr>
              <w:spacing w:line="276" w:lineRule="auto"/>
              <w:jc w:val="center"/>
              <w:rPr>
                <w:rFonts w:ascii="宋体" w:hAnsi="宋体" w:cs="宋体"/>
                <w:szCs w:val="21"/>
              </w:rPr>
            </w:pPr>
            <w:r>
              <w:rPr>
                <w:rFonts w:hint="eastAsia" w:ascii="宋体" w:hAnsi="宋体" w:cs="宋体"/>
                <w:szCs w:val="21"/>
              </w:rPr>
              <w:t>疏散指示牌、应急照明灯</w:t>
            </w:r>
          </w:p>
        </w:tc>
        <w:tc>
          <w:tcPr>
            <w:tcW w:w="1338" w:type="dxa"/>
            <w:noWrap/>
            <w:vAlign w:val="center"/>
          </w:tcPr>
          <w:p>
            <w:pPr>
              <w:spacing w:line="276" w:lineRule="auto"/>
              <w:jc w:val="center"/>
              <w:rPr>
                <w:rFonts w:ascii="宋体" w:hAnsi="宋体" w:cs="宋体"/>
                <w:szCs w:val="21"/>
              </w:rPr>
            </w:pPr>
            <w:r>
              <w:rPr>
                <w:rFonts w:hint="eastAsia" w:ascii="宋体" w:hAnsi="宋体" w:cs="宋体"/>
                <w:szCs w:val="21"/>
              </w:rPr>
              <w:t>每天一次</w:t>
            </w:r>
          </w:p>
        </w:tc>
        <w:tc>
          <w:tcPr>
            <w:tcW w:w="4104" w:type="dxa"/>
            <w:noWrap/>
            <w:vAlign w:val="center"/>
          </w:tcPr>
          <w:p>
            <w:pPr>
              <w:spacing w:line="276" w:lineRule="auto"/>
              <w:rPr>
                <w:rFonts w:ascii="宋体" w:hAnsi="宋体" w:cs="宋体"/>
                <w:szCs w:val="21"/>
              </w:rPr>
            </w:pPr>
            <w:r>
              <w:rPr>
                <w:rFonts w:hint="eastAsia" w:ascii="宋体" w:hAnsi="宋体" w:cs="宋体"/>
                <w:szCs w:val="21"/>
              </w:rPr>
              <w:t>检查外观有无破损及不亮，一旦发现及时维修。</w:t>
            </w:r>
          </w:p>
        </w:tc>
        <w:tc>
          <w:tcPr>
            <w:tcW w:w="1370" w:type="dxa"/>
            <w:noWrap/>
            <w:vAlign w:val="center"/>
          </w:tcPr>
          <w:p>
            <w:pPr>
              <w:spacing w:line="276" w:lineRule="auto"/>
              <w:jc w:val="center"/>
              <w:rPr>
                <w:rFonts w:ascii="宋体" w:hAnsi="宋体" w:cs="宋体"/>
                <w:szCs w:val="21"/>
              </w:rPr>
            </w:pPr>
            <w:r>
              <w:rPr>
                <w:rFonts w:hint="eastAsia" w:ascii="宋体" w:hAnsi="宋体" w:cs="宋体"/>
                <w:szCs w:val="21"/>
              </w:rPr>
              <w:t>设施完好。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482" w:type="dxa"/>
            <w:vMerge w:val="continue"/>
            <w:noWrap/>
            <w:vAlign w:val="center"/>
          </w:tcPr>
          <w:p>
            <w:pPr>
              <w:spacing w:line="276" w:lineRule="auto"/>
              <w:jc w:val="center"/>
              <w:rPr>
                <w:rFonts w:ascii="宋体" w:hAnsi="宋体" w:cs="宋体"/>
                <w:szCs w:val="21"/>
              </w:rPr>
            </w:pPr>
          </w:p>
        </w:tc>
        <w:tc>
          <w:tcPr>
            <w:tcW w:w="1338" w:type="dxa"/>
            <w:noWrap/>
            <w:vAlign w:val="center"/>
          </w:tcPr>
          <w:p>
            <w:pPr>
              <w:spacing w:line="276" w:lineRule="auto"/>
              <w:jc w:val="center"/>
              <w:rPr>
                <w:rFonts w:ascii="宋体" w:hAnsi="宋体" w:cs="宋体"/>
                <w:szCs w:val="21"/>
              </w:rPr>
            </w:pPr>
            <w:r>
              <w:rPr>
                <w:rFonts w:hint="eastAsia" w:ascii="宋体" w:hAnsi="宋体" w:cs="宋体"/>
                <w:szCs w:val="21"/>
              </w:rPr>
              <w:t>每半年一次</w:t>
            </w:r>
          </w:p>
        </w:tc>
        <w:tc>
          <w:tcPr>
            <w:tcW w:w="4104" w:type="dxa"/>
            <w:noWrap/>
            <w:vAlign w:val="center"/>
          </w:tcPr>
          <w:p>
            <w:pPr>
              <w:spacing w:line="276" w:lineRule="auto"/>
              <w:rPr>
                <w:rFonts w:ascii="宋体" w:hAnsi="宋体" w:cs="宋体"/>
                <w:szCs w:val="21"/>
              </w:rPr>
            </w:pPr>
            <w:r>
              <w:rPr>
                <w:rFonts w:hint="eastAsia" w:ascii="宋体" w:hAnsi="宋体" w:cs="宋体"/>
                <w:szCs w:val="21"/>
              </w:rPr>
              <w:t>1.面板有无划伤或破裂现象；</w:t>
            </w:r>
          </w:p>
          <w:p>
            <w:pPr>
              <w:spacing w:line="276" w:lineRule="auto"/>
              <w:rPr>
                <w:rFonts w:ascii="宋体" w:hAnsi="宋体" w:cs="宋体"/>
                <w:szCs w:val="21"/>
              </w:rPr>
            </w:pPr>
            <w:r>
              <w:rPr>
                <w:rFonts w:hint="eastAsia" w:ascii="宋体" w:hAnsi="宋体" w:cs="宋体"/>
                <w:szCs w:val="21"/>
              </w:rPr>
              <w:t>2.检查安装是否牢固；</w:t>
            </w:r>
          </w:p>
          <w:p>
            <w:pPr>
              <w:spacing w:line="276" w:lineRule="auto"/>
              <w:rPr>
                <w:rFonts w:ascii="宋体" w:hAnsi="宋体" w:cs="宋体"/>
                <w:szCs w:val="21"/>
              </w:rPr>
            </w:pPr>
            <w:r>
              <w:rPr>
                <w:rFonts w:hint="eastAsia" w:ascii="宋体" w:hAnsi="宋体" w:cs="宋体"/>
                <w:szCs w:val="21"/>
              </w:rPr>
              <w:t>3.针对检查中发现的缺陷取下来进行修复，再装回原位：</w:t>
            </w:r>
          </w:p>
          <w:p>
            <w:pPr>
              <w:spacing w:line="276" w:lineRule="auto"/>
              <w:rPr>
                <w:rFonts w:ascii="宋体" w:hAnsi="宋体" w:cs="宋体"/>
                <w:szCs w:val="21"/>
              </w:rPr>
            </w:pPr>
            <w:r>
              <w:rPr>
                <w:rFonts w:hint="eastAsia" w:ascii="宋体" w:hAnsi="宋体" w:cs="宋体"/>
                <w:szCs w:val="21"/>
              </w:rPr>
              <w:t>4.面板擦拭干净。</w:t>
            </w:r>
          </w:p>
        </w:tc>
        <w:tc>
          <w:tcPr>
            <w:tcW w:w="1370" w:type="dxa"/>
            <w:noWrap/>
            <w:vAlign w:val="center"/>
          </w:tcPr>
          <w:p>
            <w:pPr>
              <w:spacing w:line="276" w:lineRule="auto"/>
              <w:jc w:val="center"/>
              <w:rPr>
                <w:rFonts w:ascii="宋体" w:hAnsi="宋体" w:cs="宋体"/>
                <w:szCs w:val="21"/>
              </w:rPr>
            </w:pPr>
            <w:r>
              <w:rPr>
                <w:rFonts w:hint="eastAsia" w:ascii="宋体" w:hAnsi="宋体" w:cs="宋体"/>
                <w:szCs w:val="21"/>
              </w:rPr>
              <w:t>设施完好，运行正常。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82" w:type="dxa"/>
            <w:noWrap/>
            <w:vAlign w:val="center"/>
          </w:tcPr>
          <w:p>
            <w:pPr>
              <w:spacing w:line="276" w:lineRule="auto"/>
              <w:jc w:val="center"/>
              <w:rPr>
                <w:rFonts w:ascii="宋体" w:hAnsi="宋体" w:cs="宋体"/>
                <w:szCs w:val="21"/>
              </w:rPr>
            </w:pPr>
            <w:r>
              <w:rPr>
                <w:rFonts w:hint="eastAsia" w:ascii="宋体" w:hAnsi="宋体" w:cs="宋体"/>
                <w:szCs w:val="21"/>
              </w:rPr>
              <w:t>手提式干粉灭火器</w:t>
            </w:r>
          </w:p>
        </w:tc>
        <w:tc>
          <w:tcPr>
            <w:tcW w:w="1338" w:type="dxa"/>
            <w:noWrap/>
            <w:vAlign w:val="center"/>
          </w:tcPr>
          <w:p>
            <w:pPr>
              <w:spacing w:line="276" w:lineRule="auto"/>
              <w:jc w:val="center"/>
              <w:rPr>
                <w:rFonts w:ascii="宋体" w:hAnsi="宋体" w:cs="宋体"/>
                <w:szCs w:val="21"/>
              </w:rPr>
            </w:pPr>
            <w:r>
              <w:rPr>
                <w:rFonts w:hint="eastAsia" w:ascii="宋体" w:hAnsi="宋体" w:cs="宋体"/>
                <w:szCs w:val="21"/>
              </w:rPr>
              <w:t>每月一次</w:t>
            </w:r>
          </w:p>
        </w:tc>
        <w:tc>
          <w:tcPr>
            <w:tcW w:w="4104" w:type="dxa"/>
            <w:noWrap/>
            <w:vAlign w:val="center"/>
          </w:tcPr>
          <w:p>
            <w:pPr>
              <w:spacing w:line="276" w:lineRule="auto"/>
              <w:rPr>
                <w:rFonts w:ascii="宋体" w:hAnsi="宋体" w:cs="宋体"/>
                <w:szCs w:val="21"/>
              </w:rPr>
            </w:pPr>
            <w:r>
              <w:rPr>
                <w:rFonts w:hint="eastAsia" w:ascii="宋体" w:hAnsi="宋体" w:cs="宋体"/>
                <w:szCs w:val="21"/>
              </w:rPr>
              <w:t>1.外观有无破损</w:t>
            </w:r>
          </w:p>
        </w:tc>
        <w:tc>
          <w:tcPr>
            <w:tcW w:w="1370" w:type="dxa"/>
            <w:noWrap/>
            <w:vAlign w:val="center"/>
          </w:tcPr>
          <w:p>
            <w:pPr>
              <w:spacing w:line="276" w:lineRule="auto"/>
              <w:jc w:val="center"/>
              <w:rPr>
                <w:rFonts w:ascii="宋体" w:hAnsi="宋体" w:cs="宋体"/>
                <w:szCs w:val="21"/>
              </w:rPr>
            </w:pPr>
            <w:r>
              <w:rPr>
                <w:rFonts w:hint="eastAsia" w:ascii="宋体" w:hAnsi="宋体" w:cs="宋体"/>
                <w:szCs w:val="21"/>
              </w:rPr>
              <w:t>外观良好，运行正常。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482" w:type="dxa"/>
            <w:noWrap/>
            <w:vAlign w:val="center"/>
          </w:tcPr>
          <w:p>
            <w:pPr>
              <w:spacing w:line="276" w:lineRule="auto"/>
              <w:jc w:val="center"/>
              <w:rPr>
                <w:rFonts w:ascii="宋体" w:hAnsi="宋体" w:cs="宋体"/>
                <w:szCs w:val="21"/>
              </w:rPr>
            </w:pPr>
            <w:r>
              <w:rPr>
                <w:rFonts w:hint="eastAsia" w:ascii="宋体" w:hAnsi="宋体" w:cs="宋体"/>
                <w:szCs w:val="21"/>
              </w:rPr>
              <w:t>各类阀门及表类</w:t>
            </w:r>
          </w:p>
        </w:tc>
        <w:tc>
          <w:tcPr>
            <w:tcW w:w="1338" w:type="dxa"/>
            <w:noWrap/>
            <w:vAlign w:val="center"/>
          </w:tcPr>
          <w:p>
            <w:pPr>
              <w:spacing w:line="276" w:lineRule="auto"/>
              <w:jc w:val="center"/>
              <w:rPr>
                <w:rFonts w:ascii="宋体" w:hAnsi="宋体" w:cs="宋体"/>
                <w:szCs w:val="21"/>
              </w:rPr>
            </w:pPr>
            <w:r>
              <w:rPr>
                <w:rFonts w:hint="eastAsia" w:ascii="宋体" w:hAnsi="宋体" w:cs="宋体"/>
                <w:szCs w:val="21"/>
              </w:rPr>
              <w:t>每半年一次</w:t>
            </w:r>
          </w:p>
        </w:tc>
        <w:tc>
          <w:tcPr>
            <w:tcW w:w="4104" w:type="dxa"/>
            <w:noWrap/>
            <w:vAlign w:val="center"/>
          </w:tcPr>
          <w:p>
            <w:pPr>
              <w:spacing w:line="276" w:lineRule="auto"/>
              <w:rPr>
                <w:rFonts w:ascii="宋体" w:hAnsi="宋体" w:cs="宋体"/>
                <w:szCs w:val="21"/>
              </w:rPr>
            </w:pPr>
            <w:r>
              <w:rPr>
                <w:rFonts w:hint="eastAsia" w:ascii="宋体" w:hAnsi="宋体" w:cs="宋体"/>
                <w:szCs w:val="21"/>
              </w:rPr>
              <w:t>1.更换失灵压力表；</w:t>
            </w:r>
          </w:p>
          <w:p>
            <w:pPr>
              <w:spacing w:line="276" w:lineRule="auto"/>
              <w:rPr>
                <w:rFonts w:ascii="宋体" w:hAnsi="宋体" w:cs="宋体"/>
                <w:szCs w:val="21"/>
              </w:rPr>
            </w:pPr>
            <w:r>
              <w:rPr>
                <w:rFonts w:hint="eastAsia" w:ascii="宋体" w:hAnsi="宋体" w:cs="宋体"/>
                <w:szCs w:val="21"/>
              </w:rPr>
              <w:t>2.放去管网污水，并试验；</w:t>
            </w:r>
          </w:p>
          <w:p>
            <w:pPr>
              <w:spacing w:line="276" w:lineRule="auto"/>
              <w:rPr>
                <w:rFonts w:ascii="宋体" w:hAnsi="宋体" w:cs="宋体"/>
                <w:szCs w:val="21"/>
              </w:rPr>
            </w:pPr>
            <w:r>
              <w:rPr>
                <w:rFonts w:hint="eastAsia" w:ascii="宋体" w:hAnsi="宋体" w:cs="宋体"/>
                <w:szCs w:val="21"/>
              </w:rPr>
              <w:t>3.阀门丝杆加注黄油并加装防护套；</w:t>
            </w:r>
          </w:p>
        </w:tc>
        <w:tc>
          <w:tcPr>
            <w:tcW w:w="1370" w:type="dxa"/>
            <w:noWrap/>
            <w:vAlign w:val="center"/>
          </w:tcPr>
          <w:p>
            <w:pPr>
              <w:spacing w:line="276" w:lineRule="auto"/>
              <w:jc w:val="center"/>
              <w:rPr>
                <w:rFonts w:ascii="宋体" w:hAnsi="宋体" w:cs="宋体"/>
                <w:szCs w:val="21"/>
              </w:rPr>
            </w:pPr>
            <w:r>
              <w:rPr>
                <w:rFonts w:hint="eastAsia" w:ascii="宋体" w:hAnsi="宋体" w:cs="宋体"/>
                <w:szCs w:val="21"/>
              </w:rPr>
              <w:t>无滴漏、</w:t>
            </w:r>
          </w:p>
          <w:p>
            <w:pPr>
              <w:spacing w:line="276" w:lineRule="auto"/>
              <w:jc w:val="center"/>
              <w:rPr>
                <w:rFonts w:ascii="宋体" w:hAnsi="宋体" w:cs="宋体"/>
                <w:szCs w:val="21"/>
              </w:rPr>
            </w:pPr>
            <w:r>
              <w:rPr>
                <w:rFonts w:hint="eastAsia" w:ascii="宋体" w:hAnsi="宋体" w:cs="宋体"/>
                <w:szCs w:val="21"/>
              </w:rPr>
              <w:t>压力正常、</w:t>
            </w:r>
          </w:p>
          <w:p>
            <w:pPr>
              <w:spacing w:line="276" w:lineRule="auto"/>
              <w:jc w:val="center"/>
              <w:rPr>
                <w:rFonts w:ascii="宋体" w:hAnsi="宋体" w:cs="宋体"/>
                <w:szCs w:val="21"/>
              </w:rPr>
            </w:pPr>
            <w:r>
              <w:rPr>
                <w:rFonts w:hint="eastAsia" w:ascii="宋体" w:hAnsi="宋体" w:cs="宋体"/>
                <w:szCs w:val="21"/>
              </w:rPr>
              <w:t>工作正常。</w:t>
            </w:r>
          </w:p>
        </w:tc>
      </w:tr>
    </w:tbl>
    <w:p>
      <w:pPr>
        <w:spacing w:line="276" w:lineRule="auto"/>
        <w:jc w:val="left"/>
        <w:outlineLvl w:val="2"/>
        <w:rPr>
          <w:rFonts w:ascii="宋体" w:hAnsi="宋体"/>
          <w:szCs w:val="21"/>
        </w:rPr>
      </w:pPr>
      <w:r>
        <w:rPr>
          <w:rFonts w:hint="eastAsia" w:ascii="宋体" w:hAnsi="宋体"/>
          <w:szCs w:val="21"/>
        </w:rPr>
        <w:t>6、电梯系统管理范围：本项目电梯系统各类设施设备管理养护要求：</w:t>
      </w:r>
    </w:p>
    <w:p>
      <w:pPr>
        <w:spacing w:beforeLines="50" w:line="276" w:lineRule="auto"/>
        <w:jc w:val="left"/>
        <w:rPr>
          <w:rFonts w:ascii="宋体" w:hAnsi="宋体"/>
          <w:szCs w:val="21"/>
        </w:rPr>
      </w:pPr>
      <w:r>
        <w:rPr>
          <w:rFonts w:hint="eastAsia" w:ascii="宋体" w:hAnsi="宋体" w:cs="宋体"/>
          <w:spacing w:val="-2"/>
          <w:szCs w:val="21"/>
        </w:rPr>
        <w:t>▲</w:t>
      </w:r>
      <w:r>
        <w:rPr>
          <w:rFonts w:hint="eastAsia" w:ascii="宋体" w:hAnsi="宋体"/>
          <w:szCs w:val="21"/>
        </w:rPr>
        <w:t>（1）中标人要制定并严格执行电梯运行管理制度、安全操作规程和电梯系统设备维修保养制度，电梯维护专业公司定时、定期对电梯系统各项设施设备进行检查、检测、检修和保养；设立24小时报修电话或对讲机值守制度，及时发现并协助排除设施设备故障，及时配合有效处理电梯事故，维修质量合格率100%；协助对电梯进行年度定期检验，办理安全运行证；做好各项运行和维修保养记录；制定切实可行节能运行管理措施，有明显节能降耗成果；电梯维护单位必须是现时我局电梯使用品牌授权认可的维修保养单位；</w:t>
      </w:r>
    </w:p>
    <w:p>
      <w:pPr>
        <w:spacing w:beforeLines="50" w:line="276" w:lineRule="auto"/>
        <w:jc w:val="left"/>
        <w:rPr>
          <w:rFonts w:ascii="宋体" w:hAnsi="宋体"/>
          <w:szCs w:val="21"/>
        </w:rPr>
      </w:pPr>
      <w:r>
        <w:rPr>
          <w:rFonts w:hint="eastAsia" w:ascii="宋体" w:hAnsi="宋体"/>
          <w:szCs w:val="21"/>
        </w:rPr>
        <w:t>（2）电梯系统机房管理养护具体要求如下：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6"/>
        <w:gridCol w:w="1442"/>
        <w:gridCol w:w="638"/>
        <w:gridCol w:w="4613"/>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55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序号</w:t>
            </w:r>
          </w:p>
        </w:tc>
        <w:tc>
          <w:tcPr>
            <w:tcW w:w="144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保养项目</w:t>
            </w: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保养内容及要求</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保养周期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144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机房的通道,</w:t>
            </w:r>
          </w:p>
          <w:p>
            <w:pPr>
              <w:spacing w:line="276" w:lineRule="auto"/>
              <w:jc w:val="center"/>
              <w:rPr>
                <w:rFonts w:ascii="宋体" w:hAnsi="宋体" w:cs="宋体"/>
                <w:szCs w:val="21"/>
              </w:rPr>
            </w:pPr>
            <w:r>
              <w:rPr>
                <w:rFonts w:hint="eastAsia" w:ascii="宋体" w:hAnsi="宋体" w:cs="宋体"/>
                <w:szCs w:val="21"/>
              </w:rPr>
              <w:t>出入口门</w:t>
            </w: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通道应通畅无障碍物、应有适当的照明设施且有效</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机房门应有告示牌、出入口锁紧装置要良好</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机房内应清洁卫生，不得堆放非电梯用物品</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2</w:t>
            </w:r>
          </w:p>
        </w:tc>
        <w:tc>
          <w:tcPr>
            <w:tcW w:w="144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机房设施</w:t>
            </w: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机房内温度要维持在符合设备良好运行的温度条件、天花板或墙体不应漏水</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消防器材在有效期内</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w:t>
            </w:r>
          </w:p>
        </w:tc>
        <w:tc>
          <w:tcPr>
            <w:tcW w:w="144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滑轮间</w:t>
            </w: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滑轮间应有足够的固定照明、电源插座</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滑轮间入口，急停开关动作可靠</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滑轮间地面清洁无油污</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4</w:t>
            </w:r>
          </w:p>
        </w:tc>
        <w:tc>
          <w:tcPr>
            <w:tcW w:w="144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手动</w:t>
            </w:r>
          </w:p>
          <w:p>
            <w:pPr>
              <w:spacing w:line="276" w:lineRule="auto"/>
              <w:jc w:val="center"/>
              <w:rPr>
                <w:rFonts w:ascii="宋体" w:hAnsi="宋体" w:cs="宋体"/>
                <w:szCs w:val="21"/>
              </w:rPr>
            </w:pPr>
            <w:r>
              <w:rPr>
                <w:rFonts w:hint="eastAsia" w:ascii="宋体" w:hAnsi="宋体" w:cs="宋体"/>
                <w:szCs w:val="21"/>
              </w:rPr>
              <w:t>盘车装置</w:t>
            </w: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手动盘车装置齐全,标识明确，操作说明清晰详细</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制动器松闸板手应挂在制动器附近容易接近的墙上</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5</w:t>
            </w: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配电盘,</w:t>
            </w:r>
          </w:p>
          <w:p>
            <w:pPr>
              <w:spacing w:line="276" w:lineRule="auto"/>
              <w:jc w:val="center"/>
              <w:rPr>
                <w:rFonts w:ascii="宋体" w:hAnsi="宋体" w:cs="宋体"/>
                <w:szCs w:val="21"/>
              </w:rPr>
            </w:pPr>
            <w:r>
              <w:rPr>
                <w:rFonts w:hint="eastAsia" w:ascii="宋体" w:hAnsi="宋体" w:cs="宋体"/>
                <w:szCs w:val="21"/>
              </w:rPr>
              <w:t>控制柜(屏)</w:t>
            </w: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各开关装置及保险标识明确、工作可靠无异常</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接触器、继电器等电器元件固定良好、工作可靠无异常</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电子板插件固定要良好，表面无积尘，无异味</w:t>
            </w:r>
          </w:p>
          <w:p>
            <w:pPr>
              <w:spacing w:line="276" w:lineRule="auto"/>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门锁及安全回路无短接线</w:t>
            </w:r>
          </w:p>
          <w:p>
            <w:pPr>
              <w:spacing w:line="276" w:lineRule="auto"/>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设置有故障检测功能的微机电梯,需检查故障记录并做相应处理</w:t>
            </w:r>
          </w:p>
          <w:p>
            <w:pPr>
              <w:spacing w:line="276" w:lineRule="auto"/>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布线整齐，线槽盖板齐全、严密，接地良好</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各接线端子标志和编号清晰、并紧固，无氧化及接触不良</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清洁卫生良好</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各电气部件的工作状态及检测点的工作参数符合产品说明要求</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断错相保护功能正常</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动力和控制回路的电气绝缘符合标准要求</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6</w:t>
            </w: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曳引机</w:t>
            </w:r>
          </w:p>
        </w:tc>
        <w:tc>
          <w:tcPr>
            <w:tcW w:w="638"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减速箱</w:t>
            </w:r>
          </w:p>
        </w:tc>
        <w:tc>
          <w:tcPr>
            <w:tcW w:w="461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表面无积尘及油污，油漆无剥落；箱体密封可靠，无漏油异常</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运转时应无异常响声及振动</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传动部件啮合状态良好，无异常温升</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38"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c>
          <w:tcPr>
            <w:tcW w:w="461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油位正常，无杂质，按厂家要求定期更换</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38"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曳引轮</w:t>
            </w:r>
          </w:p>
        </w:tc>
        <w:tc>
          <w:tcPr>
            <w:tcW w:w="461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曳引轮绳槽无严重油垢，磨损无异常</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正常运行时曳引轮与钢丝绳之间无严重滑移现象</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曳引轮线槽磨损严重时，需满足曳引条件要求，并确认更换或监控使用</w:t>
            </w:r>
          </w:p>
          <w:p>
            <w:pPr>
              <w:spacing w:line="276" w:lineRule="auto"/>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所设置的防止机械伤害的安全装置固定可靠，警告标识清晰</w:t>
            </w:r>
          </w:p>
          <w:p>
            <w:pPr>
              <w:spacing w:line="276" w:lineRule="auto"/>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所设置的防止钢丝绳脱离装置应稳固</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38"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c>
          <w:tcPr>
            <w:tcW w:w="461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曳引轮在各负荷状态下的垂直度偏差不大于2mm</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38"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轴承</w:t>
            </w:r>
          </w:p>
        </w:tc>
        <w:tc>
          <w:tcPr>
            <w:tcW w:w="461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应无异常发热、无异常声音</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38"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c>
          <w:tcPr>
            <w:tcW w:w="461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按润滑要求定期加注</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38"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制动器</w:t>
            </w:r>
          </w:p>
        </w:tc>
        <w:tc>
          <w:tcPr>
            <w:tcW w:w="461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制动器动作灵活、各部件齐全并可靠固定、所设置的电气触点接触良好</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制动轮光洁、无异常划痕，运行时无异响</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制动器线圈表面无异常发热、电气接线可靠</w:t>
            </w:r>
          </w:p>
          <w:p>
            <w:pPr>
              <w:spacing w:line="276" w:lineRule="auto"/>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制动器机械机构各相关尺寸按产品标准要求调整正确</w:t>
            </w:r>
          </w:p>
          <w:p>
            <w:pPr>
              <w:spacing w:line="276" w:lineRule="auto"/>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制动器闸瓦工作可靠、磨损无异常，接近使用期限时应更换</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38"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c>
          <w:tcPr>
            <w:tcW w:w="461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制动器解体清理、各运动部件选用规定润滑剂。</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解体清理装配完毕的制动器性能应满足相关制动要求</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38"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导向轮复绕轮</w:t>
            </w:r>
          </w:p>
        </w:tc>
        <w:tc>
          <w:tcPr>
            <w:tcW w:w="461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旋转顺畅、无异常声响；绳槽无严重油垢，磨损无异常</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所设置的防止机械伤害的安全装置固定可靠，警告标识清晰</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38"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电机</w:t>
            </w:r>
          </w:p>
        </w:tc>
        <w:tc>
          <w:tcPr>
            <w:tcW w:w="461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工作无异常发热和异常声响、表面清洁卫生</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38"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c>
          <w:tcPr>
            <w:tcW w:w="461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定子线圈应清洁、无积尘</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638"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c>
          <w:tcPr>
            <w:tcW w:w="461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电机的接线端子固定可靠、接触良好，无明显氧化及锈蚀</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7</w:t>
            </w: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编码器/</w:t>
            </w:r>
          </w:p>
          <w:p>
            <w:pPr>
              <w:spacing w:line="276" w:lineRule="auto"/>
              <w:jc w:val="center"/>
              <w:rPr>
                <w:rFonts w:ascii="宋体" w:hAnsi="宋体" w:cs="宋体"/>
                <w:szCs w:val="21"/>
              </w:rPr>
            </w:pPr>
            <w:r>
              <w:rPr>
                <w:rFonts w:hint="eastAsia" w:ascii="宋体" w:hAnsi="宋体" w:cs="宋体"/>
                <w:szCs w:val="21"/>
              </w:rPr>
              <w:t>测速电机</w:t>
            </w: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固定可靠、清洁卫生、转动灵活，无异常声响</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接线端固定可靠、接触良好</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8</w:t>
            </w: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选层器</w:t>
            </w: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所设置的传动钢带受力均匀无扭曲，无裂痕或破损现象</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固定/运动各触点位置固定可靠、表面清洁、磨损值在允许范围内</w:t>
            </w:r>
          </w:p>
          <w:p>
            <w:pPr>
              <w:spacing w:line="276" w:lineRule="auto"/>
              <w:rPr>
                <w:rFonts w:ascii="宋体" w:hAnsi="宋体" w:cs="宋体"/>
                <w:szCs w:val="21"/>
              </w:rPr>
            </w:pPr>
            <w:r>
              <w:rPr>
                <w:rFonts w:hint="eastAsia" w:ascii="宋体" w:hAnsi="宋体" w:cs="宋体"/>
                <w:szCs w:val="21"/>
              </w:rPr>
              <w:t>电气接线标志清晰、接触良好、无明显氧化</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9</w:t>
            </w: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限速器/</w:t>
            </w:r>
          </w:p>
          <w:p>
            <w:pPr>
              <w:spacing w:line="276" w:lineRule="auto"/>
              <w:jc w:val="center"/>
              <w:rPr>
                <w:rFonts w:ascii="宋体" w:hAnsi="宋体" w:cs="宋体"/>
                <w:szCs w:val="21"/>
              </w:rPr>
            </w:pPr>
            <w:r>
              <w:rPr>
                <w:rFonts w:hint="eastAsia" w:ascii="宋体" w:hAnsi="宋体" w:cs="宋体"/>
                <w:szCs w:val="21"/>
              </w:rPr>
              <w:t>安全钳</w:t>
            </w: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各运动部件转动灵活、无异常声响，铅封或漆封标记齐全，无移动痕迹</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钢丝绳及绳槽无严重油垢，磨损无异常</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所设置的电气开关及触点工作可靠，接线良好</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限速器、安全钳联动试验可靠；限速器可靠固定、垂直度偏差不大于0.5mm</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定期现场检测限速器各动作速度符合铭牌及标准要求</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10</w:t>
            </w:r>
          </w:p>
        </w:tc>
        <w:tc>
          <w:tcPr>
            <w:tcW w:w="144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曳引机减震</w:t>
            </w:r>
          </w:p>
          <w:p>
            <w:pPr>
              <w:spacing w:line="276" w:lineRule="auto"/>
              <w:jc w:val="center"/>
              <w:rPr>
                <w:rFonts w:ascii="宋体" w:hAnsi="宋体" w:cs="宋体"/>
                <w:szCs w:val="21"/>
              </w:rPr>
            </w:pPr>
            <w:r>
              <w:rPr>
                <w:rFonts w:hint="eastAsia" w:ascii="宋体" w:hAnsi="宋体" w:cs="宋体"/>
                <w:szCs w:val="21"/>
              </w:rPr>
              <w:t>装置</w:t>
            </w: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限位挡块及缓冲橡胶齐全并固定可靠；橡胶表面无裂痕、老化现象</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11</w:t>
            </w:r>
          </w:p>
        </w:tc>
        <w:tc>
          <w:tcPr>
            <w:tcW w:w="1442"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停电自动救援装置</w:t>
            </w: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所使用的蓄电池接线端子无明显的氧化腐蚀</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56"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c>
          <w:tcPr>
            <w:tcW w:w="144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c>
          <w:tcPr>
            <w:tcW w:w="52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定期检查其功能是否正常。如需停电检修,应采取措施,防止失误动作</w:t>
            </w:r>
          </w:p>
        </w:tc>
        <w:tc>
          <w:tcPr>
            <w:tcW w:w="1054"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bl>
    <w:p>
      <w:pPr>
        <w:spacing w:before="100" w:after="100" w:line="276" w:lineRule="auto"/>
        <w:jc w:val="left"/>
        <w:rPr>
          <w:rFonts w:ascii="宋体" w:hAnsi="宋体"/>
          <w:szCs w:val="21"/>
        </w:rPr>
      </w:pPr>
      <w:r>
        <w:rPr>
          <w:rFonts w:hint="eastAsia" w:ascii="宋体" w:hAnsi="宋体"/>
          <w:szCs w:val="21"/>
        </w:rPr>
        <w:t>（3）电梯系统轿厢和对重管理养护具体要求如下：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2"/>
        <w:gridCol w:w="1513"/>
        <w:gridCol w:w="5283"/>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序号</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保养项目</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保养内容及要求</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保养周期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轿内标示牌</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轿内应有标明额定载重量、人数和制造单位的铭牌</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电梯使用守则、紧急情况时联络电话</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电梯注册登记标志</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2</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轿厢壁、天花板及地板</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不应存在严重的变形、磨损、生锈、腐蚀</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如轿厢重新装修,不应使用易燃材料,且需检查及调整平衡系数</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轿内操纵箱</w:t>
            </w:r>
          </w:p>
          <w:p>
            <w:pPr>
              <w:spacing w:line="276" w:lineRule="auto"/>
              <w:jc w:val="center"/>
              <w:rPr>
                <w:rFonts w:ascii="宋体" w:hAnsi="宋体" w:cs="宋体"/>
                <w:szCs w:val="21"/>
              </w:rPr>
            </w:pPr>
            <w:r>
              <w:rPr>
                <w:rFonts w:hint="eastAsia" w:ascii="宋体" w:hAnsi="宋体" w:cs="宋体"/>
                <w:szCs w:val="21"/>
              </w:rPr>
              <w:t>及显示器</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按钮、开关无明显的老化、损伤，标记清晰、功能正常</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所设置的轿内检修盒面板锁有效，检修盒内各开关功能正常</w:t>
            </w:r>
          </w:p>
          <w:p>
            <w:pPr>
              <w:spacing w:line="276" w:lineRule="auto"/>
              <w:rPr>
                <w:rFonts w:ascii="宋体" w:hAnsi="宋体" w:cs="宋体"/>
                <w:szCs w:val="21"/>
              </w:rPr>
            </w:pPr>
            <w:r>
              <w:rPr>
                <w:rFonts w:hint="eastAsia" w:ascii="宋体" w:hAnsi="宋体" w:cs="宋体"/>
                <w:szCs w:val="21"/>
              </w:rPr>
              <w:t>显示器表面无破损，显示状态正确无误</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4</w:t>
            </w:r>
          </w:p>
        </w:tc>
        <w:tc>
          <w:tcPr>
            <w:tcW w:w="1513"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轿厢照明和</w:t>
            </w:r>
          </w:p>
          <w:p>
            <w:pPr>
              <w:spacing w:line="276" w:lineRule="auto"/>
              <w:jc w:val="center"/>
              <w:rPr>
                <w:rFonts w:ascii="宋体" w:hAnsi="宋体" w:cs="宋体"/>
                <w:szCs w:val="21"/>
              </w:rPr>
            </w:pPr>
            <w:r>
              <w:rPr>
                <w:rFonts w:hint="eastAsia" w:ascii="宋体" w:hAnsi="宋体" w:cs="宋体"/>
                <w:szCs w:val="21"/>
              </w:rPr>
              <w:t>通风装置</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轿厢内照明和通风空调装置工作应正常,轿内地板的照明度要在50Lx以上</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513"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应定期检查及清洁轿厢空调，确保正常运行，无异常噪音。</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5</w:t>
            </w:r>
          </w:p>
        </w:tc>
        <w:tc>
          <w:tcPr>
            <w:tcW w:w="1513"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轿厢门、</w:t>
            </w:r>
          </w:p>
          <w:p>
            <w:pPr>
              <w:spacing w:line="276" w:lineRule="auto"/>
              <w:jc w:val="center"/>
              <w:rPr>
                <w:rFonts w:ascii="宋体" w:hAnsi="宋体" w:cs="宋体"/>
                <w:szCs w:val="21"/>
              </w:rPr>
            </w:pPr>
            <w:r>
              <w:rPr>
                <w:rFonts w:hint="eastAsia" w:ascii="宋体" w:hAnsi="宋体" w:cs="宋体"/>
                <w:szCs w:val="21"/>
              </w:rPr>
              <w:t>地坎、护脚板</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不应存在严重的变形、磨损、生锈、腐蚀</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轿厢地坎及上坎清洁无积尘</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轿门门门滑块齐全，无脱落</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513"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护脚板符合标准要求并固定可靠</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阻止关门所需的力不应大于150N</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门扇与门扇，门扇与门框、地坎之间的间隙符合标准要求</w:t>
            </w:r>
          </w:p>
          <w:p>
            <w:pPr>
              <w:spacing w:line="276" w:lineRule="auto"/>
              <w:rPr>
                <w:rFonts w:ascii="宋体" w:hAnsi="宋体" w:cs="宋体"/>
                <w:szCs w:val="21"/>
              </w:rPr>
            </w:pPr>
            <w:r>
              <w:rPr>
                <w:rFonts w:hint="eastAsia" w:ascii="宋体" w:hAnsi="宋体" w:cs="宋体"/>
                <w:szCs w:val="21"/>
              </w:rPr>
              <w:t>轿门门滑块、轿门门挂轮、门挂板偏心轮检查磨损及间隙调整</w:t>
            </w:r>
          </w:p>
          <w:p>
            <w:pPr>
              <w:spacing w:line="276" w:lineRule="auto"/>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不应出现因轿门滑块磨损而产生噪音</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6</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轿门开关</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开关安装应紧固、无松动</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开关动作位置应适当，开关动作时电梯不能启动或停止运行</w:t>
            </w:r>
          </w:p>
          <w:p>
            <w:pPr>
              <w:spacing w:line="276" w:lineRule="auto"/>
              <w:rPr>
                <w:rFonts w:ascii="宋体" w:hAnsi="宋体" w:cs="宋体"/>
                <w:szCs w:val="21"/>
              </w:rPr>
            </w:pPr>
            <w:r>
              <w:rPr>
                <w:rFonts w:hint="eastAsia" w:ascii="宋体" w:hAnsi="宋体" w:cs="宋体"/>
                <w:szCs w:val="21"/>
              </w:rPr>
              <w:t>如两扇轿门不是直接连接，副门锁也应正常动作</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562"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7</w:t>
            </w:r>
          </w:p>
        </w:tc>
        <w:tc>
          <w:tcPr>
            <w:tcW w:w="1513"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门机系统</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各部件固定可靠、运动机构传动灵活、润滑良好</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开关门顺畅，无异响及卡阻</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开、关门装置的传动链、带不应松弛和过度磨损</w:t>
            </w:r>
          </w:p>
          <w:p>
            <w:pPr>
              <w:spacing w:line="276" w:lineRule="auto"/>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所设置的光电安全触板清洁无积尘，发射接收准确无误动作</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513"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接线端子标记清晰、固定可靠、接触良好，无明显氧化及锈蚀</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机械安全触板相关尺寸调整符合产品要求</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安全装置动作应迅速可靠；安全装置动作时轿门应反向开门，运转应平稳</w:t>
            </w:r>
          </w:p>
          <w:p>
            <w:pPr>
              <w:spacing w:line="276" w:lineRule="auto"/>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开关门位置、速度传感装置工作正常</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562"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8</w:t>
            </w:r>
          </w:p>
        </w:tc>
        <w:tc>
          <w:tcPr>
            <w:tcW w:w="1513"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轿厢地坎、轿门边缘与井道壁之间的距离</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不能超越规定尺寸150mm</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513"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轿厢地坎与厅门地坎间隙、轿厢地坎与厅门门锁轮间隙检查符合标准</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513"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如装有井道壁防护网或防护板，防护网（板）不应松脱或损坏</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9</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紧急出口</w:t>
            </w:r>
          </w:p>
          <w:p>
            <w:pPr>
              <w:spacing w:line="276" w:lineRule="auto"/>
              <w:jc w:val="center"/>
              <w:rPr>
                <w:rFonts w:ascii="宋体" w:hAnsi="宋体" w:cs="宋体"/>
                <w:szCs w:val="21"/>
              </w:rPr>
            </w:pPr>
            <w:r>
              <w:rPr>
                <w:rFonts w:hint="eastAsia" w:ascii="宋体" w:hAnsi="宋体" w:cs="宋体"/>
                <w:szCs w:val="21"/>
              </w:rPr>
              <w:t>（安全窗、安全门、检修门、活板门）</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出口门（窗）开、关顺畅，锁紧装置可靠有效并符合标准要求</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出口门（窗）应附带开关，打开出口时电梯停止</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出口门（窗）强度足够，不应破损</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10</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轿门机械锁</w:t>
            </w:r>
          </w:p>
          <w:p>
            <w:pPr>
              <w:spacing w:line="276" w:lineRule="auto"/>
              <w:jc w:val="center"/>
              <w:rPr>
                <w:rFonts w:ascii="宋体" w:hAnsi="宋体" w:cs="宋体"/>
                <w:szCs w:val="21"/>
              </w:rPr>
            </w:pPr>
            <w:r>
              <w:rPr>
                <w:rFonts w:hint="eastAsia" w:ascii="宋体" w:hAnsi="宋体" w:cs="宋体"/>
                <w:szCs w:val="21"/>
              </w:rPr>
              <w:t>装置</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应符合相关的动作条件，动作应灵活、可靠</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如依靠电磁装置动作，电磁装置动作正常，温升不应过高</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11</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应急照明、</w:t>
            </w:r>
          </w:p>
          <w:p>
            <w:pPr>
              <w:spacing w:line="276" w:lineRule="auto"/>
              <w:jc w:val="center"/>
              <w:rPr>
                <w:rFonts w:ascii="宋体" w:hAnsi="宋体" w:cs="宋体"/>
                <w:szCs w:val="21"/>
              </w:rPr>
            </w:pPr>
            <w:r>
              <w:rPr>
                <w:rFonts w:hint="eastAsia" w:ascii="宋体" w:hAnsi="宋体" w:cs="宋体"/>
                <w:szCs w:val="21"/>
              </w:rPr>
              <w:t>警铃和电话</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停电后应急照明装置应正常，</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报警装置、通话装置的按钮标记清晰、功能正常</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外部的警铃及电话等设置在管理员常驻的消防中心或值班室；为方便紧急救援、检修，机房与轿厢间应设置电话联络装置；设置在轿内的紧急联络装置要使用方便。</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12</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轿顶检修装置</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轿顶检修装置应优先于其他一切检修装置</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检修开关动作应灵活可靠</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13</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轿顶停止开关</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停止开关的动作要良好</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14</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停层、</w:t>
            </w:r>
          </w:p>
          <w:p>
            <w:pPr>
              <w:spacing w:line="276" w:lineRule="auto"/>
              <w:jc w:val="center"/>
              <w:rPr>
                <w:rFonts w:ascii="宋体" w:hAnsi="宋体" w:cs="宋体"/>
                <w:szCs w:val="21"/>
              </w:rPr>
            </w:pPr>
            <w:r>
              <w:rPr>
                <w:rFonts w:hint="eastAsia" w:ascii="宋体" w:hAnsi="宋体" w:cs="宋体"/>
                <w:szCs w:val="21"/>
              </w:rPr>
              <w:t>平层装置</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各平层感应器表面清洁无积尘，感应器与感应片的各相关尺寸符合要求</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确认轿厢运行时产生的位移不会导致感应器与感应片碰撞</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电气连线固定可靠，接触良好</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轿顶照明及</w:t>
            </w:r>
          </w:p>
          <w:p>
            <w:pPr>
              <w:spacing w:line="276" w:lineRule="auto"/>
              <w:jc w:val="center"/>
              <w:rPr>
                <w:rFonts w:ascii="宋体" w:hAnsi="宋体" w:cs="宋体"/>
                <w:szCs w:val="21"/>
              </w:rPr>
            </w:pPr>
            <w:r>
              <w:rPr>
                <w:rFonts w:hint="eastAsia" w:ascii="宋体" w:hAnsi="宋体" w:cs="宋体"/>
                <w:szCs w:val="21"/>
              </w:rPr>
              <w:t>开关</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轿顶照明、照明开关及防护罩应齐全并良好，有备用灯泡</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16</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轿顶面、</w:t>
            </w:r>
          </w:p>
          <w:p>
            <w:pPr>
              <w:spacing w:line="276" w:lineRule="auto"/>
              <w:jc w:val="center"/>
              <w:rPr>
                <w:rFonts w:ascii="宋体" w:hAnsi="宋体" w:cs="宋体"/>
                <w:szCs w:val="21"/>
              </w:rPr>
            </w:pPr>
            <w:r>
              <w:rPr>
                <w:rFonts w:hint="eastAsia" w:ascii="宋体" w:hAnsi="宋体" w:cs="宋体"/>
                <w:szCs w:val="21"/>
              </w:rPr>
              <w:t>防护栏</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轿顶面清洁无油污，防护栏应有足够强度和合适的尺寸</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轿顶面各装置电气布线整齐</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17</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轿顶反绳轮</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钢丝绳槽无严重油污，不应有过度磨损，绳轮转动灵活；轴承润滑良好，无异响；绳轮应有防护罩和挡绳装置，挡绳装置的位置合适</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18</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导靴(滚轮)</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运行时无异响，接触部(转动部)的磨损不应太大、润滑良好导靴（滚轮）安装尺寸符合产品要求；轿顶、对重上油杯内油量充足且油杯不漏油不破损</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19</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机械选层器</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机械选层器的钢带应张紧，接头固定良好</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断带安全保护开关位置正确，功能正常</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20</w:t>
            </w:r>
          </w:p>
        </w:tc>
        <w:tc>
          <w:tcPr>
            <w:tcW w:w="1513"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称重装置</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称重装置的安装位置正确,动作状态应良好</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满载、超载信号所对应的电梯控制功能及相关声光信号正常；对于连续检测载重量变化的称重装置，应定期通过电脑数据检查是否正确</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56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513"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应定期调整称重装置的初始状态</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21</w:t>
            </w:r>
          </w:p>
        </w:tc>
        <w:tc>
          <w:tcPr>
            <w:tcW w:w="151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对重</w:t>
            </w:r>
          </w:p>
        </w:tc>
        <w:tc>
          <w:tcPr>
            <w:tcW w:w="5283"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对重架的连接螺栓不应松动和生锈腐蚀</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对重如有反绳轮，其绳槽磨损不应太大，轴承润滑良好，无异常噪音；绳轮应有防护罩和挡绳装置，挡绳装置的位置合适；对重块应固定可靠，运行无异响；绳头连接装置应固定可靠；如用螺杆连接，应至少用两个并紧螺母，并用开口销锁紧</w:t>
            </w:r>
          </w:p>
        </w:tc>
        <w:tc>
          <w:tcPr>
            <w:tcW w:w="93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3个月</w:t>
            </w:r>
          </w:p>
        </w:tc>
      </w:tr>
    </w:tbl>
    <w:p>
      <w:pPr>
        <w:spacing w:before="100" w:after="100" w:line="276" w:lineRule="auto"/>
        <w:jc w:val="left"/>
        <w:rPr>
          <w:rFonts w:ascii="宋体" w:hAnsi="宋体"/>
          <w:szCs w:val="21"/>
        </w:rPr>
      </w:pPr>
      <w:r>
        <w:rPr>
          <w:rFonts w:hint="eastAsia" w:ascii="宋体" w:hAnsi="宋体"/>
          <w:szCs w:val="21"/>
        </w:rPr>
        <w:t>（4）电梯系统井道、层门和候梯厅管理养护具体要求如下：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592"/>
        <w:gridCol w:w="520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序号</w:t>
            </w:r>
          </w:p>
        </w:tc>
        <w:tc>
          <w:tcPr>
            <w:tcW w:w="159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保养项目</w:t>
            </w:r>
          </w:p>
        </w:tc>
        <w:tc>
          <w:tcPr>
            <w:tcW w:w="520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保养内容及要求</w:t>
            </w:r>
          </w:p>
        </w:tc>
        <w:tc>
          <w:tcPr>
            <w:tcW w:w="9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保养周期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159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井道照明</w:t>
            </w:r>
          </w:p>
        </w:tc>
        <w:tc>
          <w:tcPr>
            <w:tcW w:w="5202"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井道照明应齐全</w:t>
            </w:r>
          </w:p>
        </w:tc>
        <w:tc>
          <w:tcPr>
            <w:tcW w:w="9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2</w:t>
            </w:r>
          </w:p>
        </w:tc>
        <w:tc>
          <w:tcPr>
            <w:tcW w:w="159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限速器钢丝绳</w:t>
            </w:r>
          </w:p>
        </w:tc>
        <w:tc>
          <w:tcPr>
            <w:tcW w:w="5202"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钢丝绳槽磨损在规定值以内</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钢丝绳不应有断股现象，不应有过量的断丝和磨损</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与安全钳拉杆的连接部位材料不应有过量的磨损、锈蚀</w:t>
            </w:r>
          </w:p>
          <w:p>
            <w:pPr>
              <w:spacing w:line="276" w:lineRule="auto"/>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端接部组装应良好，应使用三个绳夹夹紧，夹绳方向应正确</w:t>
            </w:r>
          </w:p>
        </w:tc>
        <w:tc>
          <w:tcPr>
            <w:tcW w:w="9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w:t>
            </w:r>
          </w:p>
        </w:tc>
        <w:tc>
          <w:tcPr>
            <w:tcW w:w="159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主钢丝绳</w:t>
            </w:r>
          </w:p>
        </w:tc>
        <w:tc>
          <w:tcPr>
            <w:tcW w:w="5202"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钢丝绳的张力应均等，与平均值偏差不超过5%</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钢丝绳不应有过多油污;不应有断股现象，断丝数不超过标准，不应有过量磨损；绳头连接装置的各部件齐全、固定可靠，紧固件无松动</w:t>
            </w:r>
          </w:p>
        </w:tc>
        <w:tc>
          <w:tcPr>
            <w:tcW w:w="9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4</w:t>
            </w:r>
          </w:p>
        </w:tc>
        <w:tc>
          <w:tcPr>
            <w:tcW w:w="159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导轨及支架</w:t>
            </w:r>
          </w:p>
        </w:tc>
        <w:tc>
          <w:tcPr>
            <w:tcW w:w="5202"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限速器、安全钳联动试验后，应将安全钳动作痕迹打磨平整；导轨及支架表面清洁，无严重油污及锈蚀，导轨撑架、压板的紧固件不应松动</w:t>
            </w:r>
          </w:p>
        </w:tc>
        <w:tc>
          <w:tcPr>
            <w:tcW w:w="9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5</w:t>
            </w:r>
          </w:p>
        </w:tc>
        <w:tc>
          <w:tcPr>
            <w:tcW w:w="159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强迫换速、限位、极限开关</w:t>
            </w:r>
          </w:p>
        </w:tc>
        <w:tc>
          <w:tcPr>
            <w:tcW w:w="5202"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开关紧固可靠，开关动作部位不应生锈，滚轮无严重磨损</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开关动作位置要适当，符合产品要求</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电气触点接触良好，各开关相应功能应正常</w:t>
            </w:r>
          </w:p>
          <w:p>
            <w:pPr>
              <w:spacing w:line="276" w:lineRule="auto"/>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轿厢或对重接触缓冲器前极限开关应动作</w:t>
            </w:r>
          </w:p>
        </w:tc>
        <w:tc>
          <w:tcPr>
            <w:tcW w:w="9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6</w:t>
            </w:r>
          </w:p>
        </w:tc>
        <w:tc>
          <w:tcPr>
            <w:tcW w:w="1592"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厅门</w:t>
            </w:r>
          </w:p>
        </w:tc>
        <w:tc>
          <w:tcPr>
            <w:tcW w:w="5202"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门头清洁,无垃圾杂物，厅门不应严重变形、磨损、生锈、腐蚀。</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门开关动作应顺畅良好，无卡阻、异响</w:t>
            </w:r>
          </w:p>
        </w:tc>
        <w:tc>
          <w:tcPr>
            <w:tcW w:w="9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59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202"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厅门关门到位的电气保护装置功能正常</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门扇采用间接机械联动时，被动门电气连锁保护装置功能可靠</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在层门最不利位置，施加外力，门扇之间的间隙不超过30mm，且无停梯现象</w:t>
            </w:r>
          </w:p>
        </w:tc>
        <w:tc>
          <w:tcPr>
            <w:tcW w:w="9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40"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7</w:t>
            </w:r>
          </w:p>
        </w:tc>
        <w:tc>
          <w:tcPr>
            <w:tcW w:w="1592"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厅门地坎</w:t>
            </w:r>
          </w:p>
        </w:tc>
        <w:tc>
          <w:tcPr>
            <w:tcW w:w="5202"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厅门门脚胶齐全，无脱离</w:t>
            </w:r>
          </w:p>
        </w:tc>
        <w:tc>
          <w:tcPr>
            <w:tcW w:w="9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59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202"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厅门护脚板可靠固定，运行时不得与轿厢部件相摩擦</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不应出现因厅门门脚胶磨损而发生的噪音</w:t>
            </w:r>
          </w:p>
        </w:tc>
        <w:tc>
          <w:tcPr>
            <w:tcW w:w="9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40"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59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202"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轿厢开门刀与厅门地坎间隙应在5-10mm</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厅门地坎和轿厢地坎之间的间隙应符合产品及标准要求</w:t>
            </w:r>
          </w:p>
        </w:tc>
        <w:tc>
          <w:tcPr>
            <w:tcW w:w="9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8</w:t>
            </w:r>
          </w:p>
        </w:tc>
        <w:tc>
          <w:tcPr>
            <w:tcW w:w="159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消防功能</w:t>
            </w:r>
          </w:p>
        </w:tc>
        <w:tc>
          <w:tcPr>
            <w:tcW w:w="5202"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消防迫降和消防员专用各项功能应正常，基站消防开关应有适当防护</w:t>
            </w:r>
          </w:p>
        </w:tc>
        <w:tc>
          <w:tcPr>
            <w:tcW w:w="9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3个月</w:t>
            </w:r>
          </w:p>
        </w:tc>
      </w:tr>
    </w:tbl>
    <w:p>
      <w:pPr>
        <w:spacing w:before="100" w:after="100" w:line="276" w:lineRule="auto"/>
        <w:jc w:val="left"/>
        <w:rPr>
          <w:rFonts w:ascii="宋体" w:hAnsi="宋体"/>
          <w:szCs w:val="21"/>
        </w:rPr>
      </w:pPr>
      <w:r>
        <w:rPr>
          <w:rFonts w:hint="eastAsia" w:ascii="宋体" w:hAnsi="宋体"/>
          <w:szCs w:val="21"/>
        </w:rPr>
        <w:t>（5）电梯系统底坑管理养护具体要求如下：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3"/>
        <w:gridCol w:w="1398"/>
        <w:gridCol w:w="5326"/>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序号</w:t>
            </w:r>
          </w:p>
        </w:tc>
        <w:tc>
          <w:tcPr>
            <w:tcW w:w="13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保养项目</w:t>
            </w:r>
          </w:p>
        </w:tc>
        <w:tc>
          <w:tcPr>
            <w:tcW w:w="5326"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保养内容及要求</w:t>
            </w:r>
          </w:p>
        </w:tc>
        <w:tc>
          <w:tcPr>
            <w:tcW w:w="100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保养周期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6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w:t>
            </w:r>
          </w:p>
        </w:tc>
        <w:tc>
          <w:tcPr>
            <w:tcW w:w="13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底坑停止装置</w:t>
            </w:r>
          </w:p>
        </w:tc>
        <w:tc>
          <w:tcPr>
            <w:tcW w:w="5326"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不应有显著的生锈、腐蚀现象，开关动作应正常可靠</w:t>
            </w:r>
          </w:p>
        </w:tc>
        <w:tc>
          <w:tcPr>
            <w:tcW w:w="100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56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2</w:t>
            </w:r>
          </w:p>
        </w:tc>
        <w:tc>
          <w:tcPr>
            <w:tcW w:w="13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底坑爬梯</w:t>
            </w:r>
          </w:p>
        </w:tc>
        <w:tc>
          <w:tcPr>
            <w:tcW w:w="5326"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底坑爬梯固定可靠并方便人员安全进出</w:t>
            </w:r>
          </w:p>
        </w:tc>
        <w:tc>
          <w:tcPr>
            <w:tcW w:w="100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3"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w:t>
            </w:r>
          </w:p>
        </w:tc>
        <w:tc>
          <w:tcPr>
            <w:tcW w:w="1398"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缓冲器</w:t>
            </w:r>
          </w:p>
        </w:tc>
        <w:tc>
          <w:tcPr>
            <w:tcW w:w="5326"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液压缓冲器被压缩后应能自动复位，完全复位后开关才能恢复正常；液压缓冲器的电气保护开关动作灵活，功能可靠</w:t>
            </w:r>
          </w:p>
        </w:tc>
        <w:tc>
          <w:tcPr>
            <w:tcW w:w="100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3"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398"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326"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液压式缓冲器的液量应正确；缓冲器顶面至轿厢、对重的距离应符合标准要求</w:t>
            </w:r>
          </w:p>
        </w:tc>
        <w:tc>
          <w:tcPr>
            <w:tcW w:w="100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3"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1398"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p>
        </w:tc>
        <w:tc>
          <w:tcPr>
            <w:tcW w:w="5326"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缓冲器固定可靠，无生锈、腐蚀现象</w:t>
            </w:r>
          </w:p>
        </w:tc>
        <w:tc>
          <w:tcPr>
            <w:tcW w:w="100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4</w:t>
            </w:r>
          </w:p>
        </w:tc>
        <w:tc>
          <w:tcPr>
            <w:tcW w:w="13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安全钳</w:t>
            </w:r>
          </w:p>
        </w:tc>
        <w:tc>
          <w:tcPr>
            <w:tcW w:w="5326"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安全钳及联动机构各部件齐全，无过量磨损及损坏；</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安全钳各楔块与导轨间隙均匀并符合产品要求，夹紧位置正确；安全钳各部件无过多油污，应定期清洁</w:t>
            </w:r>
          </w:p>
        </w:tc>
        <w:tc>
          <w:tcPr>
            <w:tcW w:w="100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5</w:t>
            </w:r>
          </w:p>
        </w:tc>
        <w:tc>
          <w:tcPr>
            <w:tcW w:w="13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限速器钢丝绳张紧轮、坠陀及保护开关</w:t>
            </w:r>
          </w:p>
        </w:tc>
        <w:tc>
          <w:tcPr>
            <w:tcW w:w="5326"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限速器钢丝绳张紧轮坠陀不应离地过低</w:t>
            </w:r>
          </w:p>
          <w:p>
            <w:pPr>
              <w:spacing w:line="276"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钢丝绳断裂或松弛时应确保能使保护开关正确动作</w:t>
            </w:r>
          </w:p>
          <w:p>
            <w:pPr>
              <w:spacing w:line="276" w:lineRule="auto"/>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电梯运行中不应存在显著的振动、噪音现象</w:t>
            </w:r>
          </w:p>
        </w:tc>
        <w:tc>
          <w:tcPr>
            <w:tcW w:w="100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6</w:t>
            </w:r>
          </w:p>
        </w:tc>
        <w:tc>
          <w:tcPr>
            <w:tcW w:w="1398"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底坑地面</w:t>
            </w:r>
          </w:p>
        </w:tc>
        <w:tc>
          <w:tcPr>
            <w:tcW w:w="5326"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应保持良好的清洁状态，防水良好、无渗水漏水现象或消防水倒灌现象</w:t>
            </w:r>
          </w:p>
        </w:tc>
        <w:tc>
          <w:tcPr>
            <w:tcW w:w="100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3"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7</w:t>
            </w:r>
          </w:p>
        </w:tc>
        <w:tc>
          <w:tcPr>
            <w:tcW w:w="1398"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补偿链或</w:t>
            </w:r>
          </w:p>
          <w:p>
            <w:pPr>
              <w:spacing w:line="276" w:lineRule="auto"/>
              <w:jc w:val="center"/>
              <w:rPr>
                <w:rFonts w:ascii="宋体" w:hAnsi="宋体" w:cs="宋体"/>
                <w:szCs w:val="21"/>
              </w:rPr>
            </w:pPr>
            <w:r>
              <w:rPr>
                <w:rFonts w:hint="eastAsia" w:ascii="宋体" w:hAnsi="宋体" w:cs="宋体"/>
                <w:szCs w:val="21"/>
              </w:rPr>
              <w:t>补偿绳</w:t>
            </w:r>
          </w:p>
        </w:tc>
        <w:tc>
          <w:tcPr>
            <w:tcW w:w="5326"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补偿绳的张紧轮装置及行程限制开关固定，位置正确，开关功能可靠；补偿链或补偿绳无破损及断裂，无生锈和腐蚀现象</w:t>
            </w:r>
          </w:p>
        </w:tc>
        <w:tc>
          <w:tcPr>
            <w:tcW w:w="100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3"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c>
          <w:tcPr>
            <w:tcW w:w="1398"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c>
          <w:tcPr>
            <w:tcW w:w="5326"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补偿绳张紧力要充分、均匀；电梯运行时补偿链或补偿绳不应离地过低；补偿绳的张紧轮不应离地过低，也不应脱出导向轨道</w:t>
            </w:r>
          </w:p>
        </w:tc>
        <w:tc>
          <w:tcPr>
            <w:tcW w:w="100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3"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c>
          <w:tcPr>
            <w:tcW w:w="1398"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p>
        </w:tc>
        <w:tc>
          <w:tcPr>
            <w:tcW w:w="5326" w:type="dxa"/>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cs="宋体"/>
                <w:szCs w:val="21"/>
              </w:rPr>
            </w:pPr>
            <w:r>
              <w:rPr>
                <w:rFonts w:hint="eastAsia" w:ascii="宋体" w:hAnsi="宋体" w:cs="宋体"/>
                <w:szCs w:val="21"/>
              </w:rPr>
              <w:t>补偿链或补偿绳两端固定可靠，补偿链的二次保护装置正确可靠</w:t>
            </w:r>
          </w:p>
        </w:tc>
        <w:tc>
          <w:tcPr>
            <w:tcW w:w="100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s="宋体"/>
                <w:szCs w:val="21"/>
              </w:rPr>
            </w:pPr>
            <w:r>
              <w:rPr>
                <w:rFonts w:hint="eastAsia" w:ascii="宋体" w:hAnsi="宋体" w:cs="宋体"/>
                <w:szCs w:val="21"/>
              </w:rPr>
              <w:t>6个月</w:t>
            </w:r>
          </w:p>
        </w:tc>
      </w:tr>
    </w:tbl>
    <w:p>
      <w:pPr>
        <w:spacing w:beforeLines="50" w:line="276" w:lineRule="auto"/>
        <w:jc w:val="left"/>
        <w:outlineLvl w:val="2"/>
        <w:rPr>
          <w:rFonts w:ascii="宋体" w:hAnsi="宋体"/>
          <w:szCs w:val="21"/>
        </w:rPr>
      </w:pPr>
      <w:r>
        <w:rPr>
          <w:rFonts w:hint="eastAsia" w:ascii="宋体" w:hAnsi="宋体"/>
          <w:szCs w:val="21"/>
        </w:rPr>
        <w:t>7、监控系统管理范围：本项目监控系统各类设施设备管理养护管理要求：</w:t>
      </w:r>
    </w:p>
    <w:p>
      <w:pPr>
        <w:spacing w:beforeLines="50" w:line="276" w:lineRule="auto"/>
        <w:jc w:val="left"/>
        <w:rPr>
          <w:rFonts w:ascii="宋体" w:hAnsi="宋体"/>
          <w:szCs w:val="21"/>
        </w:rPr>
      </w:pPr>
      <w:r>
        <w:rPr>
          <w:rFonts w:hint="eastAsia" w:ascii="宋体" w:hAnsi="宋体"/>
          <w:szCs w:val="21"/>
        </w:rPr>
        <w:t>（1）中标人要制定并严格执行监控系统运行管理制度、安全操作规程。定时、定期对监控系统各项设施设备进行检查，发现监控系统存在问题需于15分钟中内上报。</w:t>
      </w:r>
    </w:p>
    <w:p>
      <w:pPr>
        <w:spacing w:beforeLines="50" w:line="276" w:lineRule="auto"/>
        <w:jc w:val="left"/>
        <w:rPr>
          <w:rFonts w:ascii="宋体" w:hAnsi="宋体"/>
          <w:szCs w:val="21"/>
        </w:rPr>
      </w:pPr>
      <w:r>
        <w:rPr>
          <w:rFonts w:hint="eastAsia" w:ascii="宋体" w:hAnsi="宋体"/>
          <w:szCs w:val="21"/>
        </w:rPr>
        <w:t>（2）做好录像资料储存设备的安全工作，录像资料至少保留一个月以上。</w:t>
      </w:r>
    </w:p>
    <w:p>
      <w:pPr>
        <w:spacing w:beforeLines="50" w:line="276" w:lineRule="auto"/>
        <w:jc w:val="left"/>
        <w:rPr>
          <w:rFonts w:ascii="宋体" w:hAnsi="宋体"/>
          <w:szCs w:val="21"/>
        </w:rPr>
      </w:pPr>
      <w:r>
        <w:rPr>
          <w:rFonts w:hint="eastAsia" w:ascii="宋体" w:hAnsi="宋体"/>
          <w:szCs w:val="21"/>
        </w:rPr>
        <w:t>（3）保证监控岗位24小时值班工作并做好值班记录，不得脱岗。</w:t>
      </w:r>
    </w:p>
    <w:p>
      <w:pPr>
        <w:spacing w:line="276" w:lineRule="auto"/>
        <w:ind w:firstLine="567"/>
        <w:jc w:val="left"/>
        <w:rPr>
          <w:rFonts w:ascii="宋体" w:hAnsi="宋体"/>
          <w:b/>
          <w:bCs/>
          <w:sz w:val="18"/>
          <w:szCs w:val="18"/>
        </w:rPr>
      </w:pPr>
      <w:r>
        <w:rPr>
          <w:rFonts w:hint="eastAsia" w:ascii="宋体" w:hAnsi="宋体"/>
          <w:b/>
          <w:bCs/>
          <w:sz w:val="18"/>
          <w:szCs w:val="18"/>
        </w:rPr>
        <w:t>（六）其他</w:t>
      </w:r>
      <w:r>
        <w:rPr>
          <w:rFonts w:ascii="宋体" w:hAnsi="宋体"/>
          <w:b/>
          <w:bCs/>
          <w:sz w:val="18"/>
          <w:szCs w:val="18"/>
        </w:rPr>
        <w:t>说明</w:t>
      </w:r>
    </w:p>
    <w:p>
      <w:pPr>
        <w:kinsoku w:val="0"/>
        <w:snapToGrid w:val="0"/>
        <w:spacing w:beforeLines="50" w:line="276" w:lineRule="auto"/>
        <w:ind w:right="80" w:firstLine="434"/>
        <w:jc w:val="left"/>
        <w:rPr>
          <w:rFonts w:ascii="宋体" w:hAnsi="宋体" w:cs="宋体"/>
          <w:snapToGrid w:val="0"/>
          <w:spacing w:val="-2"/>
          <w:szCs w:val="21"/>
        </w:rPr>
      </w:pPr>
      <w:r>
        <w:rPr>
          <w:rFonts w:ascii="宋体" w:hAnsi="宋体" w:cs="宋体"/>
          <w:snapToGrid w:val="0"/>
          <w:spacing w:val="-2"/>
          <w:szCs w:val="21"/>
        </w:rPr>
        <w:t>1、管理用房：采购人提供专门的管理办公用房（含资料室、仓库及维修场所）、值班休息室，不提供任何居住和居住相关用房。</w:t>
      </w:r>
    </w:p>
    <w:p>
      <w:pPr>
        <w:kinsoku w:val="0"/>
        <w:snapToGrid w:val="0"/>
        <w:spacing w:beforeLines="50" w:line="276" w:lineRule="auto"/>
        <w:ind w:right="80" w:firstLine="434"/>
        <w:jc w:val="left"/>
        <w:rPr>
          <w:rFonts w:ascii="宋体" w:hAnsi="宋体" w:cs="宋体"/>
          <w:snapToGrid w:val="0"/>
          <w:spacing w:val="-2"/>
          <w:szCs w:val="21"/>
        </w:rPr>
      </w:pPr>
      <w:r>
        <w:rPr>
          <w:rFonts w:hint="eastAsia" w:ascii="宋体" w:hAnsi="宋体" w:cs="宋体"/>
          <w:snapToGrid w:val="0"/>
          <w:spacing w:val="-2"/>
          <w:szCs w:val="21"/>
        </w:rPr>
        <w:t>2</w:t>
      </w:r>
      <w:r>
        <w:rPr>
          <w:rFonts w:ascii="宋体" w:hAnsi="宋体" w:cs="宋体"/>
          <w:snapToGrid w:val="0"/>
          <w:spacing w:val="-2"/>
          <w:szCs w:val="21"/>
        </w:rPr>
        <w:t>、公用水电：公用水电费用由采购人承担，包括卫生间、空调、清洁卫生、生活等各类用水，消防、水泵、照明、各类机电设备等各类用电。</w:t>
      </w:r>
    </w:p>
    <w:p>
      <w:pPr>
        <w:kinsoku w:val="0"/>
        <w:snapToGrid w:val="0"/>
        <w:spacing w:beforeLines="50" w:line="276" w:lineRule="auto"/>
        <w:ind w:right="80" w:firstLine="434"/>
        <w:jc w:val="left"/>
        <w:rPr>
          <w:rFonts w:ascii="宋体" w:hAnsi="宋体" w:cs="宋体"/>
          <w:snapToGrid w:val="0"/>
          <w:spacing w:val="-2"/>
          <w:szCs w:val="21"/>
        </w:rPr>
      </w:pPr>
      <w:r>
        <w:rPr>
          <w:rFonts w:hint="eastAsia" w:ascii="宋体" w:hAnsi="宋体" w:cs="宋体"/>
          <w:snapToGrid w:val="0"/>
          <w:spacing w:val="-2"/>
          <w:szCs w:val="21"/>
        </w:rPr>
        <w:t>3</w:t>
      </w:r>
      <w:r>
        <w:rPr>
          <w:rFonts w:ascii="宋体" w:hAnsi="宋体" w:cs="宋体"/>
          <w:snapToGrid w:val="0"/>
          <w:spacing w:val="-2"/>
          <w:szCs w:val="21"/>
        </w:rPr>
        <w:t>、其余设施设备的说明：采购人物业内岗亭、道闸、设备设施专用工具、各类门牌、各类标示指示牌、垃圾中转站及垃圾桶均由采购人负责安装及提供，除以上设施设备外，相关费用由中标人负担。投标人在标书中为管理需要添置的设施设备视为投标人投资，中标后须配置、实施。</w:t>
      </w:r>
    </w:p>
    <w:p>
      <w:pPr>
        <w:kinsoku w:val="0"/>
        <w:snapToGrid w:val="0"/>
        <w:spacing w:beforeLines="50" w:line="276" w:lineRule="auto"/>
        <w:ind w:right="80" w:firstLine="434"/>
        <w:jc w:val="left"/>
        <w:rPr>
          <w:rFonts w:ascii="宋体" w:hAnsi="宋体" w:cs="宋体"/>
          <w:snapToGrid w:val="0"/>
          <w:spacing w:val="-2"/>
          <w:szCs w:val="21"/>
        </w:rPr>
      </w:pPr>
      <w:r>
        <w:rPr>
          <w:rFonts w:ascii="宋体" w:hAnsi="宋体" w:cs="宋体"/>
          <w:snapToGrid w:val="0"/>
          <w:spacing w:val="-2"/>
          <w:szCs w:val="21"/>
        </w:rPr>
        <w:t>★</w:t>
      </w:r>
      <w:r>
        <w:rPr>
          <w:rFonts w:hint="eastAsia" w:ascii="宋体" w:hAnsi="宋体" w:cs="宋体"/>
          <w:snapToGrid w:val="0"/>
          <w:spacing w:val="-2"/>
          <w:szCs w:val="21"/>
        </w:rPr>
        <w:t>4</w:t>
      </w:r>
      <w:r>
        <w:rPr>
          <w:rFonts w:ascii="宋体" w:hAnsi="宋体" w:cs="宋体"/>
          <w:snapToGrid w:val="0"/>
          <w:spacing w:val="-2"/>
          <w:szCs w:val="21"/>
        </w:rPr>
        <w:t>、中标人在中标公告之日起7个工作日内，</w:t>
      </w:r>
      <w:r>
        <w:rPr>
          <w:rFonts w:hint="eastAsia" w:ascii="宋体" w:hAnsi="宋体" w:cs="宋体"/>
          <w:snapToGrid w:val="0"/>
          <w:spacing w:val="-2"/>
          <w:szCs w:val="21"/>
        </w:rPr>
        <w:t>安排</w:t>
      </w:r>
      <w:r>
        <w:rPr>
          <w:rFonts w:ascii="宋体" w:hAnsi="宋体" w:cs="宋体"/>
          <w:snapToGrid w:val="0"/>
          <w:spacing w:val="-2"/>
          <w:szCs w:val="21"/>
        </w:rPr>
        <w:t>各部门业务骨干入场详细了解物业状况，制定管理服务制度及相关方法、方案，并与原物业公司共同研究本项目物业</w:t>
      </w:r>
      <w:r>
        <w:rPr>
          <w:rFonts w:hint="eastAsia" w:ascii="宋体" w:hAnsi="宋体" w:cs="宋体"/>
          <w:snapToGrid w:val="0"/>
          <w:spacing w:val="-2"/>
          <w:szCs w:val="21"/>
        </w:rPr>
        <w:t>管理服务</w:t>
      </w:r>
      <w:r>
        <w:rPr>
          <w:rFonts w:ascii="宋体" w:hAnsi="宋体" w:cs="宋体"/>
          <w:snapToGrid w:val="0"/>
          <w:spacing w:val="-2"/>
          <w:szCs w:val="21"/>
        </w:rPr>
        <w:t>交接方案(进驻时间由采购人决定)。</w:t>
      </w:r>
      <w:r>
        <w:rPr>
          <w:rFonts w:hint="eastAsia" w:ascii="宋体" w:hAnsi="宋体" w:cs="宋体"/>
          <w:snapToGrid w:val="0"/>
          <w:spacing w:val="-2"/>
          <w:szCs w:val="21"/>
          <w:highlight w:val="red"/>
        </w:rPr>
        <w:t>提供岗位数量</w:t>
      </w:r>
      <w:r>
        <w:rPr>
          <w:rFonts w:ascii="宋体" w:hAnsi="宋体" w:cs="宋体"/>
          <w:snapToGrid w:val="0"/>
          <w:spacing w:val="-2"/>
          <w:szCs w:val="21"/>
          <w:highlight w:val="red"/>
        </w:rPr>
        <w:t>不得少于招标文件要求</w:t>
      </w:r>
      <w:r>
        <w:rPr>
          <w:rFonts w:hint="eastAsia" w:ascii="宋体" w:hAnsi="宋体" w:cs="宋体"/>
          <w:snapToGrid w:val="0"/>
          <w:spacing w:val="-2"/>
          <w:szCs w:val="21"/>
          <w:highlight w:val="red"/>
        </w:rPr>
        <w:t>岗位数量</w:t>
      </w:r>
      <w:r>
        <w:rPr>
          <w:rFonts w:ascii="宋体" w:hAnsi="宋体" w:cs="宋体"/>
          <w:snapToGrid w:val="0"/>
          <w:spacing w:val="-2"/>
          <w:szCs w:val="21"/>
          <w:highlight w:val="red"/>
        </w:rPr>
        <w:t>的1/4</w:t>
      </w:r>
      <w:r>
        <w:rPr>
          <w:rFonts w:ascii="宋体" w:hAnsi="宋体" w:cs="宋体"/>
          <w:snapToGrid w:val="0"/>
          <w:spacing w:val="-2"/>
          <w:szCs w:val="21"/>
        </w:rPr>
        <w:t>，确保交接期内（20</w:t>
      </w:r>
      <w:r>
        <w:rPr>
          <w:rFonts w:hint="eastAsia" w:ascii="宋体" w:hAnsi="宋体" w:cs="宋体"/>
          <w:snapToGrid w:val="0"/>
          <w:spacing w:val="-2"/>
          <w:szCs w:val="21"/>
        </w:rPr>
        <w:t>个自然日</w:t>
      </w:r>
      <w:r>
        <w:rPr>
          <w:rFonts w:ascii="宋体" w:hAnsi="宋体" w:cs="宋体"/>
          <w:snapToGrid w:val="0"/>
          <w:spacing w:val="-2"/>
          <w:szCs w:val="21"/>
        </w:rPr>
        <w:t>或采购人确定的期限）本项目各项物业管理服务正常运作，30</w:t>
      </w:r>
      <w:r>
        <w:rPr>
          <w:rFonts w:hint="eastAsia" w:ascii="宋体" w:hAnsi="宋体" w:cs="宋体"/>
          <w:snapToGrid w:val="0"/>
          <w:spacing w:val="-2"/>
          <w:szCs w:val="21"/>
        </w:rPr>
        <w:t>个自然日</w:t>
      </w:r>
      <w:r>
        <w:rPr>
          <w:rFonts w:ascii="宋体" w:hAnsi="宋体" w:cs="宋体"/>
          <w:snapToGrid w:val="0"/>
          <w:spacing w:val="-2"/>
          <w:szCs w:val="21"/>
        </w:rPr>
        <w:t>内按招标文件要</w:t>
      </w:r>
      <w:r>
        <w:rPr>
          <w:rFonts w:hint="eastAsia" w:ascii="宋体" w:hAnsi="宋体" w:cs="宋体"/>
          <w:snapToGrid w:val="0"/>
          <w:spacing w:val="-2"/>
          <w:szCs w:val="21"/>
        </w:rPr>
        <w:t>求</w:t>
      </w:r>
      <w:r>
        <w:rPr>
          <w:rFonts w:ascii="宋体" w:hAnsi="宋体" w:cs="宋体"/>
          <w:snapToGrid w:val="0"/>
          <w:spacing w:val="-2"/>
          <w:szCs w:val="21"/>
        </w:rPr>
        <w:t>完成物资、物料、工具、设备、设施等必须品的配备、配置，物业管理从业人员人数按照招标文件要求全部到位。整个交叉管理期间产生的费用在当月管理费中核支，在采购人的协调、监督下，中标人和在管公司双方按投入人员、物料等比例分配相关费用。</w:t>
      </w:r>
      <w:r>
        <w:rPr>
          <w:rFonts w:hint="eastAsia" w:ascii="宋体" w:hAnsi="宋体" w:cs="宋体"/>
          <w:snapToGrid w:val="0"/>
          <w:spacing w:val="-2"/>
          <w:szCs w:val="21"/>
        </w:rPr>
        <w:t>（须提供承诺书）</w:t>
      </w:r>
    </w:p>
    <w:p>
      <w:pPr>
        <w:spacing w:beforeLines="50" w:line="276" w:lineRule="auto"/>
        <w:ind w:firstLine="412" w:firstLineChars="200"/>
        <w:rPr>
          <w:rFonts w:ascii="宋体" w:hAnsi="宋体" w:cs="宋体"/>
          <w:snapToGrid w:val="0"/>
          <w:spacing w:val="-2"/>
          <w:szCs w:val="21"/>
          <w:highlight w:val="red"/>
        </w:rPr>
      </w:pPr>
      <w:r>
        <w:rPr>
          <w:rFonts w:hint="eastAsia" w:ascii="宋体" w:hAnsi="宋体" w:cs="宋体"/>
          <w:spacing w:val="-2"/>
          <w:szCs w:val="21"/>
        </w:rPr>
        <w:t>▲</w:t>
      </w:r>
      <w:r>
        <w:rPr>
          <w:rFonts w:hint="eastAsia" w:ascii="宋体" w:hAnsi="宋体" w:cs="宋体"/>
          <w:snapToGrid w:val="0"/>
          <w:spacing w:val="-2"/>
          <w:szCs w:val="21"/>
        </w:rPr>
        <w:t>5、</w:t>
      </w:r>
      <w:r>
        <w:rPr>
          <w:rFonts w:hint="eastAsia" w:ascii="宋体" w:hAnsi="宋体" w:cs="宋体"/>
          <w:snapToGrid w:val="0"/>
          <w:spacing w:val="-2"/>
          <w:szCs w:val="21"/>
          <w:highlight w:val="red"/>
        </w:rPr>
        <w:t>因采购人工作安排发生的物业管理岗位服务人员加班费，经采购人核实后由中标人据实结算支付。</w:t>
      </w:r>
    </w:p>
    <w:p>
      <w:pPr>
        <w:spacing w:line="276" w:lineRule="auto"/>
        <w:ind w:firstLine="412" w:firstLineChars="200"/>
        <w:outlineLvl w:val="1"/>
        <w:rPr>
          <w:rFonts w:ascii="宋体" w:hAnsi="宋体" w:cs="宋体"/>
          <w:snapToGrid w:val="0"/>
          <w:spacing w:val="-2"/>
          <w:szCs w:val="21"/>
        </w:rPr>
      </w:pPr>
      <w:r>
        <w:rPr>
          <w:rFonts w:hint="eastAsia" w:ascii="宋体" w:hAnsi="宋体" w:cs="宋体"/>
          <w:snapToGrid w:val="0"/>
          <w:spacing w:val="-2"/>
          <w:szCs w:val="21"/>
        </w:rPr>
        <w:t>6、</w:t>
      </w:r>
      <w:r>
        <w:rPr>
          <w:rFonts w:hint="eastAsia" w:ascii="宋体" w:hAnsi="宋体" w:cs="宋体"/>
          <w:snapToGrid w:val="0"/>
          <w:spacing w:val="-2"/>
          <w:szCs w:val="21"/>
          <w:highlight w:val="red"/>
        </w:rPr>
        <w:t>每月中标人的</w:t>
      </w:r>
      <w:r>
        <w:rPr>
          <w:rFonts w:hint="eastAsia" w:ascii="宋体" w:hAnsi="宋体" w:cs="宋体"/>
          <w:szCs w:val="21"/>
          <w:highlight w:val="red"/>
        </w:rPr>
        <w:t>物业管理服务费按照“当月支付上月”的方式进行结算，具体计算方法如下：根据中标人上月实际提供的物业管理服务（包括加班费等）和考核验收情况据实结算，计算公式：当月物业管理服务费支付金额=中标人上月实际提供的物业管理服务（包括加班费等）-上月考核扣减金额。</w:t>
      </w:r>
    </w:p>
    <w:bookmarkEnd w:id="64"/>
    <w:bookmarkEnd w:id="65"/>
    <w:p>
      <w:pPr>
        <w:snapToGrid w:val="0"/>
        <w:spacing w:line="396" w:lineRule="auto"/>
        <w:outlineLvl w:val="1"/>
        <w:rPr>
          <w:rFonts w:ascii="宋体" w:hAnsi="宋体"/>
          <w:b/>
          <w:bCs/>
          <w:sz w:val="32"/>
          <w:szCs w:val="32"/>
        </w:rPr>
      </w:pPr>
      <w:bookmarkStart w:id="66" w:name="_Toc126262563"/>
      <w:r>
        <w:rPr>
          <w:rFonts w:hint="eastAsia" w:ascii="宋体" w:hAnsi="宋体" w:cs="黑体"/>
          <w:b/>
          <w:bCs/>
          <w:sz w:val="32"/>
          <w:szCs w:val="32"/>
        </w:rPr>
        <w:t>四、项目验收要求</w:t>
      </w:r>
      <w:bookmarkEnd w:id="66"/>
    </w:p>
    <w:p>
      <w:pPr>
        <w:snapToGrid w:val="0"/>
        <w:spacing w:line="396" w:lineRule="auto"/>
        <w:ind w:firstLine="420" w:firstLineChars="200"/>
        <w:rPr>
          <w:rFonts w:ascii="宋体" w:hAnsi="宋体" w:cs="仿宋_GB2312"/>
          <w:szCs w:val="21"/>
        </w:rPr>
      </w:pPr>
      <w:bookmarkStart w:id="67" w:name="_Hlk98325914"/>
      <w:r>
        <w:rPr>
          <w:rFonts w:ascii="宋体" w:hAnsi="宋体" w:cs="仿宋_GB2312"/>
          <w:szCs w:val="21"/>
        </w:rPr>
        <w:t>1</w:t>
      </w:r>
      <w:r>
        <w:rPr>
          <w:rFonts w:hint="eastAsia" w:ascii="宋体" w:hAnsi="宋体" w:cs="仿宋_GB2312"/>
          <w:szCs w:val="21"/>
        </w:rPr>
        <w:t>、采购人对中标人的物业管理服务数量和质量情况进行考核及验收，并对造成失误、过错、事故的，当月处罚并追究相关责任，其考核扣减费用下月据实结算。</w:t>
      </w:r>
    </w:p>
    <w:p>
      <w:pPr>
        <w:snapToGrid w:val="0"/>
        <w:spacing w:line="396" w:lineRule="auto"/>
        <w:ind w:firstLine="420" w:firstLineChars="200"/>
        <w:rPr>
          <w:rFonts w:ascii="宋体" w:hAnsi="宋体" w:cs="仿宋_GB2312"/>
          <w:szCs w:val="21"/>
        </w:rPr>
      </w:pPr>
      <w:r>
        <w:rPr>
          <w:rFonts w:hint="eastAsia" w:ascii="宋体" w:hAnsi="宋体" w:cs="仿宋_GB2312"/>
          <w:szCs w:val="21"/>
        </w:rPr>
        <w:t>2、招标文件条款明确的责任及罚则所涉及的投诉类型、失误、过错大小、事故性质、有效性的确定由采购人与中标人在合同签订时协商予以明确,分歧异议部分，以采购人后勤主管部门的意见为准。</w:t>
      </w:r>
    </w:p>
    <w:p>
      <w:pPr>
        <w:snapToGrid w:val="0"/>
        <w:spacing w:line="396" w:lineRule="auto"/>
        <w:ind w:firstLine="420" w:firstLineChars="200"/>
        <w:rPr>
          <w:rFonts w:ascii="宋体" w:hAnsi="宋体" w:cs="仿宋_GB2312"/>
          <w:szCs w:val="21"/>
        </w:rPr>
      </w:pPr>
      <w:r>
        <w:rPr>
          <w:rFonts w:hint="eastAsia" w:ascii="宋体" w:hAnsi="宋体" w:cs="仿宋_GB2312"/>
          <w:szCs w:val="21"/>
        </w:rPr>
        <w:t>3、采购人对中标人管理服务期间每月综合考评一次，累计有两个月得分低于80分，则视为不合格，采购人有权终止合同。</w:t>
      </w:r>
    </w:p>
    <w:p>
      <w:pPr>
        <w:snapToGrid w:val="0"/>
        <w:spacing w:line="396" w:lineRule="auto"/>
        <w:ind w:firstLine="420" w:firstLineChars="200"/>
        <w:rPr>
          <w:rFonts w:ascii="宋体" w:hAnsi="宋体" w:cs="仿宋_GB2312"/>
          <w:szCs w:val="21"/>
        </w:rPr>
      </w:pPr>
      <w:r>
        <w:rPr>
          <w:rFonts w:hint="eastAsia" w:ascii="宋体" w:hAnsi="宋体" w:cs="仿宋_GB2312"/>
          <w:szCs w:val="21"/>
        </w:rPr>
        <w:t>4、中标人如有违反或未达到招标文件内★号项要求，视为0分考评，采购人有权终止合同，重新组织招标。有分歧异议的，以采购人的意见为准。</w:t>
      </w:r>
    </w:p>
    <w:p>
      <w:pPr>
        <w:snapToGrid w:val="0"/>
        <w:spacing w:line="396" w:lineRule="auto"/>
        <w:ind w:firstLine="420" w:firstLineChars="200"/>
        <w:rPr>
          <w:rFonts w:ascii="宋体" w:hAnsi="宋体" w:cs="仿宋_GB2312"/>
          <w:szCs w:val="21"/>
        </w:rPr>
      </w:pPr>
      <w:r>
        <w:rPr>
          <w:rFonts w:hint="eastAsia" w:ascii="宋体" w:hAnsi="宋体" w:cs="仿宋_GB2312"/>
          <w:szCs w:val="21"/>
        </w:rPr>
        <w:t>5、采购人和中标人共同参与中标人服务工作人员考勤管理，中标人服务工作人员出勤率应达规定人数的100%，每日全勤奖励加</w:t>
      </w:r>
      <w:r>
        <w:rPr>
          <w:rFonts w:ascii="宋体" w:hAnsi="宋体" w:cs="仿宋_GB2312"/>
          <w:szCs w:val="21"/>
        </w:rPr>
        <w:t>0.3</w:t>
      </w:r>
      <w:r>
        <w:rPr>
          <w:rFonts w:hint="eastAsia" w:ascii="宋体" w:hAnsi="宋体" w:cs="仿宋_GB2312"/>
          <w:szCs w:val="21"/>
        </w:rPr>
        <w:t>分，每缺勤1次扣0</w:t>
      </w:r>
      <w:r>
        <w:rPr>
          <w:rFonts w:ascii="宋体" w:hAnsi="宋体" w:cs="仿宋_GB2312"/>
          <w:szCs w:val="21"/>
        </w:rPr>
        <w:t>.</w:t>
      </w:r>
      <w:r>
        <w:rPr>
          <w:rFonts w:hint="eastAsia" w:ascii="宋体" w:hAnsi="宋体" w:cs="仿宋_GB2312"/>
          <w:szCs w:val="21"/>
        </w:rPr>
        <w:t>5分。</w:t>
      </w:r>
    </w:p>
    <w:p>
      <w:pPr>
        <w:snapToGrid w:val="0"/>
        <w:spacing w:line="396" w:lineRule="auto"/>
        <w:ind w:firstLine="420" w:firstLineChars="200"/>
        <w:rPr>
          <w:rFonts w:ascii="宋体" w:hAnsi="宋体" w:cs="仿宋_GB2312"/>
          <w:szCs w:val="21"/>
        </w:rPr>
      </w:pPr>
      <w:r>
        <w:rPr>
          <w:rFonts w:hint="eastAsia" w:ascii="宋体" w:hAnsi="宋体" w:cs="仿宋_GB2312"/>
          <w:szCs w:val="21"/>
        </w:rPr>
        <w:t>6、在经营活动中存在违反税收法规财务制度及其他违法违规记录，扣20分。</w:t>
      </w:r>
    </w:p>
    <w:p>
      <w:pPr>
        <w:snapToGrid w:val="0"/>
        <w:spacing w:line="396" w:lineRule="auto"/>
        <w:ind w:firstLine="420" w:firstLineChars="200"/>
        <w:rPr>
          <w:rFonts w:ascii="宋体" w:hAnsi="宋体" w:cs="仿宋_GB2312"/>
          <w:szCs w:val="21"/>
        </w:rPr>
      </w:pPr>
      <w:r>
        <w:rPr>
          <w:rFonts w:hint="eastAsia" w:ascii="宋体" w:hAnsi="宋体" w:cs="仿宋_GB2312"/>
          <w:szCs w:val="21"/>
        </w:rPr>
        <w:t>7、在经营中是否履行合同承诺。很好履行合同承诺得3分；基本履行合同承诺不得分；未履行合同承诺每次扣3分。</w:t>
      </w:r>
    </w:p>
    <w:p>
      <w:pPr>
        <w:snapToGrid w:val="0"/>
        <w:spacing w:line="396" w:lineRule="auto"/>
        <w:ind w:firstLine="420" w:firstLineChars="200"/>
        <w:rPr>
          <w:rFonts w:ascii="宋体" w:hAnsi="宋体" w:cs="仿宋_GB2312"/>
          <w:szCs w:val="21"/>
        </w:rPr>
      </w:pPr>
      <w:r>
        <w:rPr>
          <w:rFonts w:hint="eastAsia" w:ascii="宋体" w:hAnsi="宋体" w:cs="仿宋_GB2312"/>
          <w:szCs w:val="21"/>
        </w:rPr>
        <w:t>8、提倡节约能源，不准浪费水、电及消耗品等公共资源，违反则扣0.5分/次。</w:t>
      </w:r>
    </w:p>
    <w:p>
      <w:pPr>
        <w:snapToGrid w:val="0"/>
        <w:spacing w:line="396" w:lineRule="auto"/>
        <w:ind w:firstLine="420" w:firstLineChars="200"/>
        <w:rPr>
          <w:rFonts w:ascii="宋体" w:hAnsi="宋体" w:cs="仿宋_GB2312"/>
          <w:szCs w:val="21"/>
        </w:rPr>
      </w:pPr>
      <w:r>
        <w:rPr>
          <w:rFonts w:hint="eastAsia" w:ascii="宋体" w:hAnsi="宋体" w:cs="仿宋_GB2312"/>
          <w:szCs w:val="21"/>
        </w:rPr>
        <w:t>9、严格执行和遵守各项管理制度，不准违反工作纪律、违规操作，违反扣1分。</w:t>
      </w:r>
    </w:p>
    <w:p>
      <w:pPr>
        <w:snapToGrid w:val="0"/>
        <w:spacing w:line="396" w:lineRule="auto"/>
        <w:ind w:firstLine="420" w:firstLineChars="200"/>
        <w:rPr>
          <w:rFonts w:ascii="宋体" w:hAnsi="宋体" w:cs="仿宋_GB2312"/>
          <w:szCs w:val="21"/>
        </w:rPr>
      </w:pPr>
      <w:r>
        <w:rPr>
          <w:rFonts w:hint="eastAsia" w:ascii="宋体" w:hAnsi="宋体" w:cs="仿宋_GB2312"/>
          <w:szCs w:val="21"/>
        </w:rPr>
        <w:t>10、一般过错的有效投诉，扣减服务费</w:t>
      </w:r>
      <w:r>
        <w:rPr>
          <w:rFonts w:ascii="宋体" w:hAnsi="宋体" w:cs="仿宋_GB2312"/>
          <w:szCs w:val="21"/>
        </w:rPr>
        <w:t>60元/次</w:t>
      </w:r>
      <w:r>
        <w:rPr>
          <w:rFonts w:hint="eastAsia" w:ascii="宋体" w:hAnsi="宋体" w:cs="仿宋_GB2312"/>
          <w:szCs w:val="21"/>
        </w:rPr>
        <w:t>。</w:t>
      </w:r>
    </w:p>
    <w:p>
      <w:pPr>
        <w:snapToGrid w:val="0"/>
        <w:spacing w:line="396" w:lineRule="auto"/>
        <w:ind w:firstLine="420" w:firstLineChars="200"/>
        <w:rPr>
          <w:rFonts w:ascii="宋体" w:hAnsi="宋体" w:cs="仿宋_GB2312"/>
          <w:szCs w:val="21"/>
        </w:rPr>
      </w:pPr>
      <w:r>
        <w:rPr>
          <w:rFonts w:hint="eastAsia" w:ascii="宋体" w:hAnsi="宋体" w:cs="仿宋_GB2312"/>
          <w:szCs w:val="21"/>
        </w:rPr>
        <w:t>11、一般过错的重（反）复性有效投诉，扣减服务费</w:t>
      </w:r>
      <w:r>
        <w:rPr>
          <w:rFonts w:ascii="宋体" w:hAnsi="宋体" w:cs="仿宋_GB2312"/>
          <w:szCs w:val="21"/>
        </w:rPr>
        <w:t>120元/次</w:t>
      </w:r>
      <w:r>
        <w:rPr>
          <w:rFonts w:hint="eastAsia" w:ascii="宋体" w:hAnsi="宋体" w:cs="仿宋_GB2312"/>
          <w:szCs w:val="21"/>
        </w:rPr>
        <w:t>。</w:t>
      </w:r>
    </w:p>
    <w:p>
      <w:pPr>
        <w:snapToGrid w:val="0"/>
        <w:spacing w:line="396" w:lineRule="auto"/>
        <w:ind w:firstLine="420" w:firstLineChars="200"/>
        <w:rPr>
          <w:rFonts w:ascii="宋体" w:hAnsi="宋体" w:cs="仿宋_GB2312"/>
          <w:szCs w:val="21"/>
        </w:rPr>
      </w:pPr>
      <w:r>
        <w:rPr>
          <w:rFonts w:hint="eastAsia" w:ascii="宋体" w:hAnsi="宋体" w:cs="仿宋_GB2312"/>
          <w:szCs w:val="21"/>
        </w:rPr>
        <w:t>12、较大过错的有效投诉，扣减服务费</w:t>
      </w:r>
      <w:r>
        <w:rPr>
          <w:rFonts w:ascii="宋体" w:hAnsi="宋体" w:cs="仿宋_GB2312"/>
          <w:szCs w:val="21"/>
        </w:rPr>
        <w:t>180元/次</w:t>
      </w:r>
      <w:r>
        <w:rPr>
          <w:rFonts w:hint="eastAsia" w:ascii="宋体" w:hAnsi="宋体" w:cs="仿宋_GB2312"/>
          <w:szCs w:val="21"/>
        </w:rPr>
        <w:t>。</w:t>
      </w:r>
    </w:p>
    <w:p>
      <w:pPr>
        <w:snapToGrid w:val="0"/>
        <w:spacing w:line="396" w:lineRule="auto"/>
        <w:ind w:firstLine="420" w:firstLineChars="200"/>
        <w:rPr>
          <w:rFonts w:ascii="宋体" w:hAnsi="宋体" w:cs="仿宋_GB2312"/>
          <w:szCs w:val="21"/>
        </w:rPr>
      </w:pPr>
      <w:r>
        <w:rPr>
          <w:rFonts w:hint="eastAsia" w:ascii="宋体" w:hAnsi="宋体" w:cs="仿宋_GB2312"/>
          <w:szCs w:val="21"/>
        </w:rPr>
        <w:t>13、较大过错的的重（反）复性有效投诉，扣减服务费</w:t>
      </w:r>
      <w:r>
        <w:rPr>
          <w:rFonts w:ascii="宋体" w:hAnsi="宋体" w:cs="仿宋_GB2312"/>
          <w:szCs w:val="21"/>
        </w:rPr>
        <w:t>480元/次</w:t>
      </w:r>
      <w:r>
        <w:rPr>
          <w:rFonts w:hint="eastAsia" w:ascii="宋体" w:hAnsi="宋体" w:cs="仿宋_GB2312"/>
          <w:szCs w:val="21"/>
        </w:rPr>
        <w:t>。</w:t>
      </w:r>
    </w:p>
    <w:p>
      <w:pPr>
        <w:snapToGrid w:val="0"/>
        <w:spacing w:line="396" w:lineRule="auto"/>
        <w:ind w:firstLine="420" w:firstLineChars="200"/>
        <w:rPr>
          <w:rFonts w:ascii="宋体" w:hAnsi="宋体" w:cs="仿宋_GB2312"/>
          <w:szCs w:val="21"/>
        </w:rPr>
      </w:pPr>
      <w:r>
        <w:rPr>
          <w:rFonts w:hint="eastAsia" w:ascii="宋体" w:hAnsi="宋体" w:cs="仿宋_GB2312"/>
          <w:szCs w:val="21"/>
        </w:rPr>
        <w:t>14、重大过错的有效投诉，扣减服务费</w:t>
      </w:r>
      <w:r>
        <w:rPr>
          <w:rFonts w:ascii="宋体" w:hAnsi="宋体" w:cs="仿宋_GB2312"/>
          <w:szCs w:val="21"/>
        </w:rPr>
        <w:t>720元/次</w:t>
      </w:r>
      <w:r>
        <w:rPr>
          <w:rFonts w:hint="eastAsia" w:ascii="宋体" w:hAnsi="宋体" w:cs="仿宋_GB2312"/>
          <w:szCs w:val="21"/>
        </w:rPr>
        <w:t>。</w:t>
      </w:r>
    </w:p>
    <w:p>
      <w:pPr>
        <w:snapToGrid w:val="0"/>
        <w:spacing w:line="396" w:lineRule="auto"/>
        <w:ind w:firstLine="420" w:firstLineChars="200"/>
        <w:rPr>
          <w:rFonts w:ascii="宋体" w:hAnsi="宋体" w:cs="仿宋_GB2312"/>
          <w:szCs w:val="21"/>
        </w:rPr>
      </w:pPr>
      <w:r>
        <w:rPr>
          <w:rFonts w:hint="eastAsia" w:ascii="宋体" w:hAnsi="宋体" w:cs="仿宋_GB2312"/>
          <w:szCs w:val="21"/>
        </w:rPr>
        <w:t>15、重大过错的重（反）复性有效投诉，扣减服务费减</w:t>
      </w:r>
      <w:r>
        <w:rPr>
          <w:rFonts w:ascii="宋体" w:hAnsi="宋体" w:cs="仿宋_GB2312"/>
          <w:szCs w:val="21"/>
        </w:rPr>
        <w:t>1800元/次</w:t>
      </w:r>
      <w:r>
        <w:rPr>
          <w:rFonts w:hint="eastAsia" w:ascii="宋体" w:hAnsi="宋体" w:cs="仿宋_GB2312"/>
          <w:szCs w:val="21"/>
        </w:rPr>
        <w:t>。</w:t>
      </w:r>
    </w:p>
    <w:p>
      <w:pPr>
        <w:snapToGrid w:val="0"/>
        <w:spacing w:line="396" w:lineRule="auto"/>
        <w:ind w:firstLine="420" w:firstLineChars="200"/>
        <w:rPr>
          <w:rFonts w:ascii="宋体" w:hAnsi="宋体" w:cs="仿宋_GB2312"/>
          <w:szCs w:val="21"/>
        </w:rPr>
      </w:pPr>
      <w:r>
        <w:rPr>
          <w:rFonts w:hint="eastAsia" w:ascii="宋体" w:hAnsi="宋体" w:cs="仿宋_GB2312"/>
          <w:szCs w:val="21"/>
        </w:rPr>
        <w:t>16、一般事故过错的扣减服务费</w:t>
      </w:r>
      <w:r>
        <w:rPr>
          <w:rFonts w:ascii="宋体" w:hAnsi="宋体" w:cs="仿宋_GB2312"/>
          <w:szCs w:val="21"/>
        </w:rPr>
        <w:t>1.5-2.4万元/次</w:t>
      </w:r>
      <w:r>
        <w:rPr>
          <w:rFonts w:hint="eastAsia" w:ascii="宋体" w:hAnsi="宋体" w:cs="仿宋_GB2312"/>
          <w:szCs w:val="21"/>
        </w:rPr>
        <w:t>。</w:t>
      </w:r>
    </w:p>
    <w:p>
      <w:pPr>
        <w:snapToGrid w:val="0"/>
        <w:spacing w:line="396" w:lineRule="auto"/>
        <w:ind w:firstLine="420" w:firstLineChars="200"/>
        <w:rPr>
          <w:rFonts w:ascii="宋体" w:hAnsi="宋体" w:cs="仿宋_GB2312"/>
          <w:szCs w:val="21"/>
        </w:rPr>
      </w:pPr>
      <w:r>
        <w:rPr>
          <w:rFonts w:hint="eastAsia" w:ascii="宋体" w:hAnsi="宋体" w:cs="仿宋_GB2312"/>
          <w:szCs w:val="21"/>
        </w:rPr>
        <w:t>17、较大事故过错的扣减服务费</w:t>
      </w:r>
      <w:r>
        <w:rPr>
          <w:rFonts w:ascii="宋体" w:hAnsi="宋体" w:cs="仿宋_GB2312"/>
          <w:szCs w:val="21"/>
        </w:rPr>
        <w:t>3-6万元/次</w:t>
      </w:r>
      <w:r>
        <w:rPr>
          <w:rFonts w:hint="eastAsia" w:ascii="宋体" w:hAnsi="宋体" w:cs="仿宋_GB2312"/>
          <w:szCs w:val="21"/>
        </w:rPr>
        <w:t>。</w:t>
      </w:r>
    </w:p>
    <w:p>
      <w:pPr>
        <w:snapToGrid w:val="0"/>
        <w:spacing w:line="396" w:lineRule="auto"/>
        <w:ind w:firstLine="420" w:firstLineChars="200"/>
        <w:rPr>
          <w:rFonts w:ascii="宋体" w:hAnsi="宋体" w:cs="仿宋_GB2312"/>
          <w:szCs w:val="21"/>
        </w:rPr>
      </w:pPr>
      <w:r>
        <w:rPr>
          <w:rFonts w:hint="eastAsia" w:ascii="宋体" w:hAnsi="宋体" w:cs="仿宋_GB2312"/>
          <w:szCs w:val="21"/>
        </w:rPr>
        <w:t>18、重大事故过错的扣减服务费</w:t>
      </w:r>
      <w:r>
        <w:rPr>
          <w:rFonts w:ascii="宋体" w:hAnsi="宋体" w:cs="仿宋_GB2312"/>
          <w:szCs w:val="21"/>
        </w:rPr>
        <w:t>6-15万元/次</w:t>
      </w:r>
      <w:r>
        <w:rPr>
          <w:rFonts w:hint="eastAsia" w:ascii="宋体" w:hAnsi="宋体" w:cs="仿宋_GB2312"/>
          <w:szCs w:val="21"/>
        </w:rPr>
        <w:t>。</w:t>
      </w:r>
    </w:p>
    <w:p>
      <w:pPr>
        <w:snapToGrid w:val="0"/>
        <w:spacing w:line="396" w:lineRule="auto"/>
        <w:ind w:firstLine="420" w:firstLineChars="200"/>
        <w:rPr>
          <w:rFonts w:ascii="宋体" w:hAnsi="宋体" w:cs="仿宋_GB2312"/>
          <w:szCs w:val="21"/>
        </w:rPr>
      </w:pPr>
      <w:r>
        <w:rPr>
          <w:rFonts w:hint="eastAsia" w:ascii="宋体" w:hAnsi="宋体" w:cs="仿宋_GB2312"/>
          <w:szCs w:val="21"/>
        </w:rPr>
        <w:t>19、违反以下条款每条每个事项扣0.</w:t>
      </w:r>
      <w:r>
        <w:rPr>
          <w:rFonts w:ascii="宋体" w:hAnsi="宋体" w:cs="仿宋_GB2312"/>
          <w:szCs w:val="21"/>
        </w:rPr>
        <w:t>5</w:t>
      </w:r>
      <w:r>
        <w:rPr>
          <w:rFonts w:hint="eastAsia" w:ascii="宋体" w:hAnsi="宋体" w:cs="仿宋_GB2312"/>
          <w:szCs w:val="21"/>
        </w:rPr>
        <w:t>分</w:t>
      </w:r>
    </w:p>
    <w:p>
      <w:pPr>
        <w:snapToGrid w:val="0"/>
        <w:spacing w:line="396" w:lineRule="auto"/>
        <w:ind w:firstLine="420" w:firstLineChars="200"/>
        <w:rPr>
          <w:rFonts w:ascii="宋体" w:hAnsi="宋体" w:cs="仿宋_GB2312"/>
          <w:szCs w:val="21"/>
        </w:rPr>
      </w:pPr>
      <w:r>
        <w:rPr>
          <w:rFonts w:hint="eastAsia" w:ascii="宋体" w:hAnsi="宋体" w:cs="仿宋_GB2312"/>
          <w:szCs w:val="21"/>
        </w:rPr>
        <w:t>（1）工作或执勤时，中标人的所</w:t>
      </w:r>
      <w:r>
        <w:rPr>
          <w:rFonts w:hint="eastAsia" w:ascii="宋体" w:hAnsi="宋体" w:cs="仿宋_GB2312"/>
          <w:color w:val="FF0000"/>
          <w:szCs w:val="21"/>
          <w:highlight w:val="yellow"/>
        </w:rPr>
        <w:t>有岗位服务人员必须</w:t>
      </w:r>
      <w:r>
        <w:rPr>
          <w:rFonts w:hint="eastAsia" w:ascii="宋体" w:hAnsi="宋体" w:cs="仿宋_GB2312"/>
          <w:szCs w:val="21"/>
        </w:rPr>
        <w:t>身着制服，佩证上岗，制服不准混穿；</w:t>
      </w:r>
    </w:p>
    <w:p>
      <w:pPr>
        <w:snapToGrid w:val="0"/>
        <w:spacing w:line="396" w:lineRule="auto"/>
        <w:ind w:firstLine="420" w:firstLineChars="200"/>
        <w:rPr>
          <w:rFonts w:ascii="宋体" w:hAnsi="宋体" w:cs="仿宋_GB2312"/>
          <w:szCs w:val="21"/>
        </w:rPr>
      </w:pPr>
      <w:r>
        <w:rPr>
          <w:rFonts w:hint="eastAsia" w:ascii="宋体" w:hAnsi="宋体" w:cs="仿宋_GB2312"/>
          <w:szCs w:val="21"/>
        </w:rPr>
        <w:t>（2）中标人的所</w:t>
      </w:r>
      <w:r>
        <w:rPr>
          <w:rFonts w:hint="eastAsia" w:ascii="宋体" w:hAnsi="宋体" w:cs="仿宋_GB2312"/>
          <w:color w:val="FF0000"/>
          <w:szCs w:val="21"/>
          <w:highlight w:val="yellow"/>
        </w:rPr>
        <w:t>有岗位服务人员的制服</w:t>
      </w:r>
      <w:r>
        <w:rPr>
          <w:rFonts w:hint="eastAsia" w:ascii="宋体" w:hAnsi="宋体" w:cs="仿宋_GB2312"/>
          <w:szCs w:val="21"/>
        </w:rPr>
        <w:t>要保持整洁、平整，不得敞胸露怀、卷袖子、挽裤腿；</w:t>
      </w:r>
    </w:p>
    <w:p>
      <w:pPr>
        <w:snapToGrid w:val="0"/>
        <w:spacing w:line="396" w:lineRule="auto"/>
        <w:ind w:firstLine="420" w:firstLineChars="200"/>
        <w:rPr>
          <w:rFonts w:ascii="宋体" w:hAnsi="宋体" w:cs="仿宋_GB2312"/>
          <w:szCs w:val="21"/>
        </w:rPr>
      </w:pPr>
      <w:r>
        <w:rPr>
          <w:rFonts w:hint="eastAsia" w:ascii="宋体" w:hAnsi="宋体" w:cs="仿宋_GB2312"/>
          <w:szCs w:val="21"/>
        </w:rPr>
        <w:t>（3）上班时间须精神振作、精力集中，不得袖手、插手、背手；</w:t>
      </w:r>
    </w:p>
    <w:p>
      <w:pPr>
        <w:snapToGrid w:val="0"/>
        <w:spacing w:line="396" w:lineRule="auto"/>
        <w:ind w:firstLine="420" w:firstLineChars="200"/>
        <w:rPr>
          <w:rFonts w:ascii="宋体" w:hAnsi="宋体" w:cs="仿宋_GB2312"/>
          <w:szCs w:val="21"/>
        </w:rPr>
      </w:pPr>
      <w:r>
        <w:rPr>
          <w:rFonts w:hint="eastAsia" w:ascii="宋体" w:hAnsi="宋体" w:cs="仿宋_GB2312"/>
          <w:szCs w:val="21"/>
        </w:rPr>
        <w:t>（4）值班在岗时站姿、坐姿姿态端正，保持立正姿势，不得东摇西晃、坐卧、倚靠、躺卧、打盹、吸烟、吃东西、电话聊天、看书报、下棋、玩弄手机、听看音频视频，不得聊天，大声说话，喧闹，嘻哈玩笑，随意走动、乱堆乱放；</w:t>
      </w:r>
    </w:p>
    <w:p>
      <w:pPr>
        <w:snapToGrid w:val="0"/>
        <w:spacing w:line="396" w:lineRule="auto"/>
        <w:ind w:firstLine="420" w:firstLineChars="200"/>
        <w:rPr>
          <w:rFonts w:ascii="宋体" w:hAnsi="宋体" w:cs="仿宋_GB2312"/>
          <w:szCs w:val="21"/>
        </w:rPr>
      </w:pPr>
      <w:r>
        <w:rPr>
          <w:rFonts w:hint="eastAsia" w:ascii="宋体" w:hAnsi="宋体" w:cs="仿宋_GB2312"/>
          <w:szCs w:val="21"/>
        </w:rPr>
        <w:t>（5）上班人员提前十五分钟达到各执勤工作岗位，办理接班手续、做好交班记录和物品出入登记，没人顶接不准擅自离开岗位；</w:t>
      </w:r>
    </w:p>
    <w:p>
      <w:pPr>
        <w:snapToGrid w:val="0"/>
        <w:spacing w:line="396" w:lineRule="auto"/>
        <w:ind w:firstLine="420" w:firstLineChars="200"/>
        <w:rPr>
          <w:rFonts w:ascii="宋体" w:hAnsi="宋体" w:cs="仿宋_GB2312"/>
          <w:szCs w:val="21"/>
        </w:rPr>
      </w:pPr>
      <w:r>
        <w:rPr>
          <w:rFonts w:hint="eastAsia" w:ascii="宋体" w:hAnsi="宋体" w:cs="仿宋_GB2312"/>
          <w:szCs w:val="21"/>
        </w:rPr>
        <w:t>（6）值班人员不准在岗就餐，值班时不得会客；</w:t>
      </w:r>
    </w:p>
    <w:p>
      <w:pPr>
        <w:snapToGrid w:val="0"/>
        <w:spacing w:line="396" w:lineRule="auto"/>
        <w:ind w:firstLine="420" w:firstLineChars="200"/>
        <w:rPr>
          <w:rFonts w:ascii="宋体" w:hAnsi="宋体" w:cs="仿宋_GB2312"/>
          <w:szCs w:val="21"/>
        </w:rPr>
      </w:pPr>
      <w:r>
        <w:rPr>
          <w:rFonts w:hint="eastAsia" w:ascii="宋体" w:hAnsi="宋体" w:cs="仿宋_GB2312"/>
          <w:szCs w:val="21"/>
        </w:rPr>
        <w:t>（7）工作有礼有节，热情受理各种问题，对发现的问题要及时解决，解决不了的及时汇报并做好登记管理；</w:t>
      </w:r>
    </w:p>
    <w:p>
      <w:pPr>
        <w:snapToGrid w:val="0"/>
        <w:spacing w:line="396" w:lineRule="auto"/>
        <w:ind w:firstLine="420" w:firstLineChars="200"/>
        <w:rPr>
          <w:rFonts w:ascii="宋体" w:hAnsi="宋体" w:cs="仿宋_GB2312"/>
          <w:szCs w:val="21"/>
        </w:rPr>
      </w:pPr>
      <w:r>
        <w:rPr>
          <w:rFonts w:hint="eastAsia" w:ascii="宋体" w:hAnsi="宋体" w:cs="仿宋_GB2312"/>
          <w:szCs w:val="21"/>
        </w:rPr>
        <w:t>（8）工作场所保持整洁、不准随意粘贴、悬挂与堆放与工作无关的物品；</w:t>
      </w:r>
    </w:p>
    <w:p>
      <w:pPr>
        <w:snapToGrid w:val="0"/>
        <w:spacing w:line="396" w:lineRule="auto"/>
        <w:ind w:firstLine="420" w:firstLineChars="200"/>
        <w:rPr>
          <w:rFonts w:ascii="宋体" w:hAnsi="宋体" w:cs="仿宋_GB2312"/>
          <w:szCs w:val="21"/>
        </w:rPr>
      </w:pPr>
      <w:r>
        <w:rPr>
          <w:rFonts w:hint="eastAsia" w:ascii="宋体" w:hAnsi="宋体" w:cs="仿宋_GB2312"/>
          <w:szCs w:val="21"/>
        </w:rPr>
        <w:t>（9）有效投诉一次。</w:t>
      </w:r>
    </w:p>
    <w:p>
      <w:pPr>
        <w:snapToGrid w:val="0"/>
        <w:spacing w:line="396" w:lineRule="auto"/>
        <w:ind w:firstLine="420" w:firstLineChars="200"/>
        <w:rPr>
          <w:rFonts w:ascii="宋体" w:hAnsi="宋体" w:cs="仿宋_GB2312"/>
          <w:szCs w:val="21"/>
        </w:rPr>
      </w:pPr>
      <w:r>
        <w:rPr>
          <w:rFonts w:hint="eastAsia" w:ascii="宋体" w:hAnsi="宋体" w:cs="仿宋_GB2312"/>
          <w:szCs w:val="21"/>
        </w:rPr>
        <w:t>2</w:t>
      </w:r>
      <w:r>
        <w:rPr>
          <w:rFonts w:ascii="宋体" w:hAnsi="宋体" w:cs="仿宋_GB2312"/>
          <w:szCs w:val="21"/>
        </w:rPr>
        <w:t>0</w:t>
      </w:r>
      <w:r>
        <w:rPr>
          <w:rFonts w:hint="eastAsia" w:ascii="宋体" w:hAnsi="宋体" w:cs="仿宋_GB2312"/>
          <w:szCs w:val="21"/>
        </w:rPr>
        <w:t>、如有气味、噪音、饮水等影响了采购人正常工作秩序，中标人没能及时处理和制止，每次扣减物业管理费</w:t>
      </w:r>
      <w:r>
        <w:rPr>
          <w:rFonts w:ascii="宋体" w:hAnsi="宋体" w:cs="Calibri"/>
          <w:szCs w:val="21"/>
        </w:rPr>
        <w:t>¥</w:t>
      </w:r>
      <w:r>
        <w:rPr>
          <w:rFonts w:hint="eastAsia" w:ascii="宋体" w:hAnsi="宋体" w:cs="仿宋_GB2312"/>
          <w:szCs w:val="21"/>
        </w:rPr>
        <w:t>2000元。</w:t>
      </w:r>
    </w:p>
    <w:p>
      <w:pPr>
        <w:snapToGrid w:val="0"/>
        <w:spacing w:line="396" w:lineRule="auto"/>
        <w:ind w:firstLine="420" w:firstLineChars="200"/>
        <w:rPr>
          <w:rFonts w:ascii="宋体" w:hAnsi="宋体" w:cs="仿宋_GB2312"/>
          <w:szCs w:val="21"/>
        </w:rPr>
      </w:pPr>
      <w:r>
        <w:rPr>
          <w:rFonts w:hint="eastAsia" w:ascii="宋体" w:hAnsi="宋体" w:cs="仿宋_GB2312"/>
          <w:szCs w:val="21"/>
        </w:rPr>
        <w:t>2</w:t>
      </w:r>
      <w:r>
        <w:rPr>
          <w:rFonts w:ascii="宋体" w:hAnsi="宋体" w:cs="仿宋_GB2312"/>
          <w:szCs w:val="21"/>
        </w:rPr>
        <w:t>1</w:t>
      </w:r>
      <w:r>
        <w:rPr>
          <w:rFonts w:hint="eastAsia" w:ascii="宋体" w:hAnsi="宋体" w:cs="仿宋_GB2312"/>
          <w:szCs w:val="21"/>
        </w:rPr>
        <w:t>、按规定准时关闭空调、电脑、照明、抽风及非须使用的电气设备，若造成浪费，每次扣减物业管理费</w:t>
      </w:r>
      <w:r>
        <w:rPr>
          <w:rFonts w:ascii="宋体" w:hAnsi="宋体" w:cs="Calibri"/>
          <w:szCs w:val="21"/>
        </w:rPr>
        <w:t>¥</w:t>
      </w:r>
      <w:r>
        <w:rPr>
          <w:rFonts w:hint="eastAsia" w:ascii="宋体" w:hAnsi="宋体" w:cs="仿宋_GB2312"/>
          <w:szCs w:val="21"/>
        </w:rPr>
        <w:t>100元。</w:t>
      </w:r>
    </w:p>
    <w:p>
      <w:pPr>
        <w:snapToGrid w:val="0"/>
        <w:spacing w:line="396" w:lineRule="auto"/>
        <w:ind w:firstLine="420" w:firstLineChars="200"/>
        <w:rPr>
          <w:rFonts w:ascii="宋体" w:hAnsi="宋体" w:cs="仿宋_GB2312"/>
          <w:szCs w:val="21"/>
        </w:rPr>
      </w:pPr>
      <w:r>
        <w:rPr>
          <w:rFonts w:hint="eastAsia" w:ascii="宋体" w:hAnsi="宋体" w:cs="仿宋_GB2312"/>
          <w:szCs w:val="21"/>
        </w:rPr>
        <w:t>2</w:t>
      </w:r>
      <w:r>
        <w:rPr>
          <w:rFonts w:ascii="宋体" w:hAnsi="宋体" w:cs="仿宋_GB2312"/>
          <w:szCs w:val="21"/>
        </w:rPr>
        <w:t>2</w:t>
      </w:r>
      <w:r>
        <w:rPr>
          <w:rFonts w:hint="eastAsia" w:ascii="宋体" w:hAnsi="宋体" w:cs="仿宋_GB2312"/>
          <w:szCs w:val="21"/>
        </w:rPr>
        <w:t>、招标文件和合同其它约定相关事项。</w:t>
      </w:r>
    </w:p>
    <w:bookmarkEnd w:id="67"/>
    <w:p>
      <w:pPr>
        <w:snapToGrid w:val="0"/>
        <w:spacing w:line="396" w:lineRule="auto"/>
        <w:ind w:firstLine="420" w:firstLineChars="200"/>
        <w:rPr>
          <w:rFonts w:ascii="宋体" w:hAnsi="宋体" w:cs="仿宋_GB2312"/>
          <w:szCs w:val="21"/>
        </w:rPr>
      </w:pPr>
      <w:r>
        <w:rPr>
          <w:rFonts w:ascii="宋体" w:hAnsi="宋体" w:cs="仿宋_GB2312"/>
          <w:szCs w:val="21"/>
        </w:rPr>
        <w:t>其它由于中标人责任发生的过错，物业管理费</w:t>
      </w:r>
      <w:r>
        <w:rPr>
          <w:rFonts w:hint="eastAsia" w:ascii="宋体" w:hAnsi="宋体" w:cs="仿宋_GB2312"/>
          <w:szCs w:val="21"/>
        </w:rPr>
        <w:t>扣减服务费</w:t>
      </w:r>
      <w:r>
        <w:rPr>
          <w:rFonts w:ascii="宋体" w:hAnsi="宋体" w:cs="仿宋_GB2312"/>
          <w:szCs w:val="21"/>
        </w:rPr>
        <w:t>标准详见附</w:t>
      </w:r>
      <w:r>
        <w:rPr>
          <w:rFonts w:hint="eastAsia" w:ascii="宋体" w:hAnsi="宋体" w:cs="仿宋_GB2312"/>
          <w:szCs w:val="21"/>
        </w:rPr>
        <w:t>表</w:t>
      </w:r>
      <w:r>
        <w:rPr>
          <w:rFonts w:ascii="宋体" w:hAnsi="宋体" w:cs="仿宋_GB2312"/>
          <w:szCs w:val="21"/>
        </w:rPr>
        <w:t>。</w:t>
      </w:r>
    </w:p>
    <w:p>
      <w:pPr>
        <w:ind w:firstLine="437"/>
        <w:rPr>
          <w:rFonts w:ascii="宋体" w:hAnsi="宋体" w:cs="宋体"/>
          <w:szCs w:val="21"/>
        </w:rPr>
      </w:pPr>
      <w:r>
        <w:rPr>
          <w:rFonts w:ascii="宋体" w:hAnsi="宋体" w:cs="宋体"/>
          <w:spacing w:val="-4"/>
          <w:szCs w:val="21"/>
        </w:rPr>
        <w:t>附</w:t>
      </w:r>
      <w:r>
        <w:rPr>
          <w:rFonts w:hint="eastAsia" w:ascii="宋体" w:hAnsi="宋体" w:cs="宋体"/>
          <w:spacing w:val="-4"/>
          <w:szCs w:val="21"/>
        </w:rPr>
        <w:t>表</w:t>
      </w:r>
      <w:r>
        <w:rPr>
          <w:rFonts w:ascii="宋体" w:hAnsi="宋体" w:cs="宋体"/>
          <w:spacing w:val="-4"/>
          <w:szCs w:val="21"/>
        </w:rPr>
        <w:t>1：</w:t>
      </w:r>
      <w:r>
        <w:rPr>
          <w:rFonts w:hint="eastAsia" w:ascii="宋体" w:hAnsi="宋体" w:cs="宋体"/>
          <w:spacing w:val="-4"/>
          <w:szCs w:val="21"/>
        </w:rPr>
        <w:t>服务管理综合考评满意度调查表</w:t>
      </w:r>
    </w:p>
    <w:p>
      <w:pPr>
        <w:ind w:firstLine="437"/>
        <w:rPr>
          <w:rFonts w:ascii="宋体" w:hAnsi="宋体" w:cs="宋体"/>
          <w:szCs w:val="21"/>
        </w:rPr>
      </w:pPr>
      <w:r>
        <w:rPr>
          <w:rFonts w:ascii="宋体" w:hAnsi="宋体" w:cs="宋体"/>
          <w:spacing w:val="-3"/>
          <w:szCs w:val="21"/>
        </w:rPr>
        <w:t>附</w:t>
      </w:r>
      <w:r>
        <w:rPr>
          <w:rFonts w:hint="eastAsia" w:ascii="宋体" w:hAnsi="宋体" w:cs="宋体"/>
          <w:spacing w:val="-3"/>
          <w:szCs w:val="21"/>
        </w:rPr>
        <w:t>表</w:t>
      </w:r>
      <w:r>
        <w:rPr>
          <w:rFonts w:ascii="宋体" w:hAnsi="宋体" w:cs="宋体"/>
          <w:spacing w:val="-3"/>
          <w:szCs w:val="21"/>
        </w:rPr>
        <w:t>2：</w:t>
      </w:r>
      <w:r>
        <w:rPr>
          <w:rFonts w:hint="eastAsia" w:ascii="宋体" w:hAnsi="宋体" w:cs="宋体"/>
          <w:spacing w:val="-3"/>
          <w:szCs w:val="21"/>
        </w:rPr>
        <w:t>物业管理服务综合考评、管理服务奖励处罚分数统计表</w:t>
      </w:r>
    </w:p>
    <w:p>
      <w:pPr>
        <w:ind w:firstLine="437"/>
        <w:rPr>
          <w:rFonts w:ascii="宋体" w:hAnsi="宋体" w:cs="宋体"/>
          <w:spacing w:val="-5"/>
          <w:szCs w:val="21"/>
        </w:rPr>
      </w:pPr>
      <w:r>
        <w:rPr>
          <w:rFonts w:ascii="宋体" w:hAnsi="宋体" w:cs="宋体"/>
          <w:spacing w:val="-5"/>
          <w:szCs w:val="21"/>
        </w:rPr>
        <w:t>附</w:t>
      </w:r>
      <w:r>
        <w:rPr>
          <w:rFonts w:hint="eastAsia" w:ascii="宋体" w:hAnsi="宋体" w:cs="宋体"/>
          <w:spacing w:val="-5"/>
          <w:szCs w:val="21"/>
        </w:rPr>
        <w:t>表</w:t>
      </w:r>
      <w:r>
        <w:rPr>
          <w:rFonts w:ascii="宋体" w:hAnsi="宋体" w:cs="宋体"/>
          <w:spacing w:val="-5"/>
          <w:szCs w:val="21"/>
        </w:rPr>
        <w:t>3：</w:t>
      </w:r>
      <w:r>
        <w:rPr>
          <w:rFonts w:hint="eastAsia" w:ascii="宋体" w:hAnsi="宋体" w:cs="宋体"/>
          <w:spacing w:val="-5"/>
          <w:szCs w:val="21"/>
        </w:rPr>
        <w:t>物业管理服务处罚单</w:t>
      </w:r>
    </w:p>
    <w:p>
      <w:pPr>
        <w:spacing w:before="41" w:line="276" w:lineRule="auto"/>
        <w:ind w:firstLine="15"/>
        <w:rPr>
          <w:rFonts w:ascii="宋体" w:hAnsi="宋体" w:cs="宋体"/>
          <w:szCs w:val="21"/>
        </w:rPr>
      </w:pPr>
      <w:r>
        <w:rPr>
          <w:rFonts w:ascii="宋体" w:hAnsi="宋体" w:cs="宋体"/>
          <w:spacing w:val="-10"/>
          <w:szCs w:val="21"/>
        </w:rPr>
        <w:t>附表1：   年   月服务管理综合考评满意度调查表</w:t>
      </w:r>
    </w:p>
    <w:p>
      <w:pPr>
        <w:spacing w:before="196" w:line="276" w:lineRule="auto"/>
        <w:ind w:firstLine="2706"/>
        <w:rPr>
          <w:rFonts w:ascii="宋体" w:hAnsi="宋体" w:cs="宋体"/>
          <w:szCs w:val="21"/>
        </w:rPr>
      </w:pPr>
      <w:r>
        <w:rPr>
          <w:rFonts w:ascii="宋体" w:hAnsi="宋体" w:cs="宋体"/>
          <w:spacing w:val="-1"/>
          <w:szCs w:val="21"/>
        </w:rPr>
        <w:t>考评单位考核评</w:t>
      </w:r>
      <w:r>
        <w:rPr>
          <w:rFonts w:hint="eastAsia" w:ascii="宋体" w:hAnsi="宋体" w:cs="宋体"/>
          <w:spacing w:val="-1"/>
          <w:szCs w:val="21"/>
        </w:rPr>
        <w:t>分</w:t>
      </w:r>
      <w:r>
        <w:rPr>
          <w:rFonts w:ascii="宋体" w:hAnsi="宋体" w:cs="宋体"/>
          <w:spacing w:val="-1"/>
          <w:szCs w:val="21"/>
        </w:rPr>
        <w:t>（请打“√”）</w:t>
      </w:r>
    </w:p>
    <w:p>
      <w:pPr>
        <w:spacing w:line="276" w:lineRule="auto"/>
        <w:rPr>
          <w:rFonts w:ascii="宋体" w:hAnsi="宋体"/>
          <w:szCs w:val="21"/>
        </w:rPr>
      </w:pPr>
    </w:p>
    <w:tbl>
      <w:tblPr>
        <w:tblStyle w:val="21"/>
        <w:tblW w:w="501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4"/>
        <w:gridCol w:w="2202"/>
        <w:gridCol w:w="1380"/>
        <w:gridCol w:w="1324"/>
        <w:gridCol w:w="1454"/>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392" w:type="pct"/>
          </w:tcPr>
          <w:p>
            <w:pPr>
              <w:spacing w:before="32" w:line="276" w:lineRule="auto"/>
              <w:jc w:val="center"/>
              <w:rPr>
                <w:rFonts w:ascii="宋体" w:hAnsi="宋体" w:cs="宋体"/>
                <w:spacing w:val="-2"/>
                <w:szCs w:val="21"/>
              </w:rPr>
            </w:pPr>
            <w:r>
              <w:rPr>
                <w:rFonts w:hint="eastAsia" w:ascii="宋体" w:hAnsi="宋体" w:cs="宋体"/>
                <w:spacing w:val="-2"/>
                <w:szCs w:val="21"/>
              </w:rPr>
              <w:t>序号</w:t>
            </w:r>
          </w:p>
        </w:tc>
        <w:tc>
          <w:tcPr>
            <w:tcW w:w="1321" w:type="pct"/>
          </w:tcPr>
          <w:p>
            <w:pPr>
              <w:spacing w:before="36" w:line="276" w:lineRule="auto"/>
              <w:jc w:val="center"/>
              <w:rPr>
                <w:rFonts w:ascii="宋体" w:hAnsi="宋体" w:cs="宋体"/>
                <w:szCs w:val="21"/>
              </w:rPr>
            </w:pPr>
            <w:r>
              <w:rPr>
                <w:rFonts w:ascii="宋体" w:hAnsi="宋体" w:cs="宋体"/>
                <w:spacing w:val="-3"/>
                <w:szCs w:val="21"/>
              </w:rPr>
              <w:t>项目</w:t>
            </w:r>
          </w:p>
        </w:tc>
        <w:tc>
          <w:tcPr>
            <w:tcW w:w="828" w:type="pct"/>
          </w:tcPr>
          <w:p>
            <w:pPr>
              <w:spacing w:before="36" w:line="276" w:lineRule="auto"/>
              <w:jc w:val="center"/>
              <w:rPr>
                <w:rFonts w:ascii="宋体" w:hAnsi="宋体" w:cs="宋体"/>
                <w:szCs w:val="21"/>
              </w:rPr>
            </w:pPr>
            <w:r>
              <w:rPr>
                <w:rFonts w:ascii="宋体" w:hAnsi="宋体" w:cs="宋体"/>
                <w:spacing w:val="-5"/>
                <w:szCs w:val="21"/>
              </w:rPr>
              <w:t>很满意5分</w:t>
            </w:r>
          </w:p>
        </w:tc>
        <w:tc>
          <w:tcPr>
            <w:tcW w:w="794" w:type="pct"/>
          </w:tcPr>
          <w:p>
            <w:pPr>
              <w:spacing w:before="36" w:line="276" w:lineRule="auto"/>
              <w:jc w:val="center"/>
              <w:rPr>
                <w:rFonts w:ascii="宋体" w:hAnsi="宋体" w:cs="宋体"/>
                <w:szCs w:val="21"/>
              </w:rPr>
            </w:pPr>
            <w:r>
              <w:rPr>
                <w:rFonts w:ascii="宋体" w:hAnsi="宋体" w:cs="宋体"/>
                <w:spacing w:val="-4"/>
                <w:szCs w:val="21"/>
              </w:rPr>
              <w:t>满意4分</w:t>
            </w:r>
          </w:p>
        </w:tc>
        <w:tc>
          <w:tcPr>
            <w:tcW w:w="872" w:type="pct"/>
          </w:tcPr>
          <w:p>
            <w:pPr>
              <w:spacing w:before="36" w:line="276" w:lineRule="auto"/>
              <w:jc w:val="center"/>
              <w:rPr>
                <w:rFonts w:ascii="宋体" w:hAnsi="宋体" w:cs="宋体"/>
                <w:szCs w:val="21"/>
              </w:rPr>
            </w:pPr>
            <w:r>
              <w:rPr>
                <w:rFonts w:ascii="宋体" w:hAnsi="宋体" w:cs="宋体"/>
                <w:spacing w:val="-3"/>
                <w:szCs w:val="21"/>
              </w:rPr>
              <w:t>基本满意3分</w:t>
            </w:r>
          </w:p>
        </w:tc>
        <w:tc>
          <w:tcPr>
            <w:tcW w:w="791" w:type="pct"/>
          </w:tcPr>
          <w:p>
            <w:pPr>
              <w:spacing w:before="36" w:line="276" w:lineRule="auto"/>
              <w:jc w:val="center"/>
              <w:rPr>
                <w:rFonts w:ascii="宋体" w:hAnsi="宋体" w:cs="宋体"/>
                <w:szCs w:val="21"/>
              </w:rPr>
            </w:pPr>
            <w:r>
              <w:rPr>
                <w:rFonts w:ascii="宋体" w:hAnsi="宋体" w:cs="宋体"/>
                <w:spacing w:val="-4"/>
                <w:szCs w:val="21"/>
              </w:rPr>
              <w:t>不满意0分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392" w:type="pct"/>
          </w:tcPr>
          <w:p>
            <w:pPr>
              <w:spacing w:before="32" w:line="276" w:lineRule="auto"/>
              <w:jc w:val="center"/>
              <w:rPr>
                <w:rFonts w:ascii="宋体" w:hAnsi="宋体" w:cs="宋体"/>
                <w:spacing w:val="-2"/>
                <w:szCs w:val="21"/>
              </w:rPr>
            </w:pPr>
            <w:r>
              <w:rPr>
                <w:rFonts w:hint="eastAsia" w:ascii="宋体" w:hAnsi="宋体" w:cs="宋体"/>
                <w:spacing w:val="-2"/>
                <w:szCs w:val="21"/>
              </w:rPr>
              <w:t>1</w:t>
            </w:r>
          </w:p>
        </w:tc>
        <w:tc>
          <w:tcPr>
            <w:tcW w:w="1321" w:type="pct"/>
          </w:tcPr>
          <w:p>
            <w:pPr>
              <w:spacing w:before="32" w:line="276" w:lineRule="auto"/>
              <w:jc w:val="center"/>
              <w:rPr>
                <w:rFonts w:ascii="宋体" w:hAnsi="宋体" w:cs="宋体"/>
                <w:szCs w:val="21"/>
              </w:rPr>
            </w:pPr>
            <w:r>
              <w:rPr>
                <w:rFonts w:ascii="宋体" w:hAnsi="宋体" w:cs="宋体"/>
                <w:spacing w:val="-2"/>
                <w:szCs w:val="21"/>
              </w:rPr>
              <w:t>制度流程</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2</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服务标准</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3</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机构设置</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4</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装备配备</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5</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人员配置</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6</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培训演练</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7</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专业水平</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8</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仪容仪表</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9</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服务态度</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10</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执行力度</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11</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安全意识</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12</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卫生意识</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13</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服务意识</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14</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工作责任</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15</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时间观念</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16</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协调能力</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17</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服务效率</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18</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服务质量</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19</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节能减排</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5" w:hRule="atLeast"/>
        </w:trPr>
        <w:tc>
          <w:tcPr>
            <w:tcW w:w="392" w:type="pct"/>
          </w:tcPr>
          <w:p>
            <w:pPr>
              <w:spacing w:before="32" w:line="276" w:lineRule="auto"/>
              <w:jc w:val="center"/>
              <w:rPr>
                <w:rFonts w:ascii="宋体" w:hAnsi="宋体" w:cs="宋体"/>
                <w:spacing w:val="-2"/>
                <w:szCs w:val="21"/>
              </w:rPr>
            </w:pPr>
            <w:r>
              <w:rPr>
                <w:rFonts w:ascii="宋体" w:hAnsi="宋体" w:cs="宋体"/>
                <w:spacing w:val="-2"/>
                <w:szCs w:val="21"/>
              </w:rPr>
              <w:t>20</w:t>
            </w:r>
          </w:p>
        </w:tc>
        <w:tc>
          <w:tcPr>
            <w:tcW w:w="1321" w:type="pct"/>
          </w:tcPr>
          <w:p>
            <w:pPr>
              <w:spacing w:before="32" w:line="276" w:lineRule="auto"/>
              <w:jc w:val="center"/>
              <w:rPr>
                <w:rFonts w:ascii="宋体" w:hAnsi="宋体" w:cs="宋体"/>
                <w:spacing w:val="-2"/>
                <w:szCs w:val="21"/>
              </w:rPr>
            </w:pPr>
            <w:r>
              <w:rPr>
                <w:rFonts w:ascii="宋体" w:hAnsi="宋体" w:cs="宋体"/>
                <w:spacing w:val="-2"/>
                <w:szCs w:val="21"/>
              </w:rPr>
              <w:t>其他方面</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713" w:type="pct"/>
            <w:gridSpan w:val="2"/>
            <w:vAlign w:val="center"/>
          </w:tcPr>
          <w:p>
            <w:pPr>
              <w:spacing w:before="34" w:line="276" w:lineRule="auto"/>
              <w:ind w:left="14" w:right="3" w:firstLine="1"/>
              <w:jc w:val="center"/>
              <w:rPr>
                <w:rFonts w:ascii="宋体" w:hAnsi="宋体" w:cs="宋体"/>
                <w:szCs w:val="21"/>
              </w:rPr>
            </w:pPr>
            <w:r>
              <w:rPr>
                <w:rFonts w:ascii="宋体" w:hAnsi="宋体" w:cs="宋体"/>
                <w:spacing w:val="2"/>
                <w:szCs w:val="21"/>
              </w:rPr>
              <w:t>整体服务综合考核</w:t>
            </w:r>
            <w:r>
              <w:rPr>
                <w:rFonts w:ascii="宋体" w:hAnsi="宋体" w:cs="宋体"/>
                <w:spacing w:val="-1"/>
                <w:szCs w:val="21"/>
              </w:rPr>
              <w:t>评分（合计）</w:t>
            </w:r>
          </w:p>
        </w:tc>
        <w:tc>
          <w:tcPr>
            <w:tcW w:w="828" w:type="pct"/>
          </w:tcPr>
          <w:p>
            <w:pPr>
              <w:spacing w:line="276" w:lineRule="auto"/>
              <w:rPr>
                <w:rFonts w:ascii="宋体" w:hAnsi="宋体"/>
                <w:szCs w:val="21"/>
              </w:rPr>
            </w:pPr>
          </w:p>
        </w:tc>
        <w:tc>
          <w:tcPr>
            <w:tcW w:w="794" w:type="pct"/>
          </w:tcPr>
          <w:p>
            <w:pPr>
              <w:spacing w:line="276" w:lineRule="auto"/>
              <w:rPr>
                <w:rFonts w:ascii="宋体" w:hAnsi="宋体"/>
                <w:szCs w:val="21"/>
              </w:rPr>
            </w:pPr>
          </w:p>
        </w:tc>
        <w:tc>
          <w:tcPr>
            <w:tcW w:w="872" w:type="pct"/>
          </w:tcPr>
          <w:p>
            <w:pPr>
              <w:spacing w:line="276" w:lineRule="auto"/>
              <w:rPr>
                <w:rFonts w:ascii="宋体" w:hAnsi="宋体"/>
                <w:szCs w:val="21"/>
              </w:rPr>
            </w:pPr>
          </w:p>
        </w:tc>
        <w:tc>
          <w:tcPr>
            <w:tcW w:w="791" w:type="pct"/>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713" w:type="pct"/>
            <w:gridSpan w:val="2"/>
            <w:vAlign w:val="center"/>
          </w:tcPr>
          <w:p>
            <w:pPr>
              <w:spacing w:before="34" w:line="276" w:lineRule="auto"/>
              <w:jc w:val="center"/>
              <w:rPr>
                <w:rFonts w:ascii="宋体" w:hAnsi="宋体" w:cs="宋体"/>
                <w:szCs w:val="21"/>
              </w:rPr>
            </w:pPr>
            <w:r>
              <w:rPr>
                <w:rFonts w:ascii="宋体" w:hAnsi="宋体" w:cs="宋体"/>
                <w:spacing w:val="-3"/>
                <w:szCs w:val="21"/>
              </w:rPr>
              <w:t>说明</w:t>
            </w:r>
          </w:p>
        </w:tc>
        <w:tc>
          <w:tcPr>
            <w:tcW w:w="3286" w:type="pct"/>
            <w:gridSpan w:val="4"/>
          </w:tcPr>
          <w:p>
            <w:pPr>
              <w:spacing w:before="35" w:line="276" w:lineRule="auto"/>
              <w:ind w:left="8"/>
              <w:rPr>
                <w:rFonts w:ascii="宋体" w:hAnsi="宋体" w:cs="宋体"/>
                <w:szCs w:val="21"/>
              </w:rPr>
            </w:pPr>
            <w:r>
              <w:rPr>
                <w:rFonts w:ascii="宋体" w:hAnsi="宋体" w:cs="宋体"/>
                <w:spacing w:val="-5"/>
                <w:szCs w:val="21"/>
              </w:rPr>
              <w:t>考核满分为100分，每获得1个分项：很满意得5分；满意得4分；基本满意得3分；不满意得0分。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1713" w:type="pct"/>
            <w:gridSpan w:val="2"/>
            <w:vAlign w:val="center"/>
          </w:tcPr>
          <w:p>
            <w:pPr>
              <w:spacing w:before="34" w:line="276" w:lineRule="auto"/>
              <w:jc w:val="center"/>
              <w:rPr>
                <w:rFonts w:ascii="宋体" w:hAnsi="宋体" w:cs="宋体"/>
                <w:szCs w:val="21"/>
              </w:rPr>
            </w:pPr>
            <w:r>
              <w:rPr>
                <w:rFonts w:ascii="宋体" w:hAnsi="宋体" w:cs="宋体"/>
                <w:spacing w:val="-2"/>
                <w:szCs w:val="21"/>
              </w:rPr>
              <w:t>建议意见</w:t>
            </w:r>
          </w:p>
        </w:tc>
        <w:tc>
          <w:tcPr>
            <w:tcW w:w="3286" w:type="pct"/>
            <w:gridSpan w:val="4"/>
          </w:tcPr>
          <w:p>
            <w:pPr>
              <w:spacing w:line="276" w:lineRule="auto"/>
              <w:rPr>
                <w:rFonts w:ascii="宋体" w:hAnsi="宋体"/>
                <w:szCs w:val="21"/>
              </w:rPr>
            </w:pPr>
          </w:p>
        </w:tc>
      </w:tr>
    </w:tbl>
    <w:p>
      <w:pPr>
        <w:snapToGrid w:val="0"/>
        <w:spacing w:line="396" w:lineRule="auto"/>
        <w:ind w:firstLine="416" w:firstLineChars="200"/>
        <w:rPr>
          <w:rFonts w:ascii="宋体" w:hAnsi="宋体" w:cs="宋体"/>
          <w:spacing w:val="-1"/>
          <w:szCs w:val="21"/>
        </w:rPr>
      </w:pPr>
      <w:r>
        <w:rPr>
          <w:rFonts w:ascii="宋体" w:hAnsi="宋体" w:cs="宋体"/>
          <w:spacing w:val="-1"/>
          <w:szCs w:val="21"/>
        </w:rPr>
        <w:t>此表供参考，采购人可根据实际设置考评项目。</w:t>
      </w:r>
    </w:p>
    <w:p>
      <w:pPr>
        <w:jc w:val="left"/>
        <w:rPr>
          <w:rFonts w:ascii="宋体" w:hAnsi="宋体" w:cs="宋体"/>
          <w:spacing w:val="-1"/>
          <w:szCs w:val="21"/>
        </w:rPr>
      </w:pPr>
      <w:r>
        <w:rPr>
          <w:rFonts w:ascii="宋体" w:hAnsi="宋体" w:cs="宋体"/>
          <w:spacing w:val="-1"/>
          <w:szCs w:val="21"/>
        </w:rPr>
        <w:br w:type="page"/>
      </w:r>
    </w:p>
    <w:p>
      <w:pPr>
        <w:spacing w:line="276" w:lineRule="auto"/>
        <w:rPr>
          <w:rFonts w:ascii="宋体" w:hAnsi="宋体" w:cs="宋体"/>
          <w:szCs w:val="21"/>
        </w:rPr>
      </w:pPr>
      <w:r>
        <w:rPr>
          <w:rFonts w:ascii="宋体" w:hAnsi="宋体" w:cs="宋体"/>
          <w:spacing w:val="-10"/>
          <w:szCs w:val="21"/>
        </w:rPr>
        <w:t>附表2：</w:t>
      </w:r>
    </w:p>
    <w:p>
      <w:pPr>
        <w:spacing w:before="196" w:line="276" w:lineRule="auto"/>
        <w:jc w:val="center"/>
        <w:rPr>
          <w:rFonts w:ascii="宋体" w:hAnsi="宋体" w:cs="宋体"/>
          <w:szCs w:val="21"/>
        </w:rPr>
      </w:pPr>
      <w:r>
        <w:rPr>
          <w:rFonts w:ascii="宋体" w:hAnsi="宋体" w:cs="宋体"/>
          <w:spacing w:val="-1"/>
          <w:szCs w:val="21"/>
        </w:rPr>
        <w:t>物业管理服务综合考评、管理服务奖励处罚分数统计表</w:t>
      </w:r>
    </w:p>
    <w:tbl>
      <w:tblPr>
        <w:tblStyle w:val="21"/>
        <w:tblpPr w:leftFromText="180" w:rightFromText="180" w:vertAnchor="text" w:horzAnchor="page" w:tblpX="1768" w:tblpY="346"/>
        <w:tblOverlap w:val="never"/>
        <w:tblW w:w="501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32"/>
        <w:gridCol w:w="3638"/>
        <w:gridCol w:w="832"/>
        <w:gridCol w:w="830"/>
        <w:gridCol w:w="832"/>
        <w:gridCol w:w="932"/>
        <w:gridCol w:w="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19" w:type="pct"/>
            <w:shd w:val="clear" w:color="auto" w:fill="FFFFFF"/>
            <w:vAlign w:val="center"/>
          </w:tcPr>
          <w:p>
            <w:pPr>
              <w:spacing w:before="29" w:line="276" w:lineRule="auto"/>
              <w:ind w:firstLine="21"/>
              <w:jc w:val="center"/>
              <w:rPr>
                <w:rFonts w:ascii="宋体" w:hAnsi="宋体" w:cs="宋体"/>
                <w:spacing w:val="-2"/>
                <w:szCs w:val="21"/>
              </w:rPr>
            </w:pPr>
            <w:r>
              <w:rPr>
                <w:rFonts w:hint="eastAsia" w:ascii="宋体" w:hAnsi="宋体" w:cs="宋体"/>
                <w:spacing w:val="-2"/>
                <w:szCs w:val="21"/>
              </w:rPr>
              <w:t>序号</w:t>
            </w:r>
          </w:p>
        </w:tc>
        <w:tc>
          <w:tcPr>
            <w:tcW w:w="2181" w:type="pct"/>
            <w:shd w:val="clear" w:color="auto" w:fill="FFFFFF"/>
            <w:vAlign w:val="center"/>
          </w:tcPr>
          <w:p>
            <w:pPr>
              <w:spacing w:before="29" w:line="276" w:lineRule="auto"/>
              <w:ind w:firstLine="21"/>
              <w:jc w:val="center"/>
              <w:rPr>
                <w:rFonts w:ascii="宋体" w:hAnsi="宋体" w:cs="宋体"/>
                <w:spacing w:val="-2"/>
                <w:szCs w:val="21"/>
              </w:rPr>
            </w:pPr>
            <w:r>
              <w:rPr>
                <w:rFonts w:hint="eastAsia" w:ascii="宋体" w:hAnsi="宋体" w:cs="宋体"/>
                <w:spacing w:val="-2"/>
                <w:szCs w:val="21"/>
              </w:rPr>
              <w:t>项目</w:t>
            </w:r>
          </w:p>
        </w:tc>
        <w:tc>
          <w:tcPr>
            <w:tcW w:w="499" w:type="pct"/>
            <w:shd w:val="clear" w:color="auto" w:fill="FFFFFF"/>
            <w:vAlign w:val="center"/>
          </w:tcPr>
          <w:p>
            <w:pPr>
              <w:spacing w:line="276" w:lineRule="auto"/>
              <w:jc w:val="center"/>
              <w:rPr>
                <w:rFonts w:ascii="宋体" w:hAnsi="宋体"/>
                <w:szCs w:val="21"/>
              </w:rPr>
            </w:pPr>
            <w:r>
              <w:rPr>
                <w:rFonts w:hint="eastAsia" w:ascii="宋体" w:hAnsi="宋体"/>
                <w:szCs w:val="21"/>
              </w:rPr>
              <w:t>加分</w:t>
            </w:r>
          </w:p>
        </w:tc>
        <w:tc>
          <w:tcPr>
            <w:tcW w:w="498" w:type="pct"/>
            <w:shd w:val="clear" w:color="auto" w:fill="FFFFFF"/>
            <w:vAlign w:val="center"/>
          </w:tcPr>
          <w:p>
            <w:pPr>
              <w:spacing w:line="276" w:lineRule="auto"/>
              <w:jc w:val="center"/>
              <w:rPr>
                <w:rFonts w:ascii="宋体" w:hAnsi="宋体"/>
                <w:szCs w:val="21"/>
              </w:rPr>
            </w:pPr>
            <w:r>
              <w:rPr>
                <w:rFonts w:hint="eastAsia" w:ascii="宋体" w:hAnsi="宋体"/>
                <w:szCs w:val="21"/>
              </w:rPr>
              <w:t>扣分</w:t>
            </w:r>
          </w:p>
        </w:tc>
        <w:tc>
          <w:tcPr>
            <w:tcW w:w="499" w:type="pct"/>
            <w:shd w:val="clear" w:color="auto" w:fill="FFFFFF"/>
            <w:vAlign w:val="center"/>
          </w:tcPr>
          <w:p>
            <w:pPr>
              <w:spacing w:line="276" w:lineRule="auto"/>
              <w:jc w:val="center"/>
              <w:rPr>
                <w:rFonts w:ascii="宋体" w:hAnsi="宋体"/>
                <w:szCs w:val="21"/>
              </w:rPr>
            </w:pPr>
            <w:r>
              <w:rPr>
                <w:rFonts w:hint="eastAsia" w:ascii="宋体" w:hAnsi="宋体"/>
                <w:szCs w:val="21"/>
              </w:rPr>
              <w:t>合计</w:t>
            </w:r>
          </w:p>
        </w:tc>
        <w:tc>
          <w:tcPr>
            <w:tcW w:w="557" w:type="pct"/>
            <w:shd w:val="clear" w:color="auto" w:fill="FFFFFF"/>
            <w:vAlign w:val="center"/>
          </w:tcPr>
          <w:p>
            <w:pPr>
              <w:spacing w:line="276" w:lineRule="auto"/>
              <w:jc w:val="center"/>
              <w:rPr>
                <w:rFonts w:ascii="宋体" w:hAnsi="宋体"/>
                <w:szCs w:val="21"/>
              </w:rPr>
            </w:pPr>
            <w:r>
              <w:rPr>
                <w:rFonts w:hint="eastAsia" w:ascii="宋体" w:hAnsi="宋体"/>
                <w:szCs w:val="21"/>
              </w:rPr>
              <w:t>奖惩金额</w:t>
            </w:r>
          </w:p>
        </w:tc>
        <w:tc>
          <w:tcPr>
            <w:tcW w:w="444" w:type="pct"/>
            <w:shd w:val="clear" w:color="auto" w:fill="FFFFFF"/>
            <w:vAlign w:val="center"/>
          </w:tcPr>
          <w:p>
            <w:pPr>
              <w:spacing w:line="276" w:lineRule="auto"/>
              <w:jc w:val="center"/>
              <w:rPr>
                <w:rFonts w:ascii="宋体" w:hAnsi="宋体"/>
                <w:szCs w:val="21"/>
              </w:rPr>
            </w:pPr>
            <w:r>
              <w:rPr>
                <w:rFonts w:hint="eastAsia" w:ascii="宋体" w:hAnsi="宋体"/>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9" w:type="pct"/>
            <w:shd w:val="clear" w:color="auto" w:fill="FFFFFF"/>
            <w:vAlign w:val="center"/>
          </w:tcPr>
          <w:p>
            <w:pPr>
              <w:spacing w:before="29" w:line="276" w:lineRule="auto"/>
              <w:ind w:firstLine="21"/>
              <w:jc w:val="center"/>
              <w:rPr>
                <w:rFonts w:ascii="宋体" w:hAnsi="宋体" w:cs="宋体"/>
                <w:spacing w:val="-2"/>
                <w:szCs w:val="21"/>
              </w:rPr>
            </w:pPr>
            <w:r>
              <w:rPr>
                <w:rFonts w:hint="eastAsia" w:ascii="宋体" w:hAnsi="宋体" w:cs="宋体"/>
                <w:spacing w:val="-2"/>
                <w:szCs w:val="21"/>
              </w:rPr>
              <w:t>1</w:t>
            </w:r>
          </w:p>
        </w:tc>
        <w:tc>
          <w:tcPr>
            <w:tcW w:w="2181" w:type="pct"/>
            <w:shd w:val="clear" w:color="auto" w:fill="FFFFFF"/>
            <w:vAlign w:val="center"/>
          </w:tcPr>
          <w:p>
            <w:pPr>
              <w:spacing w:before="29" w:line="276" w:lineRule="auto"/>
              <w:ind w:firstLine="21"/>
              <w:rPr>
                <w:rFonts w:ascii="宋体" w:hAnsi="宋体" w:cs="宋体"/>
                <w:szCs w:val="21"/>
              </w:rPr>
            </w:pPr>
            <w:r>
              <w:rPr>
                <w:rFonts w:ascii="宋体" w:hAnsi="宋体" w:cs="宋体"/>
                <w:spacing w:val="-2"/>
                <w:szCs w:val="21"/>
              </w:rPr>
              <w:t>管理服务综合考评</w:t>
            </w:r>
          </w:p>
        </w:tc>
        <w:tc>
          <w:tcPr>
            <w:tcW w:w="499"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499" w:type="pct"/>
            <w:shd w:val="clear" w:color="auto" w:fill="FFFFFF"/>
            <w:vAlign w:val="center"/>
          </w:tcPr>
          <w:p>
            <w:pPr>
              <w:spacing w:line="276" w:lineRule="auto"/>
              <w:rPr>
                <w:rFonts w:ascii="宋体" w:hAnsi="宋体"/>
                <w:szCs w:val="21"/>
              </w:rPr>
            </w:pPr>
          </w:p>
        </w:tc>
        <w:tc>
          <w:tcPr>
            <w:tcW w:w="557" w:type="pct"/>
            <w:shd w:val="clear" w:color="auto" w:fill="FFFFFF"/>
            <w:vAlign w:val="center"/>
          </w:tcPr>
          <w:p>
            <w:pPr>
              <w:spacing w:line="276" w:lineRule="auto"/>
              <w:rPr>
                <w:rFonts w:ascii="宋体" w:hAnsi="宋体"/>
                <w:szCs w:val="21"/>
              </w:rPr>
            </w:pPr>
          </w:p>
        </w:tc>
        <w:tc>
          <w:tcPr>
            <w:tcW w:w="444" w:type="pct"/>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19" w:type="pct"/>
            <w:shd w:val="clear" w:color="auto" w:fill="FFFFFF"/>
            <w:vAlign w:val="center"/>
          </w:tcPr>
          <w:p>
            <w:pPr>
              <w:spacing w:before="29" w:line="276" w:lineRule="auto"/>
              <w:ind w:firstLine="17"/>
              <w:jc w:val="center"/>
              <w:rPr>
                <w:rFonts w:ascii="宋体" w:hAnsi="宋体" w:cs="宋体"/>
                <w:spacing w:val="-1"/>
                <w:szCs w:val="21"/>
              </w:rPr>
            </w:pPr>
            <w:r>
              <w:rPr>
                <w:rFonts w:hint="eastAsia" w:ascii="宋体" w:hAnsi="宋体" w:cs="宋体"/>
                <w:spacing w:val="-1"/>
                <w:szCs w:val="21"/>
              </w:rPr>
              <w:t>2</w:t>
            </w:r>
          </w:p>
        </w:tc>
        <w:tc>
          <w:tcPr>
            <w:tcW w:w="2181" w:type="pct"/>
            <w:shd w:val="clear" w:color="auto" w:fill="FFFFFF"/>
            <w:vAlign w:val="center"/>
          </w:tcPr>
          <w:p>
            <w:pPr>
              <w:spacing w:before="29" w:line="276" w:lineRule="auto"/>
              <w:ind w:firstLine="17"/>
              <w:rPr>
                <w:rFonts w:ascii="宋体" w:hAnsi="宋体" w:cs="宋体"/>
                <w:szCs w:val="21"/>
              </w:rPr>
            </w:pPr>
            <w:r>
              <w:rPr>
                <w:rFonts w:ascii="宋体" w:hAnsi="宋体" w:cs="宋体"/>
                <w:spacing w:val="-1"/>
                <w:szCs w:val="21"/>
              </w:rPr>
              <w:t>物业服务管理奖罚</w:t>
            </w:r>
          </w:p>
        </w:tc>
        <w:tc>
          <w:tcPr>
            <w:tcW w:w="499"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499" w:type="pct"/>
            <w:shd w:val="clear" w:color="auto" w:fill="FFFFFF"/>
            <w:vAlign w:val="center"/>
          </w:tcPr>
          <w:p>
            <w:pPr>
              <w:spacing w:line="276" w:lineRule="auto"/>
              <w:rPr>
                <w:rFonts w:ascii="宋体" w:hAnsi="宋体"/>
                <w:szCs w:val="21"/>
              </w:rPr>
            </w:pPr>
          </w:p>
        </w:tc>
        <w:tc>
          <w:tcPr>
            <w:tcW w:w="557" w:type="pct"/>
            <w:shd w:val="clear" w:color="auto" w:fill="FFFFFF"/>
            <w:vAlign w:val="center"/>
          </w:tcPr>
          <w:p>
            <w:pPr>
              <w:spacing w:line="276" w:lineRule="auto"/>
              <w:rPr>
                <w:rFonts w:ascii="宋体" w:hAnsi="宋体"/>
                <w:szCs w:val="21"/>
              </w:rPr>
            </w:pPr>
          </w:p>
        </w:tc>
        <w:tc>
          <w:tcPr>
            <w:tcW w:w="444" w:type="pct"/>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19" w:type="pct"/>
            <w:shd w:val="clear" w:color="auto" w:fill="FFFFFF"/>
            <w:vAlign w:val="center"/>
          </w:tcPr>
          <w:p>
            <w:pPr>
              <w:spacing w:before="29" w:line="276" w:lineRule="auto"/>
              <w:ind w:firstLine="17"/>
              <w:jc w:val="center"/>
              <w:rPr>
                <w:rFonts w:ascii="宋体" w:hAnsi="宋体" w:cs="宋体"/>
                <w:spacing w:val="-2"/>
                <w:szCs w:val="21"/>
              </w:rPr>
            </w:pPr>
            <w:r>
              <w:rPr>
                <w:rFonts w:hint="eastAsia" w:ascii="宋体" w:hAnsi="宋体" w:cs="宋体"/>
                <w:spacing w:val="-2"/>
                <w:szCs w:val="21"/>
              </w:rPr>
              <w:t>3</w:t>
            </w:r>
          </w:p>
        </w:tc>
        <w:tc>
          <w:tcPr>
            <w:tcW w:w="2181" w:type="pct"/>
            <w:shd w:val="clear" w:color="auto" w:fill="FFFFFF"/>
            <w:vAlign w:val="center"/>
          </w:tcPr>
          <w:p>
            <w:pPr>
              <w:spacing w:before="29" w:line="276" w:lineRule="auto"/>
              <w:ind w:firstLine="17"/>
              <w:rPr>
                <w:rFonts w:ascii="宋体" w:hAnsi="宋体" w:cs="宋体"/>
                <w:szCs w:val="21"/>
              </w:rPr>
            </w:pPr>
            <w:r>
              <w:rPr>
                <w:rFonts w:ascii="宋体" w:hAnsi="宋体" w:cs="宋体"/>
                <w:spacing w:val="-2"/>
                <w:szCs w:val="21"/>
              </w:rPr>
              <w:t>全勤奖励</w:t>
            </w:r>
          </w:p>
        </w:tc>
        <w:tc>
          <w:tcPr>
            <w:tcW w:w="499"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499" w:type="pct"/>
            <w:shd w:val="clear" w:color="auto" w:fill="FFFFFF"/>
            <w:vAlign w:val="center"/>
          </w:tcPr>
          <w:p>
            <w:pPr>
              <w:spacing w:line="276" w:lineRule="auto"/>
              <w:rPr>
                <w:rFonts w:ascii="宋体" w:hAnsi="宋体"/>
                <w:szCs w:val="21"/>
              </w:rPr>
            </w:pPr>
          </w:p>
        </w:tc>
        <w:tc>
          <w:tcPr>
            <w:tcW w:w="557" w:type="pct"/>
            <w:shd w:val="clear" w:color="auto" w:fill="FFFFFF"/>
            <w:vAlign w:val="center"/>
          </w:tcPr>
          <w:p>
            <w:pPr>
              <w:spacing w:line="276" w:lineRule="auto"/>
              <w:rPr>
                <w:rFonts w:ascii="宋体" w:hAnsi="宋体"/>
                <w:szCs w:val="21"/>
              </w:rPr>
            </w:pPr>
          </w:p>
        </w:tc>
        <w:tc>
          <w:tcPr>
            <w:tcW w:w="444" w:type="pct"/>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19" w:type="pct"/>
            <w:tcBorders>
              <w:bottom w:val="single" w:color="auto" w:sz="4" w:space="0"/>
            </w:tcBorders>
            <w:shd w:val="clear" w:color="auto" w:fill="FFFFFF"/>
            <w:vAlign w:val="center"/>
          </w:tcPr>
          <w:p>
            <w:pPr>
              <w:spacing w:before="28" w:line="276" w:lineRule="auto"/>
              <w:ind w:firstLine="17"/>
              <w:jc w:val="center"/>
              <w:rPr>
                <w:rFonts w:ascii="宋体" w:hAnsi="宋体" w:cs="宋体"/>
                <w:spacing w:val="-2"/>
                <w:szCs w:val="21"/>
              </w:rPr>
            </w:pPr>
            <w:r>
              <w:rPr>
                <w:rFonts w:hint="eastAsia" w:ascii="宋体" w:hAnsi="宋体" w:cs="宋体"/>
                <w:spacing w:val="-2"/>
                <w:szCs w:val="21"/>
              </w:rPr>
              <w:t>4</w:t>
            </w:r>
          </w:p>
        </w:tc>
        <w:tc>
          <w:tcPr>
            <w:tcW w:w="2181" w:type="pct"/>
            <w:tcBorders>
              <w:bottom w:val="single" w:color="auto" w:sz="4" w:space="0"/>
            </w:tcBorders>
            <w:shd w:val="clear" w:color="auto" w:fill="FFFFFF"/>
            <w:vAlign w:val="center"/>
          </w:tcPr>
          <w:p>
            <w:pPr>
              <w:spacing w:before="28" w:line="276" w:lineRule="auto"/>
              <w:ind w:firstLine="17"/>
              <w:rPr>
                <w:rFonts w:ascii="宋体" w:hAnsi="宋体" w:cs="宋体"/>
                <w:szCs w:val="21"/>
              </w:rPr>
            </w:pPr>
            <w:r>
              <w:rPr>
                <w:rFonts w:ascii="宋体" w:hAnsi="宋体" w:cs="宋体"/>
                <w:spacing w:val="-2"/>
                <w:szCs w:val="21"/>
              </w:rPr>
              <w:t>缺勤处罚</w:t>
            </w:r>
          </w:p>
        </w:tc>
        <w:tc>
          <w:tcPr>
            <w:tcW w:w="499" w:type="pct"/>
            <w:tcBorders>
              <w:bottom w:val="single" w:color="auto" w:sz="4" w:space="0"/>
            </w:tcBorders>
            <w:shd w:val="clear" w:color="auto" w:fill="FFFFFF"/>
            <w:vAlign w:val="center"/>
          </w:tcPr>
          <w:p>
            <w:pPr>
              <w:spacing w:line="276" w:lineRule="auto"/>
              <w:rPr>
                <w:rFonts w:ascii="宋体" w:hAnsi="宋体"/>
                <w:szCs w:val="21"/>
              </w:rPr>
            </w:pPr>
          </w:p>
        </w:tc>
        <w:tc>
          <w:tcPr>
            <w:tcW w:w="498" w:type="pct"/>
            <w:tcBorders>
              <w:bottom w:val="single" w:color="auto" w:sz="4" w:space="0"/>
            </w:tcBorders>
            <w:shd w:val="clear" w:color="auto" w:fill="FFFFFF"/>
            <w:vAlign w:val="center"/>
          </w:tcPr>
          <w:p>
            <w:pPr>
              <w:spacing w:line="276" w:lineRule="auto"/>
              <w:rPr>
                <w:rFonts w:ascii="宋体" w:hAnsi="宋体"/>
                <w:szCs w:val="21"/>
              </w:rPr>
            </w:pPr>
          </w:p>
        </w:tc>
        <w:tc>
          <w:tcPr>
            <w:tcW w:w="499" w:type="pct"/>
            <w:tcBorders>
              <w:bottom w:val="single" w:color="auto" w:sz="4" w:space="0"/>
            </w:tcBorders>
            <w:shd w:val="clear" w:color="auto" w:fill="FFFFFF"/>
            <w:vAlign w:val="center"/>
          </w:tcPr>
          <w:p>
            <w:pPr>
              <w:spacing w:line="276" w:lineRule="auto"/>
              <w:rPr>
                <w:rFonts w:ascii="宋体" w:hAnsi="宋体"/>
                <w:szCs w:val="21"/>
              </w:rPr>
            </w:pPr>
          </w:p>
        </w:tc>
        <w:tc>
          <w:tcPr>
            <w:tcW w:w="557" w:type="pct"/>
            <w:tcBorders>
              <w:bottom w:val="single" w:color="auto" w:sz="4" w:space="0"/>
            </w:tcBorders>
            <w:shd w:val="clear" w:color="auto" w:fill="FFFFFF"/>
            <w:vAlign w:val="center"/>
          </w:tcPr>
          <w:p>
            <w:pPr>
              <w:spacing w:line="276" w:lineRule="auto"/>
              <w:rPr>
                <w:rFonts w:ascii="宋体" w:hAnsi="宋体"/>
                <w:szCs w:val="21"/>
              </w:rPr>
            </w:pPr>
          </w:p>
        </w:tc>
        <w:tc>
          <w:tcPr>
            <w:tcW w:w="444" w:type="pct"/>
            <w:tcBorders>
              <w:bottom w:val="single" w:color="auto" w:sz="4" w:space="0"/>
            </w:tcBorders>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31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before="30" w:line="276" w:lineRule="auto"/>
              <w:ind w:left="17" w:right="25" w:hanging="1"/>
              <w:jc w:val="center"/>
              <w:rPr>
                <w:rFonts w:ascii="宋体" w:hAnsi="宋体" w:cs="宋体"/>
                <w:spacing w:val="5"/>
                <w:szCs w:val="21"/>
              </w:rPr>
            </w:pPr>
            <w:r>
              <w:rPr>
                <w:rFonts w:hint="eastAsia" w:ascii="宋体" w:hAnsi="宋体" w:cs="宋体"/>
                <w:spacing w:val="5"/>
                <w:szCs w:val="21"/>
              </w:rPr>
              <w:t>5</w:t>
            </w:r>
          </w:p>
        </w:tc>
        <w:tc>
          <w:tcPr>
            <w:tcW w:w="2181" w:type="pct"/>
            <w:tcBorders>
              <w:top w:val="single" w:color="auto" w:sz="4" w:space="0"/>
              <w:left w:val="single" w:color="auto" w:sz="4" w:space="0"/>
              <w:bottom w:val="single" w:color="auto" w:sz="4" w:space="0"/>
              <w:right w:val="single" w:color="auto" w:sz="4" w:space="0"/>
            </w:tcBorders>
            <w:shd w:val="clear" w:color="auto" w:fill="FFFFFF"/>
            <w:vAlign w:val="center"/>
          </w:tcPr>
          <w:p>
            <w:pPr>
              <w:spacing w:before="30" w:line="276" w:lineRule="auto"/>
              <w:ind w:left="17" w:right="25" w:hanging="1"/>
              <w:rPr>
                <w:rFonts w:ascii="宋体" w:hAnsi="宋体" w:cs="宋体"/>
                <w:szCs w:val="21"/>
              </w:rPr>
            </w:pPr>
            <w:r>
              <w:rPr>
                <w:rFonts w:ascii="宋体" w:hAnsi="宋体" w:cs="宋体"/>
                <w:spacing w:val="5"/>
                <w:szCs w:val="21"/>
              </w:rPr>
              <w:t>在经营活动中违反税收法规财务制度及</w:t>
            </w:r>
            <w:r>
              <w:rPr>
                <w:rFonts w:ascii="宋体" w:hAnsi="宋体" w:cs="宋体"/>
                <w:spacing w:val="-1"/>
                <w:szCs w:val="21"/>
              </w:rPr>
              <w:t>其他违法违规记录</w:t>
            </w: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c>
          <w:tcPr>
            <w:tcW w:w="55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c>
          <w:tcPr>
            <w:tcW w:w="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1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before="30" w:line="276" w:lineRule="auto"/>
              <w:ind w:firstLine="16"/>
              <w:jc w:val="center"/>
              <w:rPr>
                <w:rFonts w:ascii="宋体" w:hAnsi="宋体" w:cs="宋体"/>
                <w:spacing w:val="-1"/>
                <w:szCs w:val="21"/>
              </w:rPr>
            </w:pPr>
            <w:r>
              <w:rPr>
                <w:rFonts w:hint="eastAsia" w:ascii="宋体" w:hAnsi="宋体" w:cs="宋体"/>
                <w:spacing w:val="-1"/>
                <w:szCs w:val="21"/>
              </w:rPr>
              <w:t>6</w:t>
            </w:r>
          </w:p>
        </w:tc>
        <w:tc>
          <w:tcPr>
            <w:tcW w:w="2181" w:type="pct"/>
            <w:tcBorders>
              <w:top w:val="single" w:color="auto" w:sz="4" w:space="0"/>
              <w:left w:val="single" w:color="auto" w:sz="4" w:space="0"/>
              <w:bottom w:val="single" w:color="auto" w:sz="4" w:space="0"/>
              <w:right w:val="single" w:color="auto" w:sz="4" w:space="0"/>
            </w:tcBorders>
            <w:shd w:val="clear" w:color="auto" w:fill="FFFFFF"/>
            <w:vAlign w:val="center"/>
          </w:tcPr>
          <w:p>
            <w:pPr>
              <w:spacing w:before="30" w:line="276" w:lineRule="auto"/>
              <w:ind w:firstLine="16"/>
              <w:rPr>
                <w:rFonts w:ascii="宋体" w:hAnsi="宋体" w:cs="宋体"/>
                <w:szCs w:val="21"/>
              </w:rPr>
            </w:pPr>
            <w:r>
              <w:rPr>
                <w:rFonts w:ascii="宋体" w:hAnsi="宋体" w:cs="宋体"/>
                <w:spacing w:val="-1"/>
                <w:szCs w:val="21"/>
              </w:rPr>
              <w:t>在经营中未能履行合同承诺</w:t>
            </w: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c>
          <w:tcPr>
            <w:tcW w:w="55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c>
          <w:tcPr>
            <w:tcW w:w="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1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before="30" w:line="276" w:lineRule="auto"/>
              <w:ind w:firstLine="21"/>
              <w:jc w:val="center"/>
              <w:rPr>
                <w:rFonts w:ascii="宋体" w:hAnsi="宋体" w:cs="宋体"/>
                <w:spacing w:val="-1"/>
                <w:szCs w:val="21"/>
              </w:rPr>
            </w:pPr>
            <w:r>
              <w:rPr>
                <w:rFonts w:hint="eastAsia" w:ascii="宋体" w:hAnsi="宋体" w:cs="宋体"/>
                <w:spacing w:val="-1"/>
                <w:szCs w:val="21"/>
              </w:rPr>
              <w:t>7</w:t>
            </w:r>
          </w:p>
        </w:tc>
        <w:tc>
          <w:tcPr>
            <w:tcW w:w="2181" w:type="pct"/>
            <w:tcBorders>
              <w:top w:val="single" w:color="auto" w:sz="4" w:space="0"/>
              <w:left w:val="single" w:color="auto" w:sz="4" w:space="0"/>
              <w:bottom w:val="single" w:color="auto" w:sz="4" w:space="0"/>
              <w:right w:val="single" w:color="auto" w:sz="4" w:space="0"/>
            </w:tcBorders>
            <w:shd w:val="clear" w:color="auto" w:fill="FFFFFF"/>
            <w:vAlign w:val="center"/>
          </w:tcPr>
          <w:p>
            <w:pPr>
              <w:spacing w:before="30" w:line="276" w:lineRule="auto"/>
              <w:ind w:firstLine="21"/>
              <w:rPr>
                <w:rFonts w:ascii="宋体" w:hAnsi="宋体" w:cs="宋体"/>
                <w:szCs w:val="21"/>
              </w:rPr>
            </w:pPr>
            <w:r>
              <w:rPr>
                <w:rFonts w:ascii="宋体" w:hAnsi="宋体" w:cs="宋体"/>
                <w:spacing w:val="-1"/>
                <w:szCs w:val="21"/>
              </w:rPr>
              <w:t>浪费水、电、消耗品等公共资源</w:t>
            </w: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c>
          <w:tcPr>
            <w:tcW w:w="49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c>
          <w:tcPr>
            <w:tcW w:w="557"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c>
          <w:tcPr>
            <w:tcW w:w="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1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before="34" w:line="276" w:lineRule="auto"/>
              <w:ind w:firstLine="21"/>
              <w:jc w:val="center"/>
              <w:rPr>
                <w:rFonts w:ascii="宋体" w:hAnsi="宋体" w:cs="宋体"/>
                <w:spacing w:val="-2"/>
                <w:szCs w:val="21"/>
              </w:rPr>
            </w:pPr>
            <w:r>
              <w:rPr>
                <w:rFonts w:hint="eastAsia" w:ascii="宋体" w:hAnsi="宋体" w:cs="宋体"/>
                <w:spacing w:val="-2"/>
                <w:szCs w:val="21"/>
              </w:rPr>
              <w:t>8</w:t>
            </w:r>
          </w:p>
        </w:tc>
        <w:tc>
          <w:tcPr>
            <w:tcW w:w="2181" w:type="pct"/>
            <w:tcBorders>
              <w:top w:val="single" w:color="auto" w:sz="4" w:space="0"/>
              <w:left w:val="single" w:color="auto" w:sz="4" w:space="0"/>
              <w:bottom w:val="single" w:color="auto" w:sz="4" w:space="0"/>
              <w:right w:val="single" w:color="auto" w:sz="4" w:space="0"/>
            </w:tcBorders>
            <w:shd w:val="clear" w:color="auto" w:fill="FFFFFF"/>
            <w:vAlign w:val="center"/>
          </w:tcPr>
          <w:p>
            <w:pPr>
              <w:spacing w:before="34" w:line="276" w:lineRule="auto"/>
              <w:ind w:firstLine="21"/>
              <w:rPr>
                <w:rFonts w:ascii="宋体" w:hAnsi="宋体" w:cs="宋体"/>
                <w:szCs w:val="21"/>
              </w:rPr>
            </w:pPr>
            <w:r>
              <w:rPr>
                <w:rFonts w:ascii="宋体" w:hAnsi="宋体" w:cs="宋体"/>
                <w:spacing w:val="-2"/>
                <w:szCs w:val="21"/>
              </w:rPr>
              <w:t>一般性失误</w:t>
            </w: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c>
          <w:tcPr>
            <w:tcW w:w="49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c>
          <w:tcPr>
            <w:tcW w:w="55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c>
          <w:tcPr>
            <w:tcW w:w="44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19" w:type="pct"/>
            <w:tcBorders>
              <w:top w:val="single" w:color="auto" w:sz="4" w:space="0"/>
            </w:tcBorders>
            <w:shd w:val="clear" w:color="auto" w:fill="FFFFFF"/>
            <w:vAlign w:val="center"/>
          </w:tcPr>
          <w:p>
            <w:pPr>
              <w:spacing w:before="31" w:line="276" w:lineRule="auto"/>
              <w:ind w:firstLine="21"/>
              <w:jc w:val="center"/>
              <w:rPr>
                <w:rFonts w:ascii="宋体" w:hAnsi="宋体" w:cs="宋体"/>
                <w:spacing w:val="-2"/>
                <w:szCs w:val="21"/>
              </w:rPr>
            </w:pPr>
            <w:r>
              <w:rPr>
                <w:rFonts w:hint="eastAsia" w:ascii="宋体" w:hAnsi="宋体" w:cs="宋体"/>
                <w:spacing w:val="-2"/>
                <w:szCs w:val="21"/>
              </w:rPr>
              <w:t>9</w:t>
            </w:r>
          </w:p>
        </w:tc>
        <w:tc>
          <w:tcPr>
            <w:tcW w:w="2181" w:type="pct"/>
            <w:tcBorders>
              <w:top w:val="single" w:color="auto" w:sz="4" w:space="0"/>
            </w:tcBorders>
            <w:shd w:val="clear" w:color="auto" w:fill="FFFFFF"/>
            <w:vAlign w:val="center"/>
          </w:tcPr>
          <w:p>
            <w:pPr>
              <w:spacing w:before="31" w:line="276" w:lineRule="auto"/>
              <w:ind w:firstLine="21"/>
              <w:rPr>
                <w:rFonts w:ascii="宋体" w:hAnsi="宋体" w:cs="宋体"/>
                <w:szCs w:val="21"/>
              </w:rPr>
            </w:pPr>
            <w:r>
              <w:rPr>
                <w:rFonts w:ascii="宋体" w:hAnsi="宋体" w:cs="宋体"/>
                <w:spacing w:val="-2"/>
                <w:szCs w:val="21"/>
              </w:rPr>
              <w:t>一般性重复失误</w:t>
            </w:r>
          </w:p>
        </w:tc>
        <w:tc>
          <w:tcPr>
            <w:tcW w:w="498" w:type="pct"/>
            <w:tcBorders>
              <w:top w:val="single" w:color="auto" w:sz="4" w:space="0"/>
            </w:tcBorders>
            <w:shd w:val="clear" w:color="auto" w:fill="FFFFFF"/>
            <w:vAlign w:val="center"/>
          </w:tcPr>
          <w:p>
            <w:pPr>
              <w:spacing w:line="276" w:lineRule="auto"/>
              <w:rPr>
                <w:rFonts w:ascii="宋体" w:hAnsi="宋体"/>
                <w:szCs w:val="21"/>
              </w:rPr>
            </w:pPr>
          </w:p>
        </w:tc>
        <w:tc>
          <w:tcPr>
            <w:tcW w:w="498" w:type="pct"/>
            <w:tcBorders>
              <w:top w:val="single" w:color="auto" w:sz="4" w:space="0"/>
            </w:tcBorders>
            <w:shd w:val="clear" w:color="auto" w:fill="FFFFFF"/>
            <w:vAlign w:val="center"/>
          </w:tcPr>
          <w:p>
            <w:pPr>
              <w:spacing w:line="276" w:lineRule="auto"/>
              <w:rPr>
                <w:rFonts w:ascii="宋体" w:hAnsi="宋体"/>
                <w:szCs w:val="21"/>
              </w:rPr>
            </w:pPr>
          </w:p>
        </w:tc>
        <w:tc>
          <w:tcPr>
            <w:tcW w:w="498" w:type="pct"/>
            <w:tcBorders>
              <w:top w:val="single" w:color="auto" w:sz="4" w:space="0"/>
            </w:tcBorders>
            <w:shd w:val="clear" w:color="auto" w:fill="FFFFFF"/>
            <w:vAlign w:val="center"/>
          </w:tcPr>
          <w:p>
            <w:pPr>
              <w:spacing w:line="276" w:lineRule="auto"/>
              <w:rPr>
                <w:rFonts w:ascii="宋体" w:hAnsi="宋体"/>
                <w:szCs w:val="21"/>
              </w:rPr>
            </w:pPr>
          </w:p>
        </w:tc>
        <w:tc>
          <w:tcPr>
            <w:tcW w:w="559" w:type="pct"/>
            <w:tcBorders>
              <w:top w:val="single" w:color="auto" w:sz="4" w:space="0"/>
            </w:tcBorders>
            <w:shd w:val="clear" w:color="auto" w:fill="FFFFFF"/>
            <w:vAlign w:val="center"/>
          </w:tcPr>
          <w:p>
            <w:pPr>
              <w:spacing w:line="276" w:lineRule="auto"/>
              <w:rPr>
                <w:rFonts w:ascii="宋体" w:hAnsi="宋体"/>
                <w:szCs w:val="21"/>
              </w:rPr>
            </w:pPr>
          </w:p>
        </w:tc>
        <w:tc>
          <w:tcPr>
            <w:tcW w:w="444" w:type="pct"/>
            <w:tcBorders>
              <w:top w:val="single" w:color="auto" w:sz="4" w:space="0"/>
            </w:tcBorders>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19" w:type="pct"/>
            <w:shd w:val="clear" w:color="auto" w:fill="FFFFFF"/>
            <w:vAlign w:val="center"/>
          </w:tcPr>
          <w:p>
            <w:pPr>
              <w:spacing w:before="29" w:line="276" w:lineRule="auto"/>
              <w:ind w:firstLine="21"/>
              <w:jc w:val="center"/>
              <w:rPr>
                <w:rFonts w:ascii="宋体" w:hAnsi="宋体" w:cs="宋体"/>
                <w:spacing w:val="-2"/>
                <w:szCs w:val="21"/>
              </w:rPr>
            </w:pPr>
            <w:r>
              <w:rPr>
                <w:rFonts w:hint="eastAsia" w:ascii="宋体" w:hAnsi="宋体" w:cs="宋体"/>
                <w:spacing w:val="-2"/>
                <w:szCs w:val="21"/>
              </w:rPr>
              <w:t>10</w:t>
            </w:r>
          </w:p>
        </w:tc>
        <w:tc>
          <w:tcPr>
            <w:tcW w:w="2181" w:type="pct"/>
            <w:shd w:val="clear" w:color="auto" w:fill="FFFFFF"/>
            <w:vAlign w:val="center"/>
          </w:tcPr>
          <w:p>
            <w:pPr>
              <w:spacing w:before="29" w:line="276" w:lineRule="auto"/>
              <w:ind w:firstLine="21"/>
              <w:rPr>
                <w:rFonts w:ascii="宋体" w:hAnsi="宋体" w:cs="宋体"/>
                <w:szCs w:val="21"/>
              </w:rPr>
            </w:pPr>
            <w:r>
              <w:rPr>
                <w:rFonts w:ascii="宋体" w:hAnsi="宋体" w:cs="宋体"/>
                <w:spacing w:val="-2"/>
                <w:szCs w:val="21"/>
              </w:rPr>
              <w:t>一般性过错</w:t>
            </w: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559" w:type="pct"/>
            <w:shd w:val="clear" w:color="auto" w:fill="FFFFFF"/>
            <w:vAlign w:val="center"/>
          </w:tcPr>
          <w:p>
            <w:pPr>
              <w:spacing w:line="276" w:lineRule="auto"/>
              <w:rPr>
                <w:rFonts w:ascii="宋体" w:hAnsi="宋体"/>
                <w:szCs w:val="21"/>
              </w:rPr>
            </w:pPr>
          </w:p>
        </w:tc>
        <w:tc>
          <w:tcPr>
            <w:tcW w:w="444" w:type="pct"/>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19" w:type="pct"/>
            <w:shd w:val="clear" w:color="auto" w:fill="FFFFFF"/>
            <w:vAlign w:val="center"/>
          </w:tcPr>
          <w:p>
            <w:pPr>
              <w:spacing w:before="29" w:line="276" w:lineRule="auto"/>
              <w:ind w:firstLine="21"/>
              <w:jc w:val="center"/>
              <w:rPr>
                <w:rFonts w:ascii="宋体" w:hAnsi="宋体" w:cs="宋体"/>
                <w:spacing w:val="-2"/>
                <w:szCs w:val="21"/>
              </w:rPr>
            </w:pPr>
            <w:r>
              <w:rPr>
                <w:rFonts w:hint="eastAsia" w:ascii="宋体" w:hAnsi="宋体" w:cs="宋体"/>
                <w:spacing w:val="-2"/>
                <w:szCs w:val="21"/>
              </w:rPr>
              <w:t>11</w:t>
            </w:r>
          </w:p>
        </w:tc>
        <w:tc>
          <w:tcPr>
            <w:tcW w:w="2181" w:type="pct"/>
            <w:shd w:val="clear" w:color="auto" w:fill="FFFFFF"/>
            <w:vAlign w:val="center"/>
          </w:tcPr>
          <w:p>
            <w:pPr>
              <w:spacing w:before="29" w:line="276" w:lineRule="auto"/>
              <w:ind w:firstLine="21"/>
              <w:rPr>
                <w:rFonts w:ascii="宋体" w:hAnsi="宋体" w:cs="宋体"/>
                <w:szCs w:val="21"/>
              </w:rPr>
            </w:pPr>
            <w:r>
              <w:rPr>
                <w:rFonts w:ascii="宋体" w:hAnsi="宋体" w:cs="宋体"/>
                <w:spacing w:val="-2"/>
                <w:szCs w:val="21"/>
              </w:rPr>
              <w:t>一般性重复过错</w:t>
            </w: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559" w:type="pct"/>
            <w:shd w:val="clear" w:color="auto" w:fill="FFFFFF"/>
            <w:vAlign w:val="center"/>
          </w:tcPr>
          <w:p>
            <w:pPr>
              <w:spacing w:line="276" w:lineRule="auto"/>
              <w:rPr>
                <w:rFonts w:ascii="宋体" w:hAnsi="宋体"/>
                <w:szCs w:val="21"/>
              </w:rPr>
            </w:pPr>
          </w:p>
        </w:tc>
        <w:tc>
          <w:tcPr>
            <w:tcW w:w="444" w:type="pct"/>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19" w:type="pct"/>
            <w:shd w:val="clear" w:color="auto" w:fill="FFFFFF"/>
            <w:vAlign w:val="center"/>
          </w:tcPr>
          <w:p>
            <w:pPr>
              <w:spacing w:before="29" w:line="276" w:lineRule="auto"/>
              <w:ind w:firstLine="17"/>
              <w:jc w:val="center"/>
              <w:rPr>
                <w:rFonts w:ascii="宋体" w:hAnsi="宋体" w:cs="宋体"/>
                <w:spacing w:val="-1"/>
                <w:szCs w:val="21"/>
              </w:rPr>
            </w:pPr>
            <w:r>
              <w:rPr>
                <w:rFonts w:hint="eastAsia" w:ascii="宋体" w:hAnsi="宋体" w:cs="宋体"/>
                <w:spacing w:val="-1"/>
                <w:szCs w:val="21"/>
              </w:rPr>
              <w:t>12</w:t>
            </w:r>
          </w:p>
        </w:tc>
        <w:tc>
          <w:tcPr>
            <w:tcW w:w="2181" w:type="pct"/>
            <w:shd w:val="clear" w:color="auto" w:fill="FFFFFF"/>
            <w:vAlign w:val="center"/>
          </w:tcPr>
          <w:p>
            <w:pPr>
              <w:spacing w:before="29" w:line="276" w:lineRule="auto"/>
              <w:ind w:firstLine="17"/>
              <w:rPr>
                <w:rFonts w:ascii="宋体" w:hAnsi="宋体" w:cs="宋体"/>
                <w:szCs w:val="21"/>
              </w:rPr>
            </w:pPr>
            <w:r>
              <w:rPr>
                <w:rFonts w:ascii="宋体" w:hAnsi="宋体" w:cs="宋体"/>
                <w:spacing w:val="-1"/>
                <w:szCs w:val="21"/>
              </w:rPr>
              <w:t>较大性过错</w:t>
            </w: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559" w:type="pct"/>
            <w:shd w:val="clear" w:color="auto" w:fill="FFFFFF"/>
            <w:vAlign w:val="center"/>
          </w:tcPr>
          <w:p>
            <w:pPr>
              <w:spacing w:line="276" w:lineRule="auto"/>
              <w:rPr>
                <w:rFonts w:ascii="宋体" w:hAnsi="宋体"/>
                <w:szCs w:val="21"/>
              </w:rPr>
            </w:pPr>
          </w:p>
        </w:tc>
        <w:tc>
          <w:tcPr>
            <w:tcW w:w="444" w:type="pct"/>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19" w:type="pct"/>
            <w:shd w:val="clear" w:color="auto" w:fill="FFFFFF"/>
            <w:vAlign w:val="center"/>
          </w:tcPr>
          <w:p>
            <w:pPr>
              <w:spacing w:before="30" w:line="276" w:lineRule="auto"/>
              <w:ind w:firstLine="17"/>
              <w:jc w:val="center"/>
              <w:rPr>
                <w:rFonts w:ascii="宋体" w:hAnsi="宋体" w:cs="宋体"/>
                <w:spacing w:val="-1"/>
                <w:szCs w:val="21"/>
              </w:rPr>
            </w:pPr>
            <w:r>
              <w:rPr>
                <w:rFonts w:hint="eastAsia" w:ascii="宋体" w:hAnsi="宋体" w:cs="宋体"/>
                <w:spacing w:val="-1"/>
                <w:szCs w:val="21"/>
              </w:rPr>
              <w:t>13</w:t>
            </w:r>
          </w:p>
        </w:tc>
        <w:tc>
          <w:tcPr>
            <w:tcW w:w="2181" w:type="pct"/>
            <w:shd w:val="clear" w:color="auto" w:fill="FFFFFF"/>
            <w:vAlign w:val="center"/>
          </w:tcPr>
          <w:p>
            <w:pPr>
              <w:spacing w:before="30" w:line="276" w:lineRule="auto"/>
              <w:ind w:firstLine="17"/>
              <w:rPr>
                <w:rFonts w:ascii="宋体" w:hAnsi="宋体" w:cs="宋体"/>
                <w:szCs w:val="21"/>
              </w:rPr>
            </w:pPr>
            <w:r>
              <w:rPr>
                <w:rFonts w:ascii="宋体" w:hAnsi="宋体" w:cs="宋体"/>
                <w:spacing w:val="-1"/>
                <w:szCs w:val="21"/>
              </w:rPr>
              <w:t>较大性重复过错</w:t>
            </w: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559" w:type="pct"/>
            <w:shd w:val="clear" w:color="auto" w:fill="FFFFFF"/>
            <w:vAlign w:val="center"/>
          </w:tcPr>
          <w:p>
            <w:pPr>
              <w:spacing w:line="276" w:lineRule="auto"/>
              <w:rPr>
                <w:rFonts w:ascii="宋体" w:hAnsi="宋体"/>
                <w:szCs w:val="21"/>
              </w:rPr>
            </w:pPr>
          </w:p>
        </w:tc>
        <w:tc>
          <w:tcPr>
            <w:tcW w:w="444" w:type="pct"/>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19" w:type="pct"/>
            <w:shd w:val="clear" w:color="auto" w:fill="FFFFFF"/>
            <w:vAlign w:val="center"/>
          </w:tcPr>
          <w:p>
            <w:pPr>
              <w:spacing w:before="30" w:line="276" w:lineRule="auto"/>
              <w:ind w:firstLine="18"/>
              <w:jc w:val="center"/>
              <w:rPr>
                <w:rFonts w:ascii="宋体" w:hAnsi="宋体" w:cs="宋体"/>
                <w:spacing w:val="-2"/>
                <w:szCs w:val="21"/>
              </w:rPr>
            </w:pPr>
            <w:r>
              <w:rPr>
                <w:rFonts w:hint="eastAsia" w:ascii="宋体" w:hAnsi="宋体" w:cs="宋体"/>
                <w:spacing w:val="-2"/>
                <w:szCs w:val="21"/>
              </w:rPr>
              <w:t>14</w:t>
            </w:r>
          </w:p>
        </w:tc>
        <w:tc>
          <w:tcPr>
            <w:tcW w:w="2181" w:type="pct"/>
            <w:shd w:val="clear" w:color="auto" w:fill="FFFFFF"/>
            <w:vAlign w:val="center"/>
          </w:tcPr>
          <w:p>
            <w:pPr>
              <w:spacing w:before="30" w:line="276" w:lineRule="auto"/>
              <w:ind w:firstLine="18"/>
              <w:rPr>
                <w:rFonts w:ascii="宋体" w:hAnsi="宋体" w:cs="宋体"/>
                <w:szCs w:val="21"/>
              </w:rPr>
            </w:pPr>
            <w:r>
              <w:rPr>
                <w:rFonts w:ascii="宋体" w:hAnsi="宋体" w:cs="宋体"/>
                <w:spacing w:val="-2"/>
                <w:szCs w:val="21"/>
              </w:rPr>
              <w:t>重大性过错</w:t>
            </w: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559" w:type="pct"/>
            <w:shd w:val="clear" w:color="auto" w:fill="FFFFFF"/>
            <w:vAlign w:val="center"/>
          </w:tcPr>
          <w:p>
            <w:pPr>
              <w:spacing w:line="276" w:lineRule="auto"/>
              <w:rPr>
                <w:rFonts w:ascii="宋体" w:hAnsi="宋体"/>
                <w:szCs w:val="21"/>
              </w:rPr>
            </w:pPr>
          </w:p>
        </w:tc>
        <w:tc>
          <w:tcPr>
            <w:tcW w:w="444" w:type="pct"/>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19" w:type="pct"/>
            <w:shd w:val="clear" w:color="auto" w:fill="FFFFFF"/>
            <w:vAlign w:val="center"/>
          </w:tcPr>
          <w:p>
            <w:pPr>
              <w:spacing w:before="30" w:line="276" w:lineRule="auto"/>
              <w:ind w:firstLine="18"/>
              <w:jc w:val="center"/>
              <w:rPr>
                <w:rFonts w:ascii="宋体" w:hAnsi="宋体" w:cs="宋体"/>
                <w:spacing w:val="-1"/>
                <w:szCs w:val="21"/>
              </w:rPr>
            </w:pPr>
            <w:r>
              <w:rPr>
                <w:rFonts w:hint="eastAsia" w:ascii="宋体" w:hAnsi="宋体" w:cs="宋体"/>
                <w:spacing w:val="-1"/>
                <w:szCs w:val="21"/>
              </w:rPr>
              <w:t>15</w:t>
            </w:r>
          </w:p>
        </w:tc>
        <w:tc>
          <w:tcPr>
            <w:tcW w:w="2181" w:type="pct"/>
            <w:shd w:val="clear" w:color="auto" w:fill="FFFFFF"/>
            <w:vAlign w:val="center"/>
          </w:tcPr>
          <w:p>
            <w:pPr>
              <w:spacing w:before="30" w:line="276" w:lineRule="auto"/>
              <w:ind w:firstLine="18"/>
              <w:rPr>
                <w:rFonts w:ascii="宋体" w:hAnsi="宋体" w:cs="宋体"/>
                <w:szCs w:val="21"/>
              </w:rPr>
            </w:pPr>
            <w:r>
              <w:rPr>
                <w:rFonts w:ascii="宋体" w:hAnsi="宋体" w:cs="宋体"/>
                <w:spacing w:val="-1"/>
                <w:szCs w:val="21"/>
              </w:rPr>
              <w:t>重大性重复大过错</w:t>
            </w: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559" w:type="pct"/>
            <w:shd w:val="clear" w:color="auto" w:fill="FFFFFF"/>
            <w:vAlign w:val="center"/>
          </w:tcPr>
          <w:p>
            <w:pPr>
              <w:spacing w:line="276" w:lineRule="auto"/>
              <w:rPr>
                <w:rFonts w:ascii="宋体" w:hAnsi="宋体"/>
                <w:szCs w:val="21"/>
              </w:rPr>
            </w:pPr>
          </w:p>
        </w:tc>
        <w:tc>
          <w:tcPr>
            <w:tcW w:w="444" w:type="pct"/>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19" w:type="pct"/>
            <w:shd w:val="clear" w:color="auto" w:fill="FFFFFF"/>
            <w:vAlign w:val="center"/>
          </w:tcPr>
          <w:p>
            <w:pPr>
              <w:spacing w:before="31" w:line="276" w:lineRule="auto"/>
              <w:ind w:firstLine="21"/>
              <w:jc w:val="center"/>
              <w:rPr>
                <w:rFonts w:ascii="宋体" w:hAnsi="宋体" w:cs="宋体"/>
                <w:spacing w:val="-2"/>
                <w:szCs w:val="21"/>
              </w:rPr>
            </w:pPr>
            <w:r>
              <w:rPr>
                <w:rFonts w:hint="eastAsia" w:ascii="宋体" w:hAnsi="宋体" w:cs="宋体"/>
                <w:spacing w:val="-2"/>
                <w:szCs w:val="21"/>
              </w:rPr>
              <w:t>16</w:t>
            </w:r>
          </w:p>
        </w:tc>
        <w:tc>
          <w:tcPr>
            <w:tcW w:w="2181" w:type="pct"/>
            <w:shd w:val="clear" w:color="auto" w:fill="FFFFFF"/>
            <w:vAlign w:val="center"/>
          </w:tcPr>
          <w:p>
            <w:pPr>
              <w:spacing w:before="31" w:line="276" w:lineRule="auto"/>
              <w:ind w:firstLine="21"/>
              <w:rPr>
                <w:rFonts w:ascii="宋体" w:hAnsi="宋体" w:cs="宋体"/>
                <w:szCs w:val="21"/>
              </w:rPr>
            </w:pPr>
            <w:r>
              <w:rPr>
                <w:rFonts w:ascii="宋体" w:hAnsi="宋体" w:cs="宋体"/>
                <w:spacing w:val="-2"/>
                <w:szCs w:val="21"/>
              </w:rPr>
              <w:t>一般性事故</w:t>
            </w: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559" w:type="pct"/>
            <w:shd w:val="clear" w:color="auto" w:fill="FFFFFF"/>
            <w:vAlign w:val="center"/>
          </w:tcPr>
          <w:p>
            <w:pPr>
              <w:spacing w:line="276" w:lineRule="auto"/>
              <w:rPr>
                <w:rFonts w:ascii="宋体" w:hAnsi="宋体"/>
                <w:szCs w:val="21"/>
              </w:rPr>
            </w:pPr>
          </w:p>
        </w:tc>
        <w:tc>
          <w:tcPr>
            <w:tcW w:w="444" w:type="pct"/>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19" w:type="pct"/>
            <w:shd w:val="clear" w:color="auto" w:fill="FFFFFF"/>
            <w:vAlign w:val="center"/>
          </w:tcPr>
          <w:p>
            <w:pPr>
              <w:spacing w:before="35" w:line="276" w:lineRule="auto"/>
              <w:ind w:firstLine="17"/>
              <w:jc w:val="center"/>
              <w:rPr>
                <w:rFonts w:ascii="宋体" w:hAnsi="宋体" w:cs="宋体"/>
                <w:spacing w:val="-1"/>
                <w:szCs w:val="21"/>
              </w:rPr>
            </w:pPr>
            <w:r>
              <w:rPr>
                <w:rFonts w:hint="eastAsia" w:ascii="宋体" w:hAnsi="宋体" w:cs="宋体"/>
                <w:spacing w:val="-1"/>
                <w:szCs w:val="21"/>
              </w:rPr>
              <w:t>17</w:t>
            </w:r>
          </w:p>
        </w:tc>
        <w:tc>
          <w:tcPr>
            <w:tcW w:w="2181" w:type="pct"/>
            <w:shd w:val="clear" w:color="auto" w:fill="FFFFFF"/>
            <w:vAlign w:val="center"/>
          </w:tcPr>
          <w:p>
            <w:pPr>
              <w:spacing w:before="35" w:line="276" w:lineRule="auto"/>
              <w:ind w:firstLine="17"/>
              <w:rPr>
                <w:rFonts w:ascii="宋体" w:hAnsi="宋体" w:cs="宋体"/>
                <w:szCs w:val="21"/>
              </w:rPr>
            </w:pPr>
            <w:r>
              <w:rPr>
                <w:rFonts w:ascii="宋体" w:hAnsi="宋体" w:cs="宋体"/>
                <w:spacing w:val="-1"/>
                <w:szCs w:val="21"/>
              </w:rPr>
              <w:t>较大性事故</w:t>
            </w: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559" w:type="pct"/>
            <w:shd w:val="clear" w:color="auto" w:fill="FFFFFF"/>
            <w:vAlign w:val="center"/>
          </w:tcPr>
          <w:p>
            <w:pPr>
              <w:spacing w:line="276" w:lineRule="auto"/>
              <w:rPr>
                <w:rFonts w:ascii="宋体" w:hAnsi="宋体"/>
                <w:szCs w:val="21"/>
              </w:rPr>
            </w:pPr>
          </w:p>
        </w:tc>
        <w:tc>
          <w:tcPr>
            <w:tcW w:w="444" w:type="pct"/>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19" w:type="pct"/>
            <w:shd w:val="clear" w:color="auto" w:fill="FFFFFF"/>
            <w:vAlign w:val="center"/>
          </w:tcPr>
          <w:p>
            <w:pPr>
              <w:spacing w:before="32" w:line="276" w:lineRule="auto"/>
              <w:ind w:firstLine="18"/>
              <w:jc w:val="center"/>
              <w:rPr>
                <w:rFonts w:ascii="宋体" w:hAnsi="宋体" w:cs="宋体"/>
                <w:spacing w:val="-2"/>
                <w:szCs w:val="21"/>
              </w:rPr>
            </w:pPr>
            <w:r>
              <w:rPr>
                <w:rFonts w:hint="eastAsia" w:ascii="宋体" w:hAnsi="宋体" w:cs="宋体"/>
                <w:spacing w:val="-2"/>
                <w:szCs w:val="21"/>
              </w:rPr>
              <w:t>18</w:t>
            </w:r>
          </w:p>
        </w:tc>
        <w:tc>
          <w:tcPr>
            <w:tcW w:w="2181" w:type="pct"/>
            <w:shd w:val="clear" w:color="auto" w:fill="FFFFFF"/>
            <w:vAlign w:val="center"/>
          </w:tcPr>
          <w:p>
            <w:pPr>
              <w:spacing w:before="32" w:line="276" w:lineRule="auto"/>
              <w:ind w:firstLine="18"/>
              <w:rPr>
                <w:rFonts w:ascii="宋体" w:hAnsi="宋体" w:cs="宋体"/>
                <w:szCs w:val="21"/>
              </w:rPr>
            </w:pPr>
            <w:r>
              <w:rPr>
                <w:rFonts w:ascii="宋体" w:hAnsi="宋体" w:cs="宋体"/>
                <w:spacing w:val="-2"/>
                <w:szCs w:val="21"/>
              </w:rPr>
              <w:t>重大性事故</w:t>
            </w: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559" w:type="pct"/>
            <w:shd w:val="clear" w:color="auto" w:fill="FFFFFF"/>
            <w:vAlign w:val="center"/>
          </w:tcPr>
          <w:p>
            <w:pPr>
              <w:spacing w:line="276" w:lineRule="auto"/>
              <w:rPr>
                <w:rFonts w:ascii="宋体" w:hAnsi="宋体"/>
                <w:szCs w:val="21"/>
              </w:rPr>
            </w:pPr>
          </w:p>
        </w:tc>
        <w:tc>
          <w:tcPr>
            <w:tcW w:w="444" w:type="pct"/>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319" w:type="pct"/>
            <w:shd w:val="clear" w:color="auto" w:fill="FFFFFF"/>
            <w:vAlign w:val="center"/>
          </w:tcPr>
          <w:p>
            <w:pPr>
              <w:spacing w:before="34" w:line="276" w:lineRule="auto"/>
              <w:ind w:left="20" w:right="25" w:hanging="3"/>
              <w:jc w:val="center"/>
              <w:rPr>
                <w:rFonts w:ascii="宋体" w:hAnsi="宋体" w:cs="宋体"/>
                <w:spacing w:val="5"/>
                <w:szCs w:val="21"/>
              </w:rPr>
            </w:pPr>
            <w:r>
              <w:rPr>
                <w:rFonts w:hint="eastAsia" w:ascii="宋体" w:hAnsi="宋体" w:cs="宋体"/>
                <w:spacing w:val="5"/>
                <w:szCs w:val="21"/>
              </w:rPr>
              <w:t>19</w:t>
            </w:r>
          </w:p>
        </w:tc>
        <w:tc>
          <w:tcPr>
            <w:tcW w:w="2181" w:type="pct"/>
            <w:shd w:val="clear" w:color="auto" w:fill="FFFFFF"/>
            <w:vAlign w:val="center"/>
          </w:tcPr>
          <w:p>
            <w:pPr>
              <w:spacing w:before="34" w:line="276" w:lineRule="auto"/>
              <w:ind w:left="20" w:right="25" w:hanging="3"/>
              <w:rPr>
                <w:rFonts w:ascii="宋体" w:hAnsi="宋体" w:cs="宋体"/>
                <w:szCs w:val="21"/>
              </w:rPr>
            </w:pPr>
            <w:r>
              <w:rPr>
                <w:rFonts w:ascii="宋体" w:hAnsi="宋体" w:cs="宋体"/>
                <w:spacing w:val="5"/>
                <w:szCs w:val="21"/>
              </w:rPr>
              <w:t>违反工作纪律、违</w:t>
            </w:r>
            <w:r>
              <w:rPr>
                <w:rFonts w:hint="eastAsia" w:ascii="宋体" w:hAnsi="宋体" w:cs="宋体"/>
                <w:spacing w:val="5"/>
                <w:szCs w:val="21"/>
              </w:rPr>
              <w:t>反</w:t>
            </w:r>
            <w:r>
              <w:rPr>
                <w:rFonts w:ascii="宋体" w:hAnsi="宋体" w:cs="宋体"/>
                <w:spacing w:val="5"/>
                <w:szCs w:val="21"/>
              </w:rPr>
              <w:t>操作规程、违反各</w:t>
            </w:r>
            <w:r>
              <w:rPr>
                <w:rFonts w:ascii="宋体" w:hAnsi="宋体" w:cs="宋体"/>
                <w:spacing w:val="-2"/>
                <w:szCs w:val="21"/>
              </w:rPr>
              <w:t>项管理制度</w:t>
            </w: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559" w:type="pct"/>
            <w:shd w:val="clear" w:color="auto" w:fill="FFFFFF"/>
            <w:vAlign w:val="center"/>
          </w:tcPr>
          <w:p>
            <w:pPr>
              <w:spacing w:line="276" w:lineRule="auto"/>
              <w:rPr>
                <w:rFonts w:ascii="宋体" w:hAnsi="宋体"/>
                <w:szCs w:val="21"/>
              </w:rPr>
            </w:pPr>
          </w:p>
        </w:tc>
        <w:tc>
          <w:tcPr>
            <w:tcW w:w="444" w:type="pct"/>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19" w:type="pct"/>
            <w:shd w:val="clear" w:color="auto" w:fill="FFFFFF"/>
            <w:vAlign w:val="center"/>
          </w:tcPr>
          <w:p>
            <w:pPr>
              <w:spacing w:before="33" w:line="276" w:lineRule="auto"/>
              <w:ind w:firstLine="27"/>
              <w:jc w:val="center"/>
              <w:rPr>
                <w:rFonts w:ascii="宋体" w:hAnsi="宋体" w:cs="宋体"/>
                <w:spacing w:val="-2"/>
                <w:szCs w:val="21"/>
              </w:rPr>
            </w:pPr>
            <w:r>
              <w:rPr>
                <w:rFonts w:hint="eastAsia" w:ascii="宋体" w:hAnsi="宋体" w:cs="宋体"/>
                <w:spacing w:val="-2"/>
                <w:szCs w:val="21"/>
              </w:rPr>
              <w:t>20</w:t>
            </w:r>
          </w:p>
        </w:tc>
        <w:tc>
          <w:tcPr>
            <w:tcW w:w="2181" w:type="pct"/>
            <w:shd w:val="clear" w:color="auto" w:fill="FFFFFF"/>
            <w:vAlign w:val="center"/>
          </w:tcPr>
          <w:p>
            <w:pPr>
              <w:spacing w:before="33" w:line="276" w:lineRule="auto"/>
              <w:ind w:firstLine="27"/>
              <w:rPr>
                <w:rFonts w:ascii="宋体" w:hAnsi="宋体" w:cs="宋体"/>
                <w:szCs w:val="21"/>
              </w:rPr>
            </w:pPr>
            <w:r>
              <w:rPr>
                <w:rFonts w:ascii="宋体" w:hAnsi="宋体" w:cs="宋体"/>
                <w:spacing w:val="-2"/>
                <w:szCs w:val="21"/>
              </w:rPr>
              <w:t>噪音、气味等干扰工作秩序</w:t>
            </w: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559" w:type="pct"/>
            <w:shd w:val="clear" w:color="auto" w:fill="FFFFFF"/>
            <w:vAlign w:val="center"/>
          </w:tcPr>
          <w:p>
            <w:pPr>
              <w:spacing w:line="276" w:lineRule="auto"/>
              <w:rPr>
                <w:rFonts w:ascii="宋体" w:hAnsi="宋体"/>
                <w:szCs w:val="21"/>
              </w:rPr>
            </w:pPr>
          </w:p>
        </w:tc>
        <w:tc>
          <w:tcPr>
            <w:tcW w:w="444" w:type="pct"/>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19" w:type="pct"/>
            <w:shd w:val="clear" w:color="auto" w:fill="FFFFFF"/>
            <w:vAlign w:val="center"/>
          </w:tcPr>
          <w:p>
            <w:pPr>
              <w:spacing w:before="33" w:line="276" w:lineRule="auto"/>
              <w:ind w:firstLine="18"/>
              <w:jc w:val="center"/>
              <w:rPr>
                <w:rFonts w:ascii="宋体" w:hAnsi="宋体" w:cs="宋体"/>
                <w:spacing w:val="-1"/>
                <w:szCs w:val="21"/>
              </w:rPr>
            </w:pPr>
            <w:r>
              <w:rPr>
                <w:rFonts w:hint="eastAsia" w:ascii="宋体" w:hAnsi="宋体" w:cs="宋体"/>
                <w:spacing w:val="-1"/>
                <w:szCs w:val="21"/>
              </w:rPr>
              <w:t>21</w:t>
            </w:r>
          </w:p>
        </w:tc>
        <w:tc>
          <w:tcPr>
            <w:tcW w:w="2181" w:type="pct"/>
            <w:shd w:val="clear" w:color="auto" w:fill="FFFFFF"/>
            <w:vAlign w:val="center"/>
          </w:tcPr>
          <w:p>
            <w:pPr>
              <w:spacing w:before="33" w:line="276" w:lineRule="auto"/>
              <w:ind w:firstLine="18"/>
              <w:rPr>
                <w:rFonts w:ascii="宋体" w:hAnsi="宋体" w:cs="宋体"/>
                <w:szCs w:val="21"/>
              </w:rPr>
            </w:pPr>
            <w:r>
              <w:rPr>
                <w:rFonts w:ascii="宋体" w:hAnsi="宋体" w:cs="宋体"/>
                <w:spacing w:val="-1"/>
                <w:szCs w:val="21"/>
              </w:rPr>
              <w:t>招标文件和合同约定的其它相关事项</w:t>
            </w: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559" w:type="pct"/>
            <w:shd w:val="clear" w:color="auto" w:fill="FFFFFF"/>
            <w:vAlign w:val="center"/>
          </w:tcPr>
          <w:p>
            <w:pPr>
              <w:spacing w:line="276" w:lineRule="auto"/>
              <w:rPr>
                <w:rFonts w:ascii="宋体" w:hAnsi="宋体"/>
                <w:szCs w:val="21"/>
              </w:rPr>
            </w:pPr>
          </w:p>
        </w:tc>
        <w:tc>
          <w:tcPr>
            <w:tcW w:w="444" w:type="pct"/>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19" w:type="pct"/>
            <w:shd w:val="clear" w:color="auto" w:fill="FFFFFF"/>
            <w:vAlign w:val="center"/>
          </w:tcPr>
          <w:p>
            <w:pPr>
              <w:spacing w:before="33" w:line="276" w:lineRule="auto"/>
              <w:ind w:firstLine="18"/>
              <w:jc w:val="center"/>
              <w:rPr>
                <w:rFonts w:ascii="宋体" w:hAnsi="宋体" w:cs="宋体"/>
                <w:spacing w:val="-1"/>
                <w:szCs w:val="21"/>
              </w:rPr>
            </w:pPr>
            <w:r>
              <w:rPr>
                <w:rFonts w:hint="eastAsia" w:ascii="宋体" w:hAnsi="宋体" w:cs="宋体"/>
                <w:spacing w:val="-1"/>
                <w:szCs w:val="21"/>
              </w:rPr>
              <w:t>22</w:t>
            </w:r>
          </w:p>
        </w:tc>
        <w:tc>
          <w:tcPr>
            <w:tcW w:w="2181" w:type="pct"/>
            <w:shd w:val="clear" w:color="auto" w:fill="FFFFFF"/>
            <w:vAlign w:val="center"/>
          </w:tcPr>
          <w:p>
            <w:pPr>
              <w:spacing w:before="33" w:line="276" w:lineRule="auto"/>
              <w:ind w:firstLine="18"/>
              <w:rPr>
                <w:rFonts w:ascii="宋体" w:hAnsi="宋体" w:cs="宋体"/>
                <w:szCs w:val="21"/>
              </w:rPr>
            </w:pPr>
            <w:r>
              <w:rPr>
                <w:rFonts w:ascii="宋体" w:hAnsi="宋体" w:cs="宋体"/>
                <w:spacing w:val="-1"/>
                <w:szCs w:val="21"/>
              </w:rPr>
              <w:t>招标文件带星号条款</w:t>
            </w: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559" w:type="pct"/>
            <w:shd w:val="clear" w:color="auto" w:fill="FFFFFF"/>
            <w:vAlign w:val="center"/>
          </w:tcPr>
          <w:p>
            <w:pPr>
              <w:spacing w:line="276" w:lineRule="auto"/>
              <w:rPr>
                <w:rFonts w:ascii="宋体" w:hAnsi="宋体"/>
                <w:szCs w:val="21"/>
              </w:rPr>
            </w:pPr>
          </w:p>
        </w:tc>
        <w:tc>
          <w:tcPr>
            <w:tcW w:w="444" w:type="pct"/>
            <w:shd w:val="clear" w:color="auto" w:fill="FFFFFF"/>
            <w:vAlign w:val="center"/>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501" w:type="pct"/>
            <w:gridSpan w:val="2"/>
            <w:shd w:val="clear" w:color="auto" w:fill="FFFFFF"/>
            <w:vAlign w:val="center"/>
          </w:tcPr>
          <w:p>
            <w:pPr>
              <w:spacing w:before="34" w:line="276" w:lineRule="auto"/>
              <w:ind w:firstLine="20"/>
              <w:jc w:val="center"/>
              <w:rPr>
                <w:rFonts w:ascii="宋体" w:hAnsi="宋体" w:cs="宋体"/>
                <w:szCs w:val="21"/>
              </w:rPr>
            </w:pPr>
            <w:r>
              <w:rPr>
                <w:rFonts w:ascii="宋体" w:hAnsi="宋体" w:cs="宋体"/>
                <w:spacing w:val="-3"/>
                <w:szCs w:val="21"/>
              </w:rPr>
              <w:t>总计</w:t>
            </w: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498" w:type="pct"/>
            <w:shd w:val="clear" w:color="auto" w:fill="FFFFFF"/>
            <w:vAlign w:val="center"/>
          </w:tcPr>
          <w:p>
            <w:pPr>
              <w:spacing w:line="276" w:lineRule="auto"/>
              <w:rPr>
                <w:rFonts w:ascii="宋体" w:hAnsi="宋体"/>
                <w:szCs w:val="21"/>
              </w:rPr>
            </w:pPr>
          </w:p>
        </w:tc>
        <w:tc>
          <w:tcPr>
            <w:tcW w:w="559" w:type="pct"/>
            <w:shd w:val="clear" w:color="auto" w:fill="FFFFFF"/>
            <w:vAlign w:val="center"/>
          </w:tcPr>
          <w:p>
            <w:pPr>
              <w:spacing w:line="276" w:lineRule="auto"/>
              <w:rPr>
                <w:rFonts w:ascii="宋体" w:hAnsi="宋体"/>
                <w:szCs w:val="21"/>
              </w:rPr>
            </w:pPr>
          </w:p>
        </w:tc>
        <w:tc>
          <w:tcPr>
            <w:tcW w:w="444" w:type="pct"/>
            <w:shd w:val="clear" w:color="auto" w:fill="FFFFFF"/>
            <w:vAlign w:val="center"/>
          </w:tcPr>
          <w:p>
            <w:pPr>
              <w:spacing w:line="276" w:lineRule="auto"/>
              <w:rPr>
                <w:rFonts w:ascii="宋体" w:hAnsi="宋体"/>
                <w:szCs w:val="21"/>
              </w:rPr>
            </w:pPr>
          </w:p>
        </w:tc>
      </w:tr>
    </w:tbl>
    <w:p>
      <w:pPr>
        <w:spacing w:line="276" w:lineRule="auto"/>
        <w:rPr>
          <w:rFonts w:ascii="宋体" w:hAnsi="宋体"/>
          <w:szCs w:val="21"/>
        </w:rPr>
      </w:pPr>
    </w:p>
    <w:p>
      <w:pPr>
        <w:spacing w:before="68" w:line="276" w:lineRule="auto"/>
        <w:ind w:firstLine="474"/>
        <w:rPr>
          <w:rFonts w:ascii="宋体" w:hAnsi="宋体" w:cs="宋体"/>
          <w:spacing w:val="-9"/>
          <w:szCs w:val="21"/>
        </w:rPr>
      </w:pPr>
    </w:p>
    <w:p>
      <w:pPr>
        <w:spacing w:before="68" w:line="276" w:lineRule="auto"/>
        <w:ind w:firstLine="474"/>
        <w:rPr>
          <w:rFonts w:ascii="宋体" w:hAnsi="宋体" w:cs="宋体"/>
          <w:szCs w:val="21"/>
        </w:rPr>
      </w:pPr>
      <w:r>
        <w:rPr>
          <w:rFonts w:ascii="宋体" w:hAnsi="宋体"/>
          <w:szCs w:val="21"/>
        </w:rPr>
        <w:br w:type="page"/>
      </w:r>
      <w:r>
        <w:rPr>
          <w:rFonts w:hint="eastAsia" w:ascii="宋体" w:hAnsi="宋体" w:cs="宋体"/>
          <w:spacing w:val="-9"/>
          <w:szCs w:val="21"/>
        </w:rPr>
        <w:t>附表</w:t>
      </w:r>
      <w:r>
        <w:rPr>
          <w:rFonts w:ascii="宋体" w:hAnsi="宋体" w:cs="宋体"/>
          <w:spacing w:val="-9"/>
          <w:szCs w:val="21"/>
        </w:rPr>
        <w:t>3：</w:t>
      </w:r>
    </w:p>
    <w:p>
      <w:pPr>
        <w:spacing w:before="196" w:line="276" w:lineRule="auto"/>
        <w:ind w:firstLine="3058"/>
        <w:rPr>
          <w:rFonts w:ascii="宋体" w:hAnsi="宋体" w:cs="宋体"/>
          <w:szCs w:val="21"/>
        </w:rPr>
      </w:pPr>
      <w:r>
        <w:rPr>
          <w:rFonts w:ascii="宋体" w:hAnsi="宋体" w:cs="宋体"/>
          <w:spacing w:val="-4"/>
          <w:szCs w:val="21"/>
        </w:rPr>
        <w:t>物业管理服务处罚单（参考表格）</w:t>
      </w:r>
    </w:p>
    <w:tbl>
      <w:tblPr>
        <w:tblStyle w:val="21"/>
        <w:tblpPr w:leftFromText="180" w:rightFromText="180" w:vertAnchor="text" w:horzAnchor="page" w:tblpX="1886" w:tblpY="319"/>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1"/>
        <w:gridCol w:w="1160"/>
        <w:gridCol w:w="360"/>
        <w:gridCol w:w="452"/>
        <w:gridCol w:w="1061"/>
        <w:gridCol w:w="1057"/>
        <w:gridCol w:w="466"/>
        <w:gridCol w:w="15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281" w:type="dxa"/>
            <w:shd w:val="clear" w:color="auto" w:fill="FFFFFF"/>
          </w:tcPr>
          <w:p>
            <w:pPr>
              <w:spacing w:before="34" w:line="276" w:lineRule="auto"/>
              <w:ind w:firstLine="20"/>
              <w:rPr>
                <w:rFonts w:ascii="宋体" w:hAnsi="宋体" w:cs="宋体"/>
                <w:szCs w:val="21"/>
              </w:rPr>
            </w:pPr>
            <w:r>
              <w:rPr>
                <w:rFonts w:ascii="宋体" w:hAnsi="宋体" w:cs="宋体"/>
                <w:spacing w:val="3"/>
                <w:szCs w:val="21"/>
              </w:rPr>
              <w:t>投诉单位（部门</w:t>
            </w:r>
            <w:r>
              <w:rPr>
                <w:rFonts w:ascii="宋体" w:hAnsi="宋体" w:cs="宋体"/>
                <w:spacing w:val="-60"/>
                <w:szCs w:val="21"/>
              </w:rPr>
              <w:t>）：</w:t>
            </w:r>
          </w:p>
        </w:tc>
        <w:tc>
          <w:tcPr>
            <w:tcW w:w="1520" w:type="dxa"/>
            <w:gridSpan w:val="2"/>
            <w:shd w:val="clear" w:color="auto" w:fill="FFFFFF"/>
          </w:tcPr>
          <w:p>
            <w:pPr>
              <w:spacing w:before="34" w:line="276" w:lineRule="auto"/>
              <w:ind w:firstLine="46"/>
              <w:rPr>
                <w:rFonts w:ascii="宋体" w:hAnsi="宋体" w:cs="宋体"/>
                <w:szCs w:val="21"/>
              </w:rPr>
            </w:pPr>
            <w:r>
              <w:rPr>
                <w:rFonts w:ascii="宋体" w:hAnsi="宋体" w:cs="宋体"/>
                <w:spacing w:val="-2"/>
                <w:szCs w:val="21"/>
              </w:rPr>
              <w:t>投诉人：</w:t>
            </w:r>
          </w:p>
        </w:tc>
        <w:tc>
          <w:tcPr>
            <w:tcW w:w="1513" w:type="dxa"/>
            <w:gridSpan w:val="2"/>
            <w:shd w:val="clear" w:color="auto" w:fill="FFFFFF"/>
          </w:tcPr>
          <w:p>
            <w:pPr>
              <w:spacing w:before="34" w:line="276" w:lineRule="auto"/>
              <w:ind w:firstLine="52"/>
              <w:rPr>
                <w:rFonts w:ascii="宋体" w:hAnsi="宋体" w:cs="宋体"/>
                <w:szCs w:val="21"/>
              </w:rPr>
            </w:pPr>
            <w:r>
              <w:rPr>
                <w:rFonts w:ascii="宋体" w:hAnsi="宋体" w:cs="宋体"/>
                <w:spacing w:val="-2"/>
                <w:szCs w:val="21"/>
              </w:rPr>
              <w:t>证明人：</w:t>
            </w:r>
          </w:p>
        </w:tc>
        <w:tc>
          <w:tcPr>
            <w:tcW w:w="1523" w:type="dxa"/>
            <w:gridSpan w:val="2"/>
            <w:shd w:val="clear" w:color="auto" w:fill="FFFFFF"/>
          </w:tcPr>
          <w:p>
            <w:pPr>
              <w:spacing w:before="34" w:line="276" w:lineRule="auto"/>
              <w:ind w:firstLine="61"/>
              <w:rPr>
                <w:rFonts w:ascii="宋体" w:hAnsi="宋体" w:cs="宋体"/>
                <w:szCs w:val="21"/>
              </w:rPr>
            </w:pPr>
            <w:r>
              <w:rPr>
                <w:rFonts w:ascii="宋体" w:hAnsi="宋体" w:cs="宋体"/>
                <w:spacing w:val="-7"/>
                <w:szCs w:val="21"/>
              </w:rPr>
              <w:t>投诉现场：</w:t>
            </w:r>
          </w:p>
        </w:tc>
        <w:tc>
          <w:tcPr>
            <w:tcW w:w="1597" w:type="dxa"/>
            <w:shd w:val="clear" w:color="auto" w:fill="FFFFFF"/>
          </w:tcPr>
          <w:p>
            <w:pPr>
              <w:spacing w:before="34" w:line="276" w:lineRule="auto"/>
              <w:ind w:firstLine="69"/>
              <w:rPr>
                <w:rFonts w:ascii="宋体" w:hAnsi="宋体" w:cs="宋体"/>
                <w:szCs w:val="21"/>
              </w:rPr>
            </w:pPr>
            <w:r>
              <w:rPr>
                <w:rFonts w:ascii="宋体" w:hAnsi="宋体" w:cs="宋体"/>
                <w:spacing w:val="-7"/>
                <w:szCs w:val="21"/>
              </w:rPr>
              <w:t>处罚时间：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434" w:type="dxa"/>
            <w:gridSpan w:val="8"/>
            <w:shd w:val="clear" w:color="auto" w:fill="FFFFFF"/>
          </w:tcPr>
          <w:p>
            <w:pPr>
              <w:spacing w:before="29" w:line="276" w:lineRule="auto"/>
              <w:ind w:firstLine="21"/>
              <w:rPr>
                <w:rFonts w:ascii="宋体" w:hAnsi="宋体" w:cs="宋体"/>
                <w:szCs w:val="21"/>
              </w:rPr>
            </w:pPr>
            <w:r>
              <w:rPr>
                <w:rFonts w:ascii="宋体" w:hAnsi="宋体" w:cs="宋体"/>
                <w:spacing w:val="-7"/>
                <w:szCs w:val="21"/>
              </w:rPr>
              <w:t>处罚事由：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434" w:type="dxa"/>
            <w:gridSpan w:val="8"/>
            <w:shd w:val="clear" w:color="auto" w:fill="FFFFFF"/>
          </w:tcPr>
          <w:p>
            <w:pPr>
              <w:spacing w:before="30" w:line="276" w:lineRule="auto"/>
              <w:ind w:firstLine="16"/>
              <w:rPr>
                <w:rFonts w:ascii="宋体" w:hAnsi="宋体" w:cs="宋体"/>
                <w:szCs w:val="21"/>
              </w:rPr>
            </w:pPr>
            <w:r>
              <w:rPr>
                <w:rFonts w:ascii="宋体" w:hAnsi="宋体" w:cs="宋体"/>
                <w:spacing w:val="-6"/>
                <w:szCs w:val="21"/>
              </w:rPr>
              <w:t>对应条款：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281" w:type="dxa"/>
            <w:shd w:val="clear" w:color="auto" w:fill="FFFFFF"/>
          </w:tcPr>
          <w:p>
            <w:pPr>
              <w:spacing w:before="30" w:line="276" w:lineRule="auto"/>
              <w:ind w:firstLine="21"/>
              <w:rPr>
                <w:rFonts w:ascii="宋体" w:hAnsi="宋体" w:cs="宋体"/>
                <w:szCs w:val="21"/>
              </w:rPr>
            </w:pPr>
            <w:r>
              <w:rPr>
                <w:rFonts w:ascii="宋体" w:hAnsi="宋体" w:cs="宋体"/>
                <w:spacing w:val="-13"/>
                <w:szCs w:val="21"/>
              </w:rPr>
              <w:t>扣分：</w:t>
            </w:r>
          </w:p>
        </w:tc>
        <w:tc>
          <w:tcPr>
            <w:tcW w:w="1972" w:type="dxa"/>
            <w:gridSpan w:val="3"/>
            <w:shd w:val="clear" w:color="auto" w:fill="FFFFFF"/>
          </w:tcPr>
          <w:p>
            <w:pPr>
              <w:spacing w:before="31" w:line="276" w:lineRule="auto"/>
              <w:ind w:firstLine="43"/>
              <w:rPr>
                <w:rFonts w:ascii="宋体" w:hAnsi="宋体" w:cs="宋体"/>
                <w:szCs w:val="21"/>
              </w:rPr>
            </w:pPr>
            <w:r>
              <w:rPr>
                <w:rFonts w:ascii="宋体" w:hAnsi="宋体" w:cs="宋体"/>
                <w:spacing w:val="-2"/>
                <w:position w:val="17"/>
                <w:szCs w:val="21"/>
              </w:rPr>
              <w:t>损失值：</w:t>
            </w:r>
          </w:p>
          <w:p>
            <w:pPr>
              <w:spacing w:line="276" w:lineRule="auto"/>
              <w:ind w:firstLine="41"/>
              <w:rPr>
                <w:rFonts w:ascii="宋体" w:hAnsi="宋体" w:cs="宋体"/>
                <w:szCs w:val="21"/>
              </w:rPr>
            </w:pPr>
            <w:r>
              <w:rPr>
                <w:rFonts w:ascii="宋体" w:hAnsi="宋体" w:cs="宋体"/>
                <w:position w:val="-2"/>
                <w:szCs w:val="21"/>
              </w:rPr>
              <w:t>¥</w:t>
            </w:r>
          </w:p>
        </w:tc>
        <w:tc>
          <w:tcPr>
            <w:tcW w:w="2118" w:type="dxa"/>
            <w:gridSpan w:val="2"/>
            <w:shd w:val="clear" w:color="auto" w:fill="FFFFFF"/>
          </w:tcPr>
          <w:p>
            <w:pPr>
              <w:spacing w:before="31" w:line="276" w:lineRule="auto"/>
              <w:rPr>
                <w:rFonts w:ascii="宋体" w:hAnsi="宋体" w:cs="宋体"/>
                <w:szCs w:val="21"/>
              </w:rPr>
            </w:pPr>
            <w:r>
              <w:rPr>
                <w:rFonts w:hint="eastAsia" w:ascii="宋体" w:hAnsi="宋体" w:cs="宋体"/>
                <w:spacing w:val="-7"/>
                <w:position w:val="17"/>
                <w:szCs w:val="21"/>
              </w:rPr>
              <w:t>扣减服务费</w:t>
            </w:r>
            <w:r>
              <w:rPr>
                <w:rFonts w:ascii="宋体" w:hAnsi="宋体" w:cs="宋体"/>
                <w:spacing w:val="-7"/>
                <w:position w:val="17"/>
                <w:szCs w:val="21"/>
              </w:rPr>
              <w:t>金额：</w:t>
            </w:r>
          </w:p>
          <w:p>
            <w:pPr>
              <w:spacing w:line="276" w:lineRule="auto"/>
              <w:ind w:firstLine="47"/>
              <w:rPr>
                <w:rFonts w:ascii="宋体" w:hAnsi="宋体" w:cs="宋体"/>
                <w:szCs w:val="21"/>
              </w:rPr>
            </w:pPr>
            <w:r>
              <w:rPr>
                <w:rFonts w:ascii="宋体" w:hAnsi="宋体" w:cs="宋体"/>
                <w:position w:val="-2"/>
                <w:szCs w:val="21"/>
              </w:rPr>
              <w:t>¥</w:t>
            </w:r>
          </w:p>
        </w:tc>
        <w:tc>
          <w:tcPr>
            <w:tcW w:w="2063" w:type="dxa"/>
            <w:gridSpan w:val="2"/>
            <w:shd w:val="clear" w:color="auto" w:fill="FFFFFF"/>
          </w:tcPr>
          <w:p>
            <w:pPr>
              <w:spacing w:before="31" w:line="276" w:lineRule="auto"/>
              <w:ind w:firstLine="58"/>
              <w:rPr>
                <w:rFonts w:ascii="宋体" w:hAnsi="宋体" w:cs="宋体"/>
                <w:szCs w:val="21"/>
              </w:rPr>
            </w:pPr>
            <w:r>
              <w:rPr>
                <w:rFonts w:ascii="宋体" w:hAnsi="宋体" w:cs="宋体"/>
                <w:spacing w:val="-7"/>
                <w:position w:val="17"/>
                <w:szCs w:val="21"/>
              </w:rPr>
              <w:t>合计金额：</w:t>
            </w:r>
          </w:p>
          <w:p>
            <w:pPr>
              <w:spacing w:line="276" w:lineRule="auto"/>
              <w:ind w:firstLine="55"/>
              <w:rPr>
                <w:rFonts w:ascii="宋体" w:hAnsi="宋体" w:cs="宋体"/>
                <w:szCs w:val="21"/>
              </w:rPr>
            </w:pPr>
            <w:r>
              <w:rPr>
                <w:rFonts w:ascii="宋体" w:hAnsi="宋体" w:cs="宋体"/>
                <w:position w:val="-2"/>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441" w:type="dxa"/>
            <w:gridSpan w:val="2"/>
            <w:shd w:val="clear" w:color="auto" w:fill="FFFFFF"/>
          </w:tcPr>
          <w:p>
            <w:pPr>
              <w:spacing w:before="31" w:line="276" w:lineRule="auto"/>
              <w:ind w:firstLine="17"/>
              <w:rPr>
                <w:rFonts w:ascii="宋体" w:hAnsi="宋体" w:cs="宋体"/>
                <w:szCs w:val="21"/>
              </w:rPr>
            </w:pPr>
            <w:r>
              <w:rPr>
                <w:rFonts w:ascii="宋体" w:hAnsi="宋体" w:cs="宋体"/>
                <w:spacing w:val="-1"/>
                <w:szCs w:val="21"/>
              </w:rPr>
              <w:t>物业公司被投诉人确认</w:t>
            </w:r>
          </w:p>
        </w:tc>
        <w:tc>
          <w:tcPr>
            <w:tcW w:w="4993" w:type="dxa"/>
            <w:gridSpan w:val="6"/>
            <w:shd w:val="clear" w:color="auto" w:fill="FFFFFF"/>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41" w:type="dxa"/>
            <w:gridSpan w:val="2"/>
            <w:shd w:val="clear" w:color="auto" w:fill="FFFFFF"/>
          </w:tcPr>
          <w:p>
            <w:pPr>
              <w:spacing w:before="31" w:line="276" w:lineRule="auto"/>
              <w:ind w:firstLine="17"/>
              <w:rPr>
                <w:rFonts w:ascii="宋体" w:hAnsi="宋体" w:cs="宋体"/>
                <w:szCs w:val="21"/>
              </w:rPr>
            </w:pPr>
            <w:r>
              <w:rPr>
                <w:rFonts w:ascii="宋体" w:hAnsi="宋体" w:cs="宋体"/>
                <w:spacing w:val="-1"/>
                <w:szCs w:val="21"/>
              </w:rPr>
              <w:t>物业公司项目负责人确认</w:t>
            </w:r>
          </w:p>
        </w:tc>
        <w:tc>
          <w:tcPr>
            <w:tcW w:w="4993" w:type="dxa"/>
            <w:gridSpan w:val="6"/>
            <w:shd w:val="clear" w:color="auto" w:fill="FFFFFF"/>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41" w:type="dxa"/>
            <w:gridSpan w:val="2"/>
            <w:shd w:val="clear" w:color="auto" w:fill="FFFFFF"/>
          </w:tcPr>
          <w:p>
            <w:pPr>
              <w:spacing w:before="32" w:line="276" w:lineRule="auto"/>
              <w:ind w:firstLine="17"/>
              <w:rPr>
                <w:rFonts w:ascii="宋体" w:hAnsi="宋体" w:cs="宋体"/>
                <w:szCs w:val="21"/>
              </w:rPr>
            </w:pPr>
            <w:r>
              <w:rPr>
                <w:rFonts w:ascii="宋体" w:hAnsi="宋体" w:cs="宋体"/>
                <w:spacing w:val="-1"/>
                <w:szCs w:val="21"/>
              </w:rPr>
              <w:t>物管组管理员确认</w:t>
            </w:r>
          </w:p>
        </w:tc>
        <w:tc>
          <w:tcPr>
            <w:tcW w:w="4993" w:type="dxa"/>
            <w:gridSpan w:val="6"/>
            <w:shd w:val="clear" w:color="auto" w:fill="FFFFFF"/>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41" w:type="dxa"/>
            <w:gridSpan w:val="2"/>
            <w:shd w:val="clear" w:color="auto" w:fill="FFFFFF"/>
          </w:tcPr>
          <w:p>
            <w:pPr>
              <w:spacing w:before="32" w:line="276" w:lineRule="auto"/>
              <w:ind w:firstLine="17"/>
              <w:rPr>
                <w:rFonts w:ascii="宋体" w:hAnsi="宋体" w:cs="宋体"/>
                <w:szCs w:val="21"/>
              </w:rPr>
            </w:pPr>
            <w:r>
              <w:rPr>
                <w:rFonts w:ascii="宋体" w:hAnsi="宋体" w:cs="宋体"/>
                <w:spacing w:val="-1"/>
                <w:szCs w:val="21"/>
              </w:rPr>
              <w:t>物管组负责人确认</w:t>
            </w:r>
          </w:p>
        </w:tc>
        <w:tc>
          <w:tcPr>
            <w:tcW w:w="4993" w:type="dxa"/>
            <w:gridSpan w:val="6"/>
            <w:shd w:val="clear" w:color="auto" w:fill="FFFFFF"/>
          </w:tcPr>
          <w:p>
            <w:pPr>
              <w:spacing w:line="276" w:lineRule="auto"/>
              <w:rPr>
                <w:rFonts w:ascii="宋体"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2281" w:type="dxa"/>
            <w:tcBorders>
              <w:right w:val="nil"/>
            </w:tcBorders>
          </w:tcPr>
          <w:p>
            <w:pPr>
              <w:spacing w:before="33" w:line="276" w:lineRule="auto"/>
              <w:ind w:firstLine="20"/>
              <w:rPr>
                <w:rFonts w:ascii="宋体" w:hAnsi="宋体" w:cs="宋体"/>
                <w:szCs w:val="21"/>
              </w:rPr>
            </w:pPr>
            <w:r>
              <w:rPr>
                <w:rFonts w:ascii="宋体" w:hAnsi="宋体" w:cs="宋体"/>
                <w:spacing w:val="-13"/>
                <w:szCs w:val="21"/>
              </w:rPr>
              <w:t>备注：</w:t>
            </w:r>
          </w:p>
        </w:tc>
        <w:tc>
          <w:tcPr>
            <w:tcW w:w="6153" w:type="dxa"/>
            <w:gridSpan w:val="7"/>
            <w:tcBorders>
              <w:left w:val="nil"/>
            </w:tcBorders>
          </w:tcPr>
          <w:p>
            <w:pPr>
              <w:spacing w:line="276" w:lineRule="auto"/>
              <w:rPr>
                <w:rFonts w:ascii="宋体" w:hAnsi="宋体"/>
                <w:szCs w:val="21"/>
              </w:rPr>
            </w:pPr>
          </w:p>
          <w:p>
            <w:pPr>
              <w:spacing w:before="69" w:line="276" w:lineRule="auto"/>
              <w:ind w:left="3691" w:leftChars="1742" w:right="1023" w:hanging="33" w:hangingChars="16"/>
              <w:rPr>
                <w:rFonts w:ascii="宋体" w:hAnsi="宋体" w:cs="宋体"/>
                <w:spacing w:val="-1"/>
                <w:szCs w:val="21"/>
              </w:rPr>
            </w:pPr>
            <w:r>
              <w:rPr>
                <w:rFonts w:hint="eastAsia" w:ascii="宋体" w:hAnsi="宋体" w:cs="宋体"/>
                <w:spacing w:val="-1"/>
                <w:szCs w:val="21"/>
              </w:rPr>
              <w:t>办公室</w:t>
            </w:r>
          </w:p>
          <w:p>
            <w:pPr>
              <w:spacing w:before="69" w:line="276" w:lineRule="auto"/>
              <w:ind w:left="3697" w:right="1023" w:hanging="457"/>
              <w:rPr>
                <w:rFonts w:ascii="宋体" w:hAnsi="宋体" w:cs="宋体"/>
                <w:szCs w:val="21"/>
              </w:rPr>
            </w:pPr>
            <w:r>
              <w:rPr>
                <w:rFonts w:ascii="宋体" w:hAnsi="宋体" w:cs="宋体"/>
                <w:spacing w:val="-7"/>
                <w:szCs w:val="21"/>
              </w:rPr>
              <w:t>年月   日</w:t>
            </w:r>
          </w:p>
        </w:tc>
      </w:tr>
    </w:tbl>
    <w:p>
      <w:pPr>
        <w:snapToGrid w:val="0"/>
        <w:spacing w:line="396" w:lineRule="auto"/>
        <w:rPr>
          <w:rFonts w:ascii="宋体" w:hAnsi="宋体" w:cs="仿宋_GB2312"/>
          <w:sz w:val="32"/>
          <w:szCs w:val="32"/>
        </w:rPr>
      </w:pPr>
    </w:p>
    <w:p>
      <w:pPr>
        <w:snapToGrid w:val="0"/>
        <w:spacing w:line="396" w:lineRule="auto"/>
        <w:outlineLvl w:val="1"/>
        <w:rPr>
          <w:rFonts w:ascii="宋体" w:hAnsi="宋体"/>
          <w:sz w:val="32"/>
          <w:szCs w:val="32"/>
        </w:rPr>
      </w:pPr>
      <w:bookmarkStart w:id="68" w:name="_Toc126262564"/>
      <w:r>
        <w:rPr>
          <w:rFonts w:hint="eastAsia" w:ascii="宋体" w:hAnsi="宋体" w:cs="黑体"/>
          <w:b/>
          <w:bCs/>
          <w:sz w:val="32"/>
          <w:szCs w:val="32"/>
        </w:rPr>
        <w:t>五、项目技术支持服务要求</w:t>
      </w:r>
      <w:bookmarkEnd w:id="68"/>
    </w:p>
    <w:p>
      <w:pPr>
        <w:spacing w:beforeLines="50" w:line="276" w:lineRule="auto"/>
        <w:ind w:firstLine="480" w:firstLineChars="200"/>
        <w:rPr>
          <w:rFonts w:ascii="宋体" w:hAnsi="宋体"/>
          <w:szCs w:val="21"/>
        </w:rPr>
      </w:pPr>
      <w:r>
        <w:rPr>
          <w:rFonts w:hint="eastAsia" w:ascii="宋体" w:hAnsi="宋体"/>
          <w:sz w:val="24"/>
        </w:rPr>
        <w:t>（一）物业服务范围包括以下内容：</w:t>
      </w:r>
    </w:p>
    <w:p>
      <w:pPr>
        <w:spacing w:beforeLines="50" w:line="276" w:lineRule="auto"/>
        <w:ind w:firstLine="420" w:firstLineChars="200"/>
        <w:rPr>
          <w:rFonts w:ascii="宋体" w:hAnsi="宋体"/>
          <w:szCs w:val="21"/>
        </w:rPr>
      </w:pPr>
      <w:r>
        <w:rPr>
          <w:rFonts w:hint="eastAsia" w:ascii="宋体" w:hAnsi="宋体"/>
          <w:szCs w:val="21"/>
        </w:rPr>
        <w:t>1、建筑体部位（楼盖、屋顶、梁、柱、内外墙体和基础等承重结构部位，外面墙、楼梯间、洗手间、走廊通道、门厅、室内地面或地板、设备机房。</w:t>
      </w:r>
    </w:p>
    <w:p>
      <w:pPr>
        <w:spacing w:beforeLines="50" w:line="276" w:lineRule="auto"/>
        <w:ind w:firstLine="420" w:firstLineChars="200"/>
        <w:rPr>
          <w:rFonts w:ascii="宋体" w:hAnsi="宋体"/>
          <w:szCs w:val="21"/>
        </w:rPr>
      </w:pPr>
      <w:r>
        <w:rPr>
          <w:rFonts w:hint="eastAsia" w:ascii="宋体" w:hAnsi="宋体"/>
          <w:szCs w:val="21"/>
        </w:rPr>
        <w:t>2、建筑体内设施设备（高低压配电系统、给排水系统、照明设施、停车场管理系统、楼宇智能管理系统、会议室和报告厅内音响影像设备）。</w:t>
      </w:r>
    </w:p>
    <w:p>
      <w:pPr>
        <w:spacing w:beforeLines="50" w:line="276" w:lineRule="auto"/>
        <w:ind w:firstLine="420" w:firstLineChars="200"/>
        <w:rPr>
          <w:rFonts w:ascii="宋体" w:hAnsi="宋体"/>
          <w:szCs w:val="21"/>
        </w:rPr>
      </w:pPr>
      <w:r>
        <w:rPr>
          <w:rFonts w:hint="eastAsia" w:ascii="宋体" w:hAnsi="宋体"/>
          <w:szCs w:val="21"/>
        </w:rPr>
        <w:t>3、消防系统、监控系统、电梯设备、空调系统、大堂地面维修保养等项目的管理及监督。</w:t>
      </w:r>
    </w:p>
    <w:p>
      <w:pPr>
        <w:spacing w:beforeLines="50" w:line="276" w:lineRule="auto"/>
        <w:ind w:firstLine="420" w:firstLineChars="200"/>
        <w:rPr>
          <w:rFonts w:ascii="宋体" w:hAnsi="宋体"/>
          <w:szCs w:val="21"/>
        </w:rPr>
      </w:pPr>
      <w:r>
        <w:rPr>
          <w:rFonts w:hint="eastAsia" w:ascii="宋体" w:hAnsi="宋体"/>
          <w:szCs w:val="21"/>
        </w:rPr>
        <w:t>4、物业安全防范管理，包括公共秩序管理、消防管理、财产管理、安全监控管理、停车场管理等。</w:t>
      </w:r>
    </w:p>
    <w:p>
      <w:pPr>
        <w:spacing w:beforeLines="50" w:line="276" w:lineRule="auto"/>
        <w:ind w:firstLine="420" w:firstLineChars="200"/>
        <w:rPr>
          <w:rFonts w:ascii="宋体" w:hAnsi="宋体"/>
          <w:szCs w:val="21"/>
        </w:rPr>
      </w:pPr>
      <w:r>
        <w:rPr>
          <w:rFonts w:hint="eastAsia" w:ascii="宋体" w:hAnsi="宋体"/>
          <w:szCs w:val="21"/>
        </w:rPr>
        <w:t>5、室内外环境卫生管理，包括所有办公室、会议室、卫生间、设备房等室内卫生管理、消杀工作、垃圾清运。</w:t>
      </w:r>
    </w:p>
    <w:p>
      <w:pPr>
        <w:spacing w:beforeLines="50" w:line="276" w:lineRule="auto"/>
        <w:ind w:firstLine="420" w:firstLineChars="200"/>
        <w:rPr>
          <w:rFonts w:ascii="宋体" w:hAnsi="宋体"/>
          <w:szCs w:val="21"/>
        </w:rPr>
      </w:pPr>
      <w:r>
        <w:rPr>
          <w:rFonts w:hint="eastAsia" w:ascii="宋体" w:hAnsi="宋体"/>
          <w:szCs w:val="21"/>
        </w:rPr>
        <w:t>6、协助物品搬运和活动场地布置服务。</w:t>
      </w:r>
    </w:p>
    <w:p>
      <w:pPr>
        <w:spacing w:beforeLines="50" w:line="276" w:lineRule="auto"/>
        <w:ind w:firstLine="420" w:firstLineChars="200"/>
        <w:rPr>
          <w:rFonts w:ascii="宋体" w:hAnsi="宋体"/>
          <w:szCs w:val="21"/>
        </w:rPr>
      </w:pPr>
      <w:r>
        <w:rPr>
          <w:rFonts w:hint="eastAsia" w:ascii="宋体" w:hAnsi="宋体"/>
          <w:szCs w:val="21"/>
        </w:rPr>
        <w:t>7、绿化服务。</w:t>
      </w:r>
    </w:p>
    <w:p>
      <w:pPr>
        <w:spacing w:beforeLines="50" w:line="276" w:lineRule="auto"/>
        <w:ind w:firstLine="420" w:firstLineChars="200"/>
        <w:rPr>
          <w:rFonts w:ascii="宋体" w:hAnsi="宋体"/>
          <w:szCs w:val="21"/>
        </w:rPr>
      </w:pPr>
      <w:r>
        <w:rPr>
          <w:rFonts w:hint="eastAsia" w:ascii="宋体" w:hAnsi="宋体"/>
          <w:szCs w:val="21"/>
        </w:rPr>
        <w:t>8、隔油池、化油池、化粪池清理。</w:t>
      </w:r>
    </w:p>
    <w:p>
      <w:pPr>
        <w:spacing w:beforeLines="50" w:line="276" w:lineRule="auto"/>
        <w:ind w:firstLine="420" w:firstLineChars="200"/>
        <w:rPr>
          <w:rFonts w:ascii="宋体" w:hAnsi="宋体"/>
          <w:szCs w:val="21"/>
        </w:rPr>
      </w:pPr>
      <w:r>
        <w:rPr>
          <w:rFonts w:hint="eastAsia" w:ascii="宋体" w:hAnsi="宋体"/>
          <w:szCs w:val="21"/>
        </w:rPr>
        <w:t>（二）国家税务总局阳江高新技术产业开发区税务局是政府重要的办公及会议场所，对安全性、保密性、规范性要求严格，必须按采购人规定的要求执行。</w:t>
      </w:r>
    </w:p>
    <w:p>
      <w:pPr>
        <w:spacing w:beforeLines="50" w:line="276" w:lineRule="auto"/>
        <w:ind w:firstLine="420" w:firstLineChars="200"/>
        <w:rPr>
          <w:rFonts w:ascii="宋体" w:hAnsi="宋体"/>
          <w:szCs w:val="21"/>
        </w:rPr>
      </w:pPr>
      <w:r>
        <w:rPr>
          <w:rFonts w:hint="eastAsia" w:ascii="宋体" w:hAnsi="宋体"/>
          <w:szCs w:val="21"/>
        </w:rPr>
        <w:t>（三）采购人对中标人组建的国家税务总局阳江高新技术产业开发区税务局物业管理机构进行业务归口管理。</w:t>
      </w:r>
    </w:p>
    <w:p>
      <w:pPr>
        <w:spacing w:beforeLines="50" w:line="276" w:lineRule="auto"/>
        <w:ind w:firstLine="420" w:firstLineChars="200"/>
        <w:rPr>
          <w:rFonts w:ascii="宋体" w:hAnsi="宋体"/>
          <w:szCs w:val="21"/>
        </w:rPr>
      </w:pPr>
      <w:r>
        <w:rPr>
          <w:rFonts w:hint="eastAsia" w:ascii="宋体" w:hAnsi="宋体"/>
          <w:szCs w:val="21"/>
        </w:rPr>
        <w:t>（四）在处理特殊事件和紧急、突发事故时，采购人对中标人的物业管理岗位人员有直接指挥权。</w:t>
      </w:r>
    </w:p>
    <w:p>
      <w:pPr>
        <w:spacing w:beforeLines="50" w:line="276" w:lineRule="auto"/>
        <w:ind w:firstLine="420" w:firstLineChars="200"/>
        <w:rPr>
          <w:rFonts w:ascii="宋体" w:hAnsi="宋体"/>
          <w:szCs w:val="21"/>
        </w:rPr>
      </w:pPr>
      <w:r>
        <w:rPr>
          <w:rFonts w:hint="eastAsia" w:ascii="宋体" w:hAnsi="宋体"/>
          <w:szCs w:val="21"/>
        </w:rPr>
        <w:t>（五）中标人各类管理岗位人员按岗位着装要求统一，言行规范，要注意仪容仪表，公众形象，一些公众岗位录用人员（如保安人员）体形、身高按规定录用。</w:t>
      </w:r>
    </w:p>
    <w:p>
      <w:pPr>
        <w:spacing w:beforeLines="50" w:line="276" w:lineRule="auto"/>
        <w:ind w:firstLine="420" w:firstLineChars="200"/>
        <w:rPr>
          <w:rFonts w:ascii="宋体" w:hAnsi="宋体"/>
          <w:szCs w:val="21"/>
        </w:rPr>
      </w:pPr>
      <w:r>
        <w:rPr>
          <w:rFonts w:hint="eastAsia" w:ascii="宋体" w:hAnsi="宋体"/>
          <w:szCs w:val="21"/>
        </w:rPr>
        <w:t>（六）中标人必须按照国家有关规定为员工购买社会保险，员工待遇不低于国家规定最低工资标准要求，员工享受国家劳动法规定的福利假期，要求中标人遵守国家及阳江市有关劳动法律法规等有关规定执行。员工的日常食宿由中标人</w:t>
      </w:r>
      <w:bookmarkStart w:id="69" w:name="_Hlk98666375"/>
      <w:r>
        <w:rPr>
          <w:rFonts w:hint="eastAsia" w:ascii="宋体" w:hAnsi="宋体"/>
          <w:szCs w:val="21"/>
        </w:rPr>
        <w:t>承担</w:t>
      </w:r>
      <w:bookmarkEnd w:id="69"/>
      <w:r>
        <w:rPr>
          <w:rFonts w:hint="eastAsia" w:ascii="宋体" w:hAnsi="宋体"/>
          <w:szCs w:val="21"/>
        </w:rPr>
        <w:t>，采购人不负责提供员工食宿费用。员工的劳动合同关系、薪酬待遇、保险、工伤、因工作失误导致意外等经济责任、法律责任及相关费用均由中标人负责，采购人不承担相关责任。</w:t>
      </w:r>
    </w:p>
    <w:p>
      <w:pPr>
        <w:spacing w:beforeLines="50" w:line="276" w:lineRule="auto"/>
        <w:ind w:firstLine="420" w:firstLineChars="200"/>
        <w:rPr>
          <w:rFonts w:ascii="宋体" w:hAnsi="宋体"/>
          <w:szCs w:val="21"/>
        </w:rPr>
      </w:pPr>
      <w:r>
        <w:rPr>
          <w:rFonts w:hint="eastAsia" w:ascii="宋体" w:hAnsi="宋体"/>
          <w:szCs w:val="21"/>
        </w:rPr>
        <w:t>（七）中标人在做好工作的同时，有责任向采购人提供合理化建议，以提高管理效率和管理质量。</w:t>
      </w:r>
    </w:p>
    <w:p>
      <w:pPr>
        <w:spacing w:beforeLines="50" w:line="276" w:lineRule="auto"/>
        <w:ind w:firstLine="420" w:firstLineChars="200"/>
        <w:rPr>
          <w:rFonts w:ascii="宋体" w:hAnsi="宋体"/>
          <w:szCs w:val="21"/>
        </w:rPr>
      </w:pPr>
      <w:r>
        <w:rPr>
          <w:rFonts w:hint="eastAsia" w:ascii="宋体" w:hAnsi="宋体"/>
          <w:szCs w:val="21"/>
        </w:rPr>
        <w:t>（八）在合同期间采购人的所有财产的安全问题由中标人负责，由于中标人管理不到位，导致采购人财产损坏的，中标人赔偿相应的维修费并恢复原样；导致采购人财产丢失的，采购人有权要求中标人按照该财产的原价格赔偿。</w:t>
      </w:r>
    </w:p>
    <w:p>
      <w:pPr>
        <w:spacing w:beforeLines="50" w:line="276" w:lineRule="auto"/>
        <w:ind w:firstLine="420" w:firstLineChars="200"/>
        <w:rPr>
          <w:rFonts w:ascii="宋体" w:hAnsi="宋体"/>
          <w:szCs w:val="21"/>
        </w:rPr>
      </w:pPr>
      <w:r>
        <w:rPr>
          <w:rFonts w:hint="eastAsia" w:ascii="宋体" w:hAnsi="宋体"/>
          <w:szCs w:val="21"/>
        </w:rPr>
        <w:t>（九）采购人对中标人一些重要岗位的设置、人员录用与管理及一些重要的管理决策有直接参与权与审批权。中标人须配足管理</w:t>
      </w:r>
      <w:r>
        <w:rPr>
          <w:rFonts w:hint="eastAsia" w:ascii="宋体" w:hAnsi="宋体"/>
          <w:color w:val="FF0000"/>
          <w:szCs w:val="21"/>
          <w:highlight w:val="yellow"/>
        </w:rPr>
        <w:t>与岗位服务人员</w:t>
      </w:r>
      <w:r>
        <w:rPr>
          <w:rFonts w:hint="eastAsia" w:ascii="宋体" w:hAnsi="宋体"/>
          <w:szCs w:val="21"/>
        </w:rPr>
        <w:t>，中标人须提供详细的分工及人员安排表。中标人重要岗位更换人员时，最少提前一周通知采购人，并须经采购人书面同意才可更换。</w:t>
      </w:r>
    </w:p>
    <w:p>
      <w:pPr>
        <w:spacing w:beforeLines="50" w:line="276" w:lineRule="auto"/>
        <w:ind w:firstLine="420" w:firstLineChars="200"/>
        <w:rPr>
          <w:rFonts w:ascii="宋体" w:hAnsi="宋体"/>
          <w:szCs w:val="21"/>
        </w:rPr>
      </w:pPr>
      <w:r>
        <w:rPr>
          <w:rFonts w:hint="eastAsia" w:ascii="宋体" w:hAnsi="宋体"/>
          <w:szCs w:val="21"/>
        </w:rPr>
        <w:t>（十）中标人必须派有相应资质的专业工程人员专门负责维护工作。在工作时间常驻税务局办公大楼，并严格按照采购人的作息时间上下班，负责专职维护工作，若有特殊情况离开，必须向采购人技术部门负责人请假。</w:t>
      </w:r>
    </w:p>
    <w:p>
      <w:pPr>
        <w:spacing w:beforeLines="50" w:line="276" w:lineRule="auto"/>
        <w:ind w:firstLine="420" w:firstLineChars="200"/>
        <w:rPr>
          <w:rFonts w:ascii="宋体" w:hAnsi="宋体"/>
          <w:szCs w:val="21"/>
        </w:rPr>
      </w:pPr>
      <w:r>
        <w:rPr>
          <w:rFonts w:hint="eastAsia" w:ascii="宋体" w:hAnsi="宋体"/>
          <w:szCs w:val="21"/>
        </w:rPr>
        <w:t>（十一）中标人应每月25日前制定下一个月的工作计划报采购人，并于次月5日前向采购人报送上月工作汇总资料（包括耗材清单及工作执行情况）。</w:t>
      </w:r>
    </w:p>
    <w:p>
      <w:pPr>
        <w:spacing w:beforeLines="50" w:line="276" w:lineRule="auto"/>
        <w:ind w:firstLine="420" w:firstLineChars="200"/>
        <w:rPr>
          <w:rFonts w:ascii="宋体" w:hAnsi="宋体"/>
          <w:szCs w:val="21"/>
        </w:rPr>
      </w:pPr>
      <w:r>
        <w:rPr>
          <w:rFonts w:hint="eastAsia" w:ascii="宋体" w:hAnsi="宋体"/>
          <w:szCs w:val="21"/>
        </w:rPr>
        <w:t>（十二）中标人全体管理岗位人员的人身安全及健康状况由中标人负责。</w:t>
      </w:r>
    </w:p>
    <w:p>
      <w:pPr>
        <w:spacing w:beforeLines="50" w:line="276" w:lineRule="auto"/>
        <w:ind w:firstLine="420" w:firstLineChars="200"/>
        <w:rPr>
          <w:rFonts w:ascii="宋体" w:hAnsi="宋体"/>
          <w:szCs w:val="21"/>
        </w:rPr>
      </w:pPr>
      <w:r>
        <w:rPr>
          <w:rFonts w:hint="eastAsia" w:ascii="宋体" w:hAnsi="宋体"/>
          <w:szCs w:val="21"/>
        </w:rPr>
        <w:t>★（十三）中标人提供的管理岗位人员及各项服务费用需经采购人审核。（须提供承诺函）</w:t>
      </w:r>
    </w:p>
    <w:p>
      <w:pPr>
        <w:spacing w:beforeLines="50" w:line="276" w:lineRule="auto"/>
        <w:ind w:firstLine="420" w:firstLineChars="200"/>
        <w:rPr>
          <w:rFonts w:ascii="宋体" w:hAnsi="宋体"/>
          <w:szCs w:val="21"/>
        </w:rPr>
      </w:pPr>
      <w:r>
        <w:rPr>
          <w:rFonts w:hint="eastAsia" w:ascii="宋体" w:hAnsi="宋体"/>
          <w:szCs w:val="21"/>
        </w:rPr>
        <w:t>（十四）合同期满后，中标人与新接管物业管理企业须绝对服从采购人的指挥，进行设备清点、登记、移交，并确保完好无损。不得以任何理由、借口缓交或拒交。</w:t>
      </w:r>
    </w:p>
    <w:p>
      <w:pPr>
        <w:spacing w:beforeLines="50" w:line="276" w:lineRule="auto"/>
        <w:ind w:firstLine="420" w:firstLineChars="200"/>
        <w:rPr>
          <w:rFonts w:ascii="宋体" w:hAnsi="宋体"/>
          <w:szCs w:val="21"/>
        </w:rPr>
      </w:pPr>
      <w:r>
        <w:rPr>
          <w:rFonts w:hint="eastAsia" w:ascii="宋体" w:hAnsi="宋体"/>
          <w:szCs w:val="21"/>
        </w:rPr>
        <w:t>（十五）</w:t>
      </w:r>
      <w:r>
        <w:rPr>
          <w:rFonts w:hint="eastAsia" w:ascii="宋体" w:hAnsi="宋体"/>
          <w:szCs w:val="21"/>
          <w:highlight w:val="red"/>
        </w:rPr>
        <w:t>岗位配置要求</w:t>
      </w:r>
    </w:p>
    <w:p>
      <w:pPr>
        <w:spacing w:beforeLines="50" w:line="276" w:lineRule="auto"/>
        <w:ind w:firstLine="420" w:firstLineChars="200"/>
        <w:rPr>
          <w:rFonts w:ascii="宋体" w:hAnsi="宋体"/>
          <w:szCs w:val="21"/>
        </w:rPr>
      </w:pPr>
      <w:bookmarkStart w:id="70" w:name="_Toc377552351"/>
      <w:r>
        <w:rPr>
          <w:rFonts w:hint="eastAsia" w:ascii="宋体" w:hAnsi="宋体"/>
          <w:szCs w:val="21"/>
        </w:rPr>
        <w:t>1、中标人须按国家有关规定与员工签订劳动合同，并保证所聘人员符合采购人要求。主要管理岗位人员更换，须提前向采购人申请报备，采购人书面同意后才可更换。更换人员的用人标准、资格要求保持不变。</w:t>
      </w:r>
    </w:p>
    <w:p>
      <w:pPr>
        <w:spacing w:beforeLines="50" w:line="276" w:lineRule="auto"/>
        <w:ind w:firstLine="210" w:firstLineChars="100"/>
        <w:rPr>
          <w:rFonts w:ascii="宋体" w:hAnsi="宋体"/>
          <w:szCs w:val="21"/>
          <w:highlight w:val="red"/>
        </w:rPr>
      </w:pPr>
      <w:r>
        <w:rPr>
          <w:rFonts w:hint="eastAsia" w:ascii="宋体" w:hAnsi="宋体"/>
          <w:szCs w:val="21"/>
        </w:rPr>
        <w:t>★</w:t>
      </w:r>
      <w:r>
        <w:rPr>
          <w:rFonts w:hint="eastAsia" w:ascii="宋体" w:hAnsi="宋体"/>
          <w:szCs w:val="21"/>
          <w:highlight w:val="red"/>
        </w:rPr>
        <w:t>2、中标人配备物业管理服务岗位总数量至少14个（实际物业管理服务量根据采购人的服务需要进行调整），调整后的物业管理服务量有增减的，据经采购人及中标人双方确定的实际物业管理服务量进行结算。（须提供承诺函）</w:t>
      </w:r>
    </w:p>
    <w:p>
      <w:pPr>
        <w:spacing w:beforeLines="50" w:line="276" w:lineRule="auto"/>
        <w:ind w:firstLine="420" w:firstLineChars="200"/>
        <w:rPr>
          <w:rFonts w:ascii="宋体" w:hAnsi="宋体"/>
          <w:b/>
          <w:bCs/>
          <w:szCs w:val="21"/>
          <w:highlight w:val="red"/>
        </w:rPr>
      </w:pPr>
      <w:r>
        <w:rPr>
          <w:rFonts w:hint="eastAsia" w:ascii="宋体" w:hAnsi="宋体"/>
          <w:szCs w:val="21"/>
          <w:highlight w:val="red"/>
        </w:rPr>
        <w:t>3、中标人配备具体岗位及岗位服务人员素质要求明细如下：</w:t>
      </w:r>
    </w:p>
    <w:tbl>
      <w:tblPr>
        <w:tblStyle w:val="21"/>
        <w:tblW w:w="7729" w:type="dxa"/>
        <w:jc w:val="center"/>
        <w:tblLayout w:type="fixed"/>
        <w:tblCellMar>
          <w:top w:w="0" w:type="dxa"/>
          <w:left w:w="108" w:type="dxa"/>
          <w:bottom w:w="0" w:type="dxa"/>
          <w:right w:w="108" w:type="dxa"/>
        </w:tblCellMar>
      </w:tblPr>
      <w:tblGrid>
        <w:gridCol w:w="371"/>
        <w:gridCol w:w="946"/>
        <w:gridCol w:w="2627"/>
        <w:gridCol w:w="871"/>
        <w:gridCol w:w="2914"/>
      </w:tblGrid>
      <w:tr>
        <w:tblPrEx>
          <w:tblCellMar>
            <w:top w:w="0" w:type="dxa"/>
            <w:left w:w="108" w:type="dxa"/>
            <w:bottom w:w="0" w:type="dxa"/>
            <w:right w:w="108" w:type="dxa"/>
          </w:tblCellMar>
        </w:tblPrEx>
        <w:trPr>
          <w:trHeight w:val="285" w:hRule="atLeast"/>
          <w:jc w:val="center"/>
        </w:trPr>
        <w:tc>
          <w:tcPr>
            <w:tcW w:w="37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序号</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分项名称</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具体服务内容</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岗位数量（至少配备的岗位数量）</w:t>
            </w:r>
          </w:p>
        </w:tc>
        <w:tc>
          <w:tcPr>
            <w:tcW w:w="29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岗位要求</w:t>
            </w:r>
          </w:p>
        </w:tc>
      </w:tr>
      <w:tr>
        <w:tblPrEx>
          <w:tblCellMar>
            <w:top w:w="0" w:type="dxa"/>
            <w:left w:w="108" w:type="dxa"/>
            <w:bottom w:w="0" w:type="dxa"/>
            <w:right w:w="108" w:type="dxa"/>
          </w:tblCellMar>
        </w:tblPrEx>
        <w:trPr>
          <w:trHeight w:val="285" w:hRule="atLeast"/>
          <w:jc w:val="center"/>
        </w:trPr>
        <w:tc>
          <w:tcPr>
            <w:tcW w:w="37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lang w:eastAsia="zh-CN"/>
              </w:rPr>
              <w:t>保安岗班长</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left"/>
              <w:rPr>
                <w:rFonts w:ascii="宋体" w:hAnsi="宋体" w:cs="宋体"/>
                <w:szCs w:val="21"/>
              </w:rPr>
            </w:pPr>
            <w:r>
              <w:rPr>
                <w:rFonts w:hint="eastAsia" w:ascii="宋体" w:hAnsi="宋体" w:cs="宋体"/>
                <w:szCs w:val="21"/>
              </w:rPr>
              <w:t>1、贯彻执行国家法律、法令以及有关安全保卫方面的规章制度和方针政策；</w:t>
            </w:r>
          </w:p>
          <w:p>
            <w:pPr>
              <w:spacing w:line="276" w:lineRule="auto"/>
              <w:jc w:val="left"/>
              <w:rPr>
                <w:rFonts w:ascii="宋体" w:hAnsi="宋体" w:cs="宋体"/>
                <w:szCs w:val="21"/>
              </w:rPr>
            </w:pPr>
            <w:r>
              <w:rPr>
                <w:rFonts w:hint="eastAsia" w:ascii="宋体" w:hAnsi="宋体" w:cs="宋体"/>
                <w:szCs w:val="21"/>
              </w:rPr>
              <w:t>2、负责项目保安队伍组织建设，人员管理和培训，部门制度建设，保安员绩效考核；</w:t>
            </w:r>
          </w:p>
          <w:p>
            <w:pPr>
              <w:spacing w:line="276" w:lineRule="auto"/>
              <w:jc w:val="left"/>
              <w:rPr>
                <w:rFonts w:ascii="宋体" w:hAnsi="宋体" w:cs="宋体"/>
                <w:szCs w:val="21"/>
              </w:rPr>
            </w:pPr>
            <w:r>
              <w:rPr>
                <w:rFonts w:hint="eastAsia" w:ascii="宋体" w:hAnsi="宋体" w:cs="宋体"/>
                <w:szCs w:val="21"/>
              </w:rPr>
              <w:t>3、负责拟定年度安全、消防工作计划，组织实施日常消防、安全管理；</w:t>
            </w:r>
          </w:p>
          <w:p>
            <w:pPr>
              <w:spacing w:line="276" w:lineRule="auto"/>
              <w:jc w:val="left"/>
              <w:rPr>
                <w:rFonts w:ascii="宋体" w:hAnsi="宋体" w:cs="宋体"/>
                <w:szCs w:val="21"/>
              </w:rPr>
            </w:pPr>
            <w:r>
              <w:rPr>
                <w:rFonts w:hint="eastAsia" w:ascii="宋体" w:hAnsi="宋体" w:cs="宋体"/>
                <w:szCs w:val="21"/>
              </w:rPr>
              <w:t>4、负责拟定消防安全工作的资金投入和组织保障方案；</w:t>
            </w:r>
          </w:p>
          <w:p>
            <w:pPr>
              <w:spacing w:line="276" w:lineRule="auto"/>
              <w:jc w:val="left"/>
              <w:rPr>
                <w:rFonts w:ascii="宋体" w:hAnsi="宋体" w:cs="宋体"/>
                <w:szCs w:val="21"/>
              </w:rPr>
            </w:pPr>
            <w:r>
              <w:rPr>
                <w:rFonts w:hint="eastAsia" w:ascii="宋体" w:hAnsi="宋体" w:cs="宋体"/>
                <w:szCs w:val="21"/>
              </w:rPr>
              <w:t>5、负责制定项目的安全保卫制度和预防措施；</w:t>
            </w:r>
          </w:p>
          <w:p>
            <w:pPr>
              <w:spacing w:line="276" w:lineRule="auto"/>
              <w:jc w:val="left"/>
              <w:rPr>
                <w:rFonts w:ascii="宋体" w:hAnsi="宋体" w:cs="宋体"/>
                <w:szCs w:val="21"/>
              </w:rPr>
            </w:pPr>
            <w:r>
              <w:rPr>
                <w:rFonts w:hint="eastAsia" w:ascii="宋体" w:hAnsi="宋体" w:cs="宋体"/>
                <w:szCs w:val="21"/>
              </w:rPr>
              <w:t>6、组织实施防火检查和火灾隐患的整改工作；</w:t>
            </w:r>
          </w:p>
          <w:p>
            <w:pPr>
              <w:spacing w:line="276" w:lineRule="auto"/>
              <w:jc w:val="left"/>
              <w:rPr>
                <w:rFonts w:ascii="宋体" w:hAnsi="宋体" w:cs="宋体"/>
                <w:szCs w:val="21"/>
              </w:rPr>
            </w:pPr>
            <w:r>
              <w:rPr>
                <w:rFonts w:hint="eastAsia" w:ascii="宋体" w:hAnsi="宋体" w:cs="宋体"/>
                <w:szCs w:val="21"/>
              </w:rPr>
              <w:t>7、负责本部门的各岗位职责的拟定，并定期对下属进行业务培训及业绩评估，提高队伍素质；</w:t>
            </w:r>
          </w:p>
          <w:p>
            <w:pPr>
              <w:spacing w:line="276" w:lineRule="auto"/>
              <w:jc w:val="left"/>
              <w:rPr>
                <w:rFonts w:ascii="宋体" w:hAnsi="宋体" w:cs="宋体"/>
                <w:szCs w:val="21"/>
              </w:rPr>
            </w:pPr>
            <w:r>
              <w:rPr>
                <w:rFonts w:hint="eastAsia" w:ascii="宋体" w:hAnsi="宋体" w:cs="宋体"/>
                <w:szCs w:val="21"/>
              </w:rPr>
              <w:t>8、负责项目整体秩序安全统筹管理；</w:t>
            </w:r>
          </w:p>
          <w:p>
            <w:pPr>
              <w:spacing w:line="276" w:lineRule="auto"/>
              <w:jc w:val="left"/>
              <w:rPr>
                <w:rFonts w:ascii="宋体" w:hAnsi="宋体" w:cs="宋体"/>
                <w:szCs w:val="21"/>
              </w:rPr>
            </w:pPr>
            <w:r>
              <w:rPr>
                <w:rFonts w:hint="eastAsia" w:ascii="宋体" w:hAnsi="宋体" w:cs="宋体"/>
                <w:szCs w:val="21"/>
              </w:rPr>
              <w:t>9、负责项目安全检查，突发应急事件处理；</w:t>
            </w:r>
          </w:p>
          <w:p>
            <w:pPr>
              <w:spacing w:line="276" w:lineRule="auto"/>
              <w:jc w:val="left"/>
              <w:rPr>
                <w:rFonts w:ascii="宋体" w:hAnsi="宋体" w:cs="宋体"/>
                <w:szCs w:val="21"/>
              </w:rPr>
            </w:pPr>
            <w:r>
              <w:rPr>
                <w:rFonts w:hint="eastAsia" w:ascii="宋体" w:hAnsi="宋体" w:cs="宋体"/>
                <w:szCs w:val="21"/>
              </w:rPr>
              <w:t>10、采购人或领导交代的其他事项。</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1个</w:t>
            </w:r>
          </w:p>
        </w:tc>
        <w:tc>
          <w:tcPr>
            <w:tcW w:w="29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left"/>
              <w:rPr>
                <w:rFonts w:ascii="宋体" w:hAnsi="宋体" w:cs="宋体"/>
                <w:szCs w:val="21"/>
              </w:rPr>
            </w:pPr>
            <w:r>
              <w:rPr>
                <w:rFonts w:hint="eastAsia" w:ascii="宋体" w:hAnsi="宋体" w:cs="宋体"/>
                <w:szCs w:val="21"/>
              </w:rPr>
              <w:t>要求在法定退休年龄以下。具有多年相关安保、消防、训练、处理突发事件等工作经验。具有敬业精神和责任感。工作严谨认真。</w:t>
            </w:r>
            <w:r>
              <w:rPr>
                <w:rFonts w:hint="eastAsia" w:ascii="宋体" w:hAnsi="宋体" w:cs="宋体"/>
                <w:szCs w:val="21"/>
                <w:lang w:eastAsia="zh-CN"/>
              </w:rPr>
              <w:t>保安岗班长</w:t>
            </w:r>
            <w:r>
              <w:rPr>
                <w:rFonts w:hint="eastAsia" w:ascii="宋体" w:hAnsi="宋体" w:cs="宋体"/>
                <w:szCs w:val="21"/>
              </w:rPr>
              <w:t>物业管理工作经验不低于2年。</w:t>
            </w:r>
          </w:p>
        </w:tc>
      </w:tr>
      <w:tr>
        <w:tblPrEx>
          <w:tblCellMar>
            <w:top w:w="0" w:type="dxa"/>
            <w:left w:w="108" w:type="dxa"/>
            <w:bottom w:w="0" w:type="dxa"/>
            <w:right w:w="108" w:type="dxa"/>
          </w:tblCellMar>
        </w:tblPrEx>
        <w:trPr>
          <w:trHeight w:val="90" w:hRule="atLeast"/>
          <w:jc w:val="center"/>
        </w:trPr>
        <w:tc>
          <w:tcPr>
            <w:tcW w:w="37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保安岗人员</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本项目内安全防范工作、车辆的停放管理、来访人员指引服务，维护公共秩序、保护公共设施不受人为破坏。</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7个</w:t>
            </w:r>
          </w:p>
        </w:tc>
        <w:tc>
          <w:tcPr>
            <w:tcW w:w="29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left"/>
              <w:rPr>
                <w:rFonts w:ascii="宋体" w:hAnsi="宋体" w:cs="宋体"/>
                <w:szCs w:val="21"/>
              </w:rPr>
            </w:pPr>
            <w:r>
              <w:rPr>
                <w:rFonts w:hint="eastAsia" w:ascii="宋体" w:hAnsi="宋体" w:cs="宋体"/>
                <w:szCs w:val="21"/>
              </w:rPr>
              <w:t>有责任心，形象较好，男性身高不低于168厘米，女性身高不低于158厘米；平均年龄18-50岁；大楼主要出入口岗位的保安员语言表达能力须较好。</w:t>
            </w:r>
          </w:p>
        </w:tc>
      </w:tr>
      <w:tr>
        <w:tblPrEx>
          <w:tblCellMar>
            <w:top w:w="0" w:type="dxa"/>
            <w:left w:w="108" w:type="dxa"/>
            <w:bottom w:w="0" w:type="dxa"/>
            <w:right w:w="108" w:type="dxa"/>
          </w:tblCellMar>
        </w:tblPrEx>
        <w:trPr>
          <w:trHeight w:val="1680" w:hRule="atLeast"/>
          <w:jc w:val="center"/>
        </w:trPr>
        <w:tc>
          <w:tcPr>
            <w:tcW w:w="37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3</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水电岗工人</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本项目内设施设备保证24小时有值班人员进行维护，负责各种设施设备系统的日常巡查、运行值班、养护、修缮，维修、协助配合工作。会议室音响设备及灯光系统调试及配合工作。</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2个</w:t>
            </w:r>
          </w:p>
        </w:tc>
        <w:tc>
          <w:tcPr>
            <w:tcW w:w="29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left"/>
              <w:rPr>
                <w:rFonts w:ascii="宋体" w:hAnsi="宋体" w:cs="宋体"/>
                <w:szCs w:val="21"/>
              </w:rPr>
            </w:pPr>
            <w:r>
              <w:rPr>
                <w:rFonts w:hint="eastAsia" w:ascii="宋体" w:hAnsi="宋体" w:cs="宋体"/>
                <w:szCs w:val="21"/>
              </w:rPr>
              <w:t>要求在法定退休年龄以下。有2年以上相关工作经验，具有相关资格证书。</w:t>
            </w:r>
          </w:p>
        </w:tc>
      </w:tr>
      <w:tr>
        <w:tblPrEx>
          <w:tblCellMar>
            <w:top w:w="0" w:type="dxa"/>
            <w:left w:w="108" w:type="dxa"/>
            <w:bottom w:w="0" w:type="dxa"/>
            <w:right w:w="108" w:type="dxa"/>
          </w:tblCellMar>
        </w:tblPrEx>
        <w:trPr>
          <w:trHeight w:val="1800" w:hRule="atLeast"/>
          <w:jc w:val="center"/>
        </w:trPr>
        <w:tc>
          <w:tcPr>
            <w:tcW w:w="37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4</w:t>
            </w:r>
          </w:p>
        </w:tc>
        <w:tc>
          <w:tcPr>
            <w:tcW w:w="94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保洁岗人员</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实行标准化清扫保洁，对本项目内区域、办公室、会议室、餐厅、停车场等区域进行清扫、保洁、垃圾日产日清，对垃圾进行清运。对不同的装修材料采取相应的特殊保洁护理方法，保持装修材料常用常新。</w:t>
            </w:r>
          </w:p>
        </w:tc>
        <w:tc>
          <w:tcPr>
            <w:tcW w:w="871"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r>
              <w:rPr>
                <w:rFonts w:hint="eastAsia" w:ascii="宋体" w:hAnsi="宋体" w:cs="宋体"/>
                <w:szCs w:val="21"/>
              </w:rPr>
              <w:t>4个</w:t>
            </w:r>
          </w:p>
        </w:tc>
        <w:tc>
          <w:tcPr>
            <w:tcW w:w="29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left"/>
            </w:pPr>
            <w:r>
              <w:rPr>
                <w:rFonts w:hint="eastAsia"/>
              </w:rPr>
              <w:t>要求在法定退休年龄以下，身体健康，能吃苦耐劳，有相关保洁工作经验。</w:t>
            </w:r>
          </w:p>
          <w:p>
            <w:pPr>
              <w:pStyle w:val="2"/>
            </w:pPr>
          </w:p>
        </w:tc>
      </w:tr>
      <w:tr>
        <w:tblPrEx>
          <w:tblCellMar>
            <w:top w:w="0" w:type="dxa"/>
            <w:left w:w="108" w:type="dxa"/>
            <w:bottom w:w="0" w:type="dxa"/>
            <w:right w:w="108" w:type="dxa"/>
          </w:tblCellMar>
        </w:tblPrEx>
        <w:trPr>
          <w:trHeight w:val="1157" w:hRule="atLeast"/>
          <w:jc w:val="center"/>
        </w:trPr>
        <w:tc>
          <w:tcPr>
            <w:tcW w:w="371" w:type="dxa"/>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spacing w:line="276" w:lineRule="auto"/>
              <w:jc w:val="center"/>
            </w:pPr>
          </w:p>
          <w:p>
            <w:pPr>
              <w:pStyle w:val="2"/>
              <w:jc w:val="center"/>
            </w:pPr>
            <w:r>
              <w:rPr>
                <w:rFonts w:hint="eastAsia" w:ascii="宋体" w:hAnsi="宋体" w:eastAsia="宋体" w:cs="宋体"/>
                <w:b w:val="0"/>
                <w:sz w:val="21"/>
                <w:szCs w:val="21"/>
              </w:rPr>
              <w:t>5</w:t>
            </w:r>
          </w:p>
        </w:tc>
        <w:tc>
          <w:tcPr>
            <w:tcW w:w="946" w:type="dxa"/>
            <w:vMerge w:val="restart"/>
            <w:tcBorders>
              <w:top w:val="single" w:color="000000" w:sz="4" w:space="0"/>
              <w:left w:val="single" w:color="000000" w:sz="4" w:space="0"/>
              <w:right w:val="single" w:color="000000" w:sz="4" w:space="0"/>
            </w:tcBorders>
            <w:noWrap/>
            <w:tcMar>
              <w:top w:w="15" w:type="dxa"/>
              <w:left w:w="15" w:type="dxa"/>
              <w:bottom w:w="15" w:type="dxa"/>
              <w:right w:w="15" w:type="dxa"/>
            </w:tcMar>
            <w:vAlign w:val="center"/>
          </w:tcPr>
          <w:p>
            <w:pPr>
              <w:jc w:val="center"/>
              <w:rPr>
                <w:rFonts w:ascii="宋体" w:hAnsi="宋体"/>
                <w:szCs w:val="21"/>
              </w:rPr>
            </w:pPr>
            <w:r>
              <w:rPr>
                <w:rFonts w:hint="eastAsia" w:ascii="宋体" w:hAnsi="宋体"/>
                <w:szCs w:val="21"/>
              </w:rPr>
              <w:t>其他事项</w:t>
            </w:r>
          </w:p>
        </w:tc>
        <w:tc>
          <w:tcPr>
            <w:tcW w:w="3498"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jc w:val="left"/>
              <w:rPr>
                <w:rFonts w:ascii="宋体" w:hAnsi="宋体"/>
                <w:szCs w:val="21"/>
              </w:rPr>
            </w:pPr>
            <w:r>
              <w:rPr>
                <w:rFonts w:hint="eastAsia" w:ascii="宋体" w:hAnsi="宋体"/>
                <w:szCs w:val="21"/>
              </w:rPr>
              <w:t>提供加班服务、年度体检服务（年）</w:t>
            </w:r>
          </w:p>
        </w:tc>
        <w:tc>
          <w:tcPr>
            <w:tcW w:w="29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pStyle w:val="2"/>
            </w:pPr>
            <w:r>
              <w:rPr>
                <w:rFonts w:hint="eastAsia" w:ascii="宋体" w:hAnsi="宋体" w:eastAsia="宋体" w:cs="宋体"/>
                <w:b w:val="0"/>
                <w:sz w:val="21"/>
                <w:szCs w:val="21"/>
              </w:rPr>
              <w:t>因采购人工作需要提供加班服务；对物业管理岗位服务人员提供年度体检服务。</w:t>
            </w:r>
          </w:p>
        </w:tc>
      </w:tr>
      <w:tr>
        <w:tblPrEx>
          <w:tblCellMar>
            <w:top w:w="0" w:type="dxa"/>
            <w:left w:w="108" w:type="dxa"/>
            <w:bottom w:w="0" w:type="dxa"/>
            <w:right w:w="108" w:type="dxa"/>
          </w:tblCellMar>
        </w:tblPrEx>
        <w:trPr>
          <w:trHeight w:val="1025" w:hRule="atLeast"/>
          <w:jc w:val="center"/>
        </w:trPr>
        <w:tc>
          <w:tcPr>
            <w:tcW w:w="371" w:type="dxa"/>
            <w:vMerge w:val="continue"/>
            <w:tcBorders>
              <w:left w:val="single" w:color="000000" w:sz="4" w:space="0"/>
              <w:right w:val="single" w:color="000000" w:sz="4" w:space="0"/>
            </w:tcBorders>
            <w:noWrap/>
            <w:tcMar>
              <w:top w:w="15" w:type="dxa"/>
              <w:left w:w="15" w:type="dxa"/>
              <w:bottom w:w="15" w:type="dxa"/>
              <w:right w:w="15" w:type="dxa"/>
            </w:tcMar>
            <w:vAlign w:val="center"/>
          </w:tcPr>
          <w:p>
            <w:pPr>
              <w:pStyle w:val="2"/>
            </w:pPr>
          </w:p>
        </w:tc>
        <w:tc>
          <w:tcPr>
            <w:tcW w:w="946" w:type="dxa"/>
            <w:vMerge w:val="continue"/>
            <w:tcBorders>
              <w:left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3498"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开展节日慰问服务（年）</w:t>
            </w:r>
          </w:p>
        </w:tc>
        <w:tc>
          <w:tcPr>
            <w:tcW w:w="29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pStyle w:val="2"/>
            </w:pPr>
            <w:r>
              <w:rPr>
                <w:rFonts w:hint="eastAsia" w:ascii="宋体" w:hAnsi="宋体" w:eastAsia="宋体" w:cs="宋体"/>
                <w:b w:val="0"/>
                <w:sz w:val="21"/>
                <w:szCs w:val="21"/>
              </w:rPr>
              <w:t>对物业管理岗位服务人员开展节日慰问</w:t>
            </w:r>
          </w:p>
        </w:tc>
      </w:tr>
      <w:tr>
        <w:tblPrEx>
          <w:tblCellMar>
            <w:top w:w="0" w:type="dxa"/>
            <w:left w:w="108" w:type="dxa"/>
            <w:bottom w:w="0" w:type="dxa"/>
            <w:right w:w="108" w:type="dxa"/>
          </w:tblCellMar>
        </w:tblPrEx>
        <w:trPr>
          <w:trHeight w:val="725" w:hRule="atLeast"/>
          <w:jc w:val="center"/>
        </w:trPr>
        <w:tc>
          <w:tcPr>
            <w:tcW w:w="371" w:type="dxa"/>
            <w:vMerge w:val="continue"/>
            <w:tcBorders>
              <w:left w:val="single" w:color="000000" w:sz="4" w:space="0"/>
              <w:right w:val="single" w:color="000000" w:sz="4" w:space="0"/>
            </w:tcBorders>
            <w:noWrap/>
            <w:tcMar>
              <w:top w:w="15" w:type="dxa"/>
              <w:left w:w="15" w:type="dxa"/>
              <w:bottom w:w="15" w:type="dxa"/>
              <w:right w:w="15" w:type="dxa"/>
            </w:tcMar>
            <w:vAlign w:val="center"/>
          </w:tcPr>
          <w:p>
            <w:pPr>
              <w:pStyle w:val="2"/>
            </w:pPr>
          </w:p>
        </w:tc>
        <w:tc>
          <w:tcPr>
            <w:tcW w:w="946" w:type="dxa"/>
            <w:vMerge w:val="continue"/>
            <w:tcBorders>
              <w:left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3498"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管理服务</w:t>
            </w:r>
          </w:p>
        </w:tc>
        <w:tc>
          <w:tcPr>
            <w:tcW w:w="29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pStyle w:val="2"/>
              <w:jc w:val="center"/>
            </w:pPr>
            <w:r>
              <w:rPr>
                <w:rFonts w:hint="eastAsia" w:ascii="宋体" w:hAnsi="宋体" w:eastAsia="宋体" w:cs="宋体"/>
                <w:b w:val="0"/>
                <w:sz w:val="21"/>
                <w:szCs w:val="21"/>
              </w:rPr>
              <w:t>服务管理费</w:t>
            </w:r>
          </w:p>
        </w:tc>
      </w:tr>
      <w:tr>
        <w:tblPrEx>
          <w:tblCellMar>
            <w:top w:w="0" w:type="dxa"/>
            <w:left w:w="108" w:type="dxa"/>
            <w:bottom w:w="0" w:type="dxa"/>
            <w:right w:w="108" w:type="dxa"/>
          </w:tblCellMar>
        </w:tblPrEx>
        <w:trPr>
          <w:trHeight w:val="605" w:hRule="atLeast"/>
          <w:jc w:val="center"/>
        </w:trPr>
        <w:tc>
          <w:tcPr>
            <w:tcW w:w="371" w:type="dxa"/>
            <w:vMerge w:val="continue"/>
            <w:tcBorders>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pStyle w:val="2"/>
            </w:pPr>
          </w:p>
        </w:tc>
        <w:tc>
          <w:tcPr>
            <w:tcW w:w="946" w:type="dxa"/>
            <w:vMerge w:val="continue"/>
            <w:tcBorders>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center"/>
              <w:rPr>
                <w:rFonts w:ascii="宋体" w:hAnsi="宋体" w:cs="宋体"/>
                <w:szCs w:val="21"/>
              </w:rPr>
            </w:pPr>
          </w:p>
        </w:tc>
        <w:tc>
          <w:tcPr>
            <w:tcW w:w="3498"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其他费用</w:t>
            </w:r>
          </w:p>
        </w:tc>
        <w:tc>
          <w:tcPr>
            <w:tcW w:w="2914"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pStyle w:val="2"/>
              <w:jc w:val="center"/>
            </w:pPr>
            <w:r>
              <w:rPr>
                <w:rFonts w:hint="eastAsia" w:ascii="宋体" w:hAnsi="宋体" w:eastAsia="宋体" w:cs="宋体"/>
                <w:b w:val="0"/>
                <w:sz w:val="21"/>
                <w:szCs w:val="21"/>
              </w:rPr>
              <w:t>其他费用</w:t>
            </w:r>
          </w:p>
        </w:tc>
      </w:tr>
      <w:tr>
        <w:tblPrEx>
          <w:tblCellMar>
            <w:top w:w="0" w:type="dxa"/>
            <w:left w:w="108" w:type="dxa"/>
            <w:bottom w:w="0" w:type="dxa"/>
            <w:right w:w="108" w:type="dxa"/>
          </w:tblCellMar>
        </w:tblPrEx>
        <w:trPr>
          <w:trHeight w:val="315" w:hRule="atLeast"/>
          <w:jc w:val="center"/>
        </w:trPr>
        <w:tc>
          <w:tcPr>
            <w:tcW w:w="7729" w:type="dxa"/>
            <w:gridSpan w:val="5"/>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spacing w:line="276" w:lineRule="auto"/>
              <w:jc w:val="left"/>
              <w:rPr>
                <w:rFonts w:ascii="宋体" w:hAnsi="宋体" w:cs="宋体"/>
                <w:szCs w:val="21"/>
              </w:rPr>
            </w:pPr>
            <w:r>
              <w:rPr>
                <w:rFonts w:hint="eastAsia" w:ascii="宋体" w:hAnsi="宋体"/>
                <w:szCs w:val="21"/>
              </w:rPr>
              <w:t>备注：在项目实施过程中，均可能因法律、法规、政策的调整或岗位变动而发生变化，从而联动引起相关费用计算依据和数值发生变化的，为确保项目顺利实施，以上费用据实结算。</w:t>
            </w:r>
          </w:p>
        </w:tc>
      </w:tr>
    </w:tbl>
    <w:p>
      <w:pPr>
        <w:spacing w:beforeLines="50" w:line="276" w:lineRule="auto"/>
        <w:ind w:firstLine="420" w:firstLineChars="200"/>
        <w:jc w:val="left"/>
        <w:rPr>
          <w:rFonts w:ascii="宋体" w:hAnsi="宋体"/>
          <w:szCs w:val="21"/>
        </w:rPr>
      </w:pPr>
      <w:r>
        <w:rPr>
          <w:rFonts w:hint="eastAsia" w:ascii="宋体" w:hAnsi="宋体" w:cs="宋体"/>
          <w:szCs w:val="21"/>
          <w:highlight w:val="red"/>
        </w:rPr>
        <w:t>以上物业管理岗位服务人员必须身体健康，上岗前须取得正规医院体检的健康证明</w:t>
      </w:r>
      <w:r>
        <w:rPr>
          <w:rFonts w:hint="eastAsia" w:ascii="宋体" w:hAnsi="宋体"/>
          <w:szCs w:val="21"/>
        </w:rPr>
        <w:t>。</w:t>
      </w:r>
    </w:p>
    <w:bookmarkEnd w:id="70"/>
    <w:p>
      <w:pPr>
        <w:spacing w:beforeLines="50" w:line="276" w:lineRule="auto"/>
        <w:ind w:firstLine="420" w:firstLineChars="200"/>
        <w:jc w:val="left"/>
        <w:rPr>
          <w:rFonts w:ascii="宋体" w:hAnsi="宋体"/>
          <w:szCs w:val="21"/>
        </w:rPr>
      </w:pPr>
      <w:r>
        <w:rPr>
          <w:rFonts w:hint="eastAsia" w:ascii="宋体" w:hAnsi="宋体"/>
          <w:szCs w:val="21"/>
        </w:rPr>
        <w:t>（十六）合同签订后1个月内，中标人须向采购人提供本项目所有人员的人事档案资料，包括身份证复印件、体检证明、专业人员证书等。中标人不得伪造人事档案欺骗采购人，如有此种情况发生，采购人有权要求中标人在规定的时间内更换人员，且采购人有权立即解除合同。</w:t>
      </w:r>
    </w:p>
    <w:p>
      <w:pPr>
        <w:spacing w:beforeLines="50" w:line="276" w:lineRule="auto"/>
        <w:ind w:firstLine="420" w:firstLineChars="200"/>
        <w:jc w:val="left"/>
        <w:rPr>
          <w:rFonts w:ascii="宋体" w:hAnsi="宋体"/>
          <w:szCs w:val="21"/>
        </w:rPr>
      </w:pPr>
      <w:r>
        <w:rPr>
          <w:rFonts w:hint="eastAsia" w:ascii="宋体" w:hAnsi="宋体"/>
          <w:szCs w:val="21"/>
        </w:rPr>
        <w:t>★（十七）</w:t>
      </w:r>
      <w:r>
        <w:rPr>
          <w:rFonts w:hint="eastAsia" w:ascii="宋体" w:hAnsi="宋体"/>
          <w:szCs w:val="21"/>
          <w:highlight w:val="red"/>
        </w:rPr>
        <w:t>中标人必须按采购人要求100%配备岗位人员。在合同执行期内如在岗人员少于采购人要求总岗位数量时，中标人须按招标人的岗位服务要求委派相应数量的岗位服务人员，如特殊情况下，短期内出现招工困难（5天内），不得不延长在职人员工时，必须严格按国家劳动法规支付加班费，否则采购人有权按缺员数量和天数进行扣减。（须提供承诺函）。</w:t>
      </w:r>
    </w:p>
    <w:p>
      <w:pPr>
        <w:spacing w:beforeLines="50" w:line="276" w:lineRule="auto"/>
        <w:ind w:firstLine="420" w:firstLineChars="200"/>
        <w:jc w:val="left"/>
        <w:rPr>
          <w:rFonts w:ascii="宋体" w:hAnsi="宋体"/>
          <w:szCs w:val="21"/>
        </w:rPr>
      </w:pPr>
      <w:bookmarkStart w:id="71" w:name="_Toc377552352"/>
      <w:r>
        <w:rPr>
          <w:rFonts w:hint="eastAsia" w:ascii="宋体" w:hAnsi="宋体"/>
          <w:szCs w:val="21"/>
        </w:rPr>
        <w:t>★（十八）房屋修缮及设施设备维护</w:t>
      </w:r>
      <w:bookmarkEnd w:id="71"/>
      <w:r>
        <w:rPr>
          <w:rFonts w:hint="eastAsia" w:ascii="宋体" w:hAnsi="宋体"/>
          <w:szCs w:val="21"/>
        </w:rPr>
        <w:t>（须提供承诺书）</w:t>
      </w:r>
    </w:p>
    <w:p>
      <w:pPr>
        <w:spacing w:beforeLines="50" w:line="276" w:lineRule="auto"/>
        <w:ind w:firstLine="420" w:firstLineChars="200"/>
        <w:jc w:val="left"/>
        <w:rPr>
          <w:rFonts w:ascii="宋体" w:hAnsi="宋体"/>
          <w:szCs w:val="21"/>
        </w:rPr>
      </w:pPr>
      <w:bookmarkStart w:id="72" w:name="_Hlk99115815"/>
      <w:r>
        <w:rPr>
          <w:rFonts w:hint="eastAsia" w:ascii="宋体" w:hAnsi="宋体"/>
          <w:szCs w:val="21"/>
        </w:rPr>
        <w:t>1、本项目范围内的所有房屋修缮及设施设备维护，所使用的材料应保证不低于原有品牌及质量，包括但不限于如下内容：</w:t>
      </w:r>
    </w:p>
    <w:p>
      <w:pPr>
        <w:spacing w:beforeLines="50" w:line="276" w:lineRule="auto"/>
        <w:ind w:firstLine="420" w:firstLineChars="200"/>
        <w:jc w:val="left"/>
        <w:rPr>
          <w:rFonts w:ascii="宋体" w:hAnsi="宋体"/>
          <w:szCs w:val="21"/>
        </w:rPr>
      </w:pPr>
      <w:r>
        <w:rPr>
          <w:rFonts w:hint="eastAsia" w:ascii="宋体" w:hAnsi="宋体"/>
          <w:szCs w:val="21"/>
        </w:rPr>
        <w:t>（1）卫生洁具及其配件；</w:t>
      </w:r>
    </w:p>
    <w:p>
      <w:pPr>
        <w:spacing w:beforeLines="50" w:line="276" w:lineRule="auto"/>
        <w:ind w:firstLine="420" w:firstLineChars="200"/>
        <w:jc w:val="left"/>
        <w:rPr>
          <w:rFonts w:ascii="宋体" w:hAnsi="宋体"/>
          <w:szCs w:val="21"/>
        </w:rPr>
      </w:pPr>
      <w:r>
        <w:rPr>
          <w:rFonts w:hint="eastAsia" w:ascii="宋体" w:hAnsi="宋体"/>
          <w:szCs w:val="21"/>
        </w:rPr>
        <w:t>（2）给排水管道及配件；</w:t>
      </w:r>
    </w:p>
    <w:p>
      <w:pPr>
        <w:spacing w:beforeLines="50" w:line="276" w:lineRule="auto"/>
        <w:ind w:firstLine="420" w:firstLineChars="200"/>
        <w:jc w:val="left"/>
        <w:rPr>
          <w:rFonts w:ascii="宋体" w:hAnsi="宋体"/>
          <w:szCs w:val="21"/>
        </w:rPr>
      </w:pPr>
      <w:r>
        <w:rPr>
          <w:rFonts w:hint="eastAsia" w:ascii="宋体" w:hAnsi="宋体"/>
          <w:szCs w:val="21"/>
        </w:rPr>
        <w:t>（3）照明系统材料；</w:t>
      </w:r>
    </w:p>
    <w:p>
      <w:pPr>
        <w:spacing w:beforeLines="50" w:line="276" w:lineRule="auto"/>
        <w:ind w:firstLine="420" w:firstLineChars="200"/>
        <w:jc w:val="left"/>
        <w:rPr>
          <w:rFonts w:ascii="宋体" w:hAnsi="宋体"/>
          <w:szCs w:val="21"/>
        </w:rPr>
      </w:pPr>
      <w:r>
        <w:rPr>
          <w:rFonts w:hint="eastAsia" w:ascii="宋体" w:hAnsi="宋体"/>
          <w:szCs w:val="21"/>
        </w:rPr>
        <w:t>（4）木、铝门窗的玻璃、铁质及其配件；</w:t>
      </w:r>
    </w:p>
    <w:p>
      <w:pPr>
        <w:spacing w:beforeLines="50" w:line="276" w:lineRule="auto"/>
        <w:ind w:firstLine="420" w:firstLineChars="200"/>
        <w:jc w:val="left"/>
        <w:rPr>
          <w:rFonts w:ascii="宋体" w:hAnsi="宋体"/>
          <w:szCs w:val="21"/>
        </w:rPr>
      </w:pPr>
      <w:r>
        <w:rPr>
          <w:rFonts w:hint="eastAsia" w:ascii="宋体" w:hAnsi="宋体"/>
          <w:szCs w:val="21"/>
        </w:rPr>
        <w:t>（5）排气扇、闭门器；</w:t>
      </w:r>
    </w:p>
    <w:p>
      <w:pPr>
        <w:spacing w:beforeLines="50" w:line="276" w:lineRule="auto"/>
        <w:ind w:firstLine="420" w:firstLineChars="200"/>
        <w:jc w:val="left"/>
        <w:rPr>
          <w:rFonts w:ascii="宋体" w:hAnsi="宋体"/>
          <w:szCs w:val="21"/>
        </w:rPr>
      </w:pPr>
      <w:r>
        <w:rPr>
          <w:rFonts w:hint="eastAsia" w:ascii="宋体" w:hAnsi="宋体"/>
          <w:szCs w:val="21"/>
        </w:rPr>
        <w:t>（6）门锁、会议系统话筒、各类电器遥控器等设备干电池；</w:t>
      </w:r>
    </w:p>
    <w:p>
      <w:pPr>
        <w:spacing w:beforeLines="50" w:line="276" w:lineRule="auto"/>
        <w:ind w:firstLine="420" w:firstLineChars="200"/>
        <w:jc w:val="left"/>
        <w:rPr>
          <w:rFonts w:ascii="宋体" w:hAnsi="宋体"/>
          <w:szCs w:val="21"/>
        </w:rPr>
      </w:pPr>
      <w:r>
        <w:rPr>
          <w:rFonts w:hint="eastAsia" w:ascii="宋体" w:hAnsi="宋体"/>
          <w:szCs w:val="21"/>
        </w:rPr>
        <w:t>（7）消防指示灯、消防应急灯。</w:t>
      </w:r>
    </w:p>
    <w:p>
      <w:pPr>
        <w:spacing w:beforeLines="50" w:line="276" w:lineRule="auto"/>
        <w:ind w:firstLine="420" w:firstLineChars="200"/>
        <w:jc w:val="left"/>
        <w:rPr>
          <w:rFonts w:ascii="宋体" w:hAnsi="宋体"/>
          <w:szCs w:val="21"/>
        </w:rPr>
      </w:pPr>
      <w:r>
        <w:rPr>
          <w:rFonts w:hint="eastAsia" w:ascii="宋体" w:hAnsi="宋体"/>
          <w:szCs w:val="21"/>
        </w:rPr>
        <w:t>2、在房屋修缮及设施设备维护过程中所需的预算费用清单应在实施前交采购人书面确认，其价格应事前由采购人相关人员认可。采购人可对采购产品进行询价，同类、同品牌产品不得高于即时的正常市场价，否则采购人有权拒绝该项报价。在预算范围内每月据实结算一次。</w:t>
      </w:r>
    </w:p>
    <w:p>
      <w:pPr>
        <w:spacing w:beforeLines="50" w:line="276" w:lineRule="auto"/>
        <w:ind w:firstLine="420" w:firstLineChars="200"/>
        <w:jc w:val="left"/>
        <w:rPr>
          <w:rFonts w:ascii="宋体" w:hAnsi="宋体"/>
          <w:szCs w:val="21"/>
        </w:rPr>
      </w:pPr>
      <w:r>
        <w:rPr>
          <w:rFonts w:hint="eastAsia" w:ascii="宋体" w:hAnsi="宋体"/>
          <w:szCs w:val="21"/>
        </w:rPr>
        <w:t>3、在合同履行期间，突发性的维修均应由中标人组织并实施，若因抢修不及时，或者因物业值班人员责任心不强造成损失，由中标人承担一切损失。</w:t>
      </w:r>
    </w:p>
    <w:p>
      <w:pPr>
        <w:spacing w:beforeLines="50" w:line="276" w:lineRule="auto"/>
        <w:ind w:firstLine="420" w:firstLineChars="200"/>
        <w:jc w:val="left"/>
        <w:rPr>
          <w:rFonts w:ascii="宋体" w:hAnsi="宋体"/>
          <w:szCs w:val="21"/>
        </w:rPr>
      </w:pPr>
      <w:r>
        <w:rPr>
          <w:rFonts w:hint="eastAsia" w:ascii="宋体" w:hAnsi="宋体"/>
          <w:szCs w:val="21"/>
        </w:rPr>
        <w:t>4、消防日常维护、空调日常维护保养、视频监控、门禁系统、车牌识别系统日常维护保养、公房零星维修等费用统一由中标人负责承担，费用经采购人确认后据实结算。</w:t>
      </w:r>
      <w:bookmarkEnd w:id="72"/>
    </w:p>
    <w:p>
      <w:pPr>
        <w:spacing w:beforeLines="50" w:line="276" w:lineRule="auto"/>
        <w:ind w:firstLine="420" w:firstLineChars="200"/>
        <w:jc w:val="left"/>
        <w:rPr>
          <w:rFonts w:ascii="宋体" w:hAnsi="宋体"/>
          <w:szCs w:val="21"/>
        </w:rPr>
      </w:pPr>
      <w:r>
        <w:rPr>
          <w:rFonts w:hint="eastAsia" w:ascii="宋体" w:hAnsi="宋体"/>
          <w:szCs w:val="21"/>
        </w:rPr>
        <w:t>（十九）所有委托管理项目中所需用具、材料、工具（含保安队传呼设备、保安器材、维修工具等）的采购和费用均由中标人自行解决。</w:t>
      </w:r>
    </w:p>
    <w:p>
      <w:pPr>
        <w:spacing w:beforeLines="50" w:line="276" w:lineRule="auto"/>
        <w:ind w:firstLine="420" w:firstLineChars="200"/>
        <w:jc w:val="left"/>
        <w:rPr>
          <w:rFonts w:ascii="宋体" w:hAnsi="宋体"/>
          <w:szCs w:val="21"/>
        </w:rPr>
      </w:pPr>
      <w:r>
        <w:rPr>
          <w:rFonts w:hint="eastAsia" w:ascii="宋体" w:hAnsi="宋体"/>
          <w:szCs w:val="21"/>
        </w:rPr>
        <w:t>（二十）公用水电费用由采购人承担。（包括卫生间、绿化、空调、清洁卫生、生活等各类用水；消防、水泵、照明、电梯、各类机电设备等各类用电）。</w:t>
      </w:r>
    </w:p>
    <w:p>
      <w:pPr>
        <w:spacing w:beforeLines="50" w:line="276" w:lineRule="auto"/>
        <w:ind w:firstLine="420" w:firstLineChars="200"/>
        <w:jc w:val="left"/>
        <w:rPr>
          <w:rFonts w:ascii="宋体" w:hAnsi="宋体"/>
          <w:szCs w:val="21"/>
        </w:rPr>
      </w:pPr>
      <w:r>
        <w:rPr>
          <w:rFonts w:hint="eastAsia" w:ascii="宋体" w:hAnsi="宋体"/>
          <w:szCs w:val="21"/>
        </w:rPr>
        <w:t>★（二十一）本项目绿化管理范围包括所有室内摆设植物、室外的绿地、花木等的养护和管理。</w:t>
      </w:r>
      <w:r>
        <w:rPr>
          <w:rFonts w:hint="eastAsia" w:ascii="宋体" w:hAnsi="宋体"/>
          <w:szCs w:val="21"/>
          <w:highlight w:val="red"/>
        </w:rPr>
        <w:t>绿化管理所需一切费用包含在本项目预算中，中标人不得另行追加任何费用。中标后摆设植物种类、数量不得低于现有标准</w:t>
      </w:r>
      <w:r>
        <w:rPr>
          <w:rFonts w:hint="eastAsia" w:ascii="宋体" w:hAnsi="宋体"/>
          <w:szCs w:val="21"/>
        </w:rPr>
        <w:t>，同规格植物间采购人可以自由选定或更换植物种类，并按照采购人需要进行补充，所需摆设植物的采购、摆设及养护管理等所有费用由中标人承担。（须提供承诺书）</w:t>
      </w:r>
    </w:p>
    <w:p>
      <w:pPr>
        <w:spacing w:beforeLines="50" w:line="276" w:lineRule="auto"/>
        <w:ind w:firstLine="412" w:firstLineChars="200"/>
        <w:jc w:val="left"/>
        <w:rPr>
          <w:rFonts w:ascii="宋体" w:hAnsi="宋体"/>
          <w:szCs w:val="21"/>
        </w:rPr>
      </w:pPr>
      <w:r>
        <w:rPr>
          <w:rFonts w:hint="eastAsia" w:ascii="宋体" w:hAnsi="宋体" w:cs="宋体"/>
          <w:spacing w:val="-2"/>
          <w:szCs w:val="21"/>
        </w:rPr>
        <w:t>▲</w:t>
      </w:r>
      <w:r>
        <w:rPr>
          <w:rFonts w:hint="eastAsia" w:ascii="宋体" w:hAnsi="宋体"/>
          <w:szCs w:val="21"/>
        </w:rPr>
        <w:t>（二十二）楼宇设备维护资质要求：本项目内所有设施设备的维护由中标人负责。中标人不得将本物业管理项目整体转包给其他单位，一些分项专业的，根据行业情况确需将专业项目分包给其它具备相应资质的第三方单位，必须事先提出申请并提供第三方单位的资质经采购人书面同意。中标人与第三方单位对承包的项目承担连带责任。为保障物业外包项目的服务质量达到采购人要求，中标人所有外包项目合同须交采购人备案，否则采购人有权要求中标人承担违约责任及终止合同。中标人如不能及时提供服务的，则采购人可自行聘请具有相关服务力量的服务商提供服务，所发生的费用由中标人全额承担。</w:t>
      </w:r>
    </w:p>
    <w:p>
      <w:pPr>
        <w:spacing w:beforeLines="50" w:line="276" w:lineRule="auto"/>
        <w:ind w:firstLine="420" w:firstLineChars="200"/>
        <w:jc w:val="left"/>
        <w:rPr>
          <w:rFonts w:ascii="宋体" w:hAnsi="宋体"/>
          <w:szCs w:val="21"/>
        </w:rPr>
      </w:pPr>
      <w:r>
        <w:rPr>
          <w:rFonts w:hint="eastAsia" w:ascii="宋体" w:hAnsi="宋体"/>
          <w:szCs w:val="21"/>
        </w:rPr>
        <w:t>主要设施设备维护及资质要求如下：</w:t>
      </w:r>
    </w:p>
    <w:p>
      <w:pPr>
        <w:spacing w:beforeLines="50" w:line="276" w:lineRule="auto"/>
        <w:ind w:firstLine="420" w:firstLineChars="200"/>
        <w:jc w:val="left"/>
        <w:rPr>
          <w:rFonts w:ascii="宋体" w:hAnsi="宋体"/>
          <w:szCs w:val="21"/>
        </w:rPr>
      </w:pPr>
      <w:r>
        <w:rPr>
          <w:rFonts w:hint="eastAsia" w:ascii="宋体" w:hAnsi="宋体"/>
          <w:szCs w:val="21"/>
        </w:rPr>
        <w:t>1、强电：电力工程施工总承包资质三级（或以上），并在供电部门进行报备承装（安装）、修（维修）、试（测试）五级以上的公司；</w:t>
      </w:r>
    </w:p>
    <w:p>
      <w:pPr>
        <w:spacing w:beforeLines="50" w:line="276" w:lineRule="auto"/>
        <w:ind w:firstLine="420" w:firstLineChars="200"/>
        <w:jc w:val="left"/>
        <w:rPr>
          <w:rFonts w:ascii="宋体" w:hAnsi="宋体"/>
          <w:szCs w:val="21"/>
        </w:rPr>
      </w:pPr>
      <w:r>
        <w:rPr>
          <w:rFonts w:hint="eastAsia" w:ascii="宋体" w:hAnsi="宋体"/>
          <w:szCs w:val="21"/>
        </w:rPr>
        <w:t>2、电梯：特种设备安装改造维修许可证（电梯）安装、维修A级；</w:t>
      </w:r>
    </w:p>
    <w:p>
      <w:pPr>
        <w:spacing w:beforeLines="50" w:line="276" w:lineRule="auto"/>
        <w:ind w:firstLine="420" w:firstLineChars="200"/>
        <w:jc w:val="left"/>
        <w:rPr>
          <w:rFonts w:ascii="宋体" w:hAnsi="宋体"/>
          <w:szCs w:val="21"/>
        </w:rPr>
      </w:pPr>
      <w:r>
        <w:rPr>
          <w:rFonts w:hint="eastAsia" w:ascii="宋体" w:hAnsi="宋体"/>
          <w:szCs w:val="21"/>
        </w:rPr>
        <w:t>3、消防：消防设施工程专业承包资质二级（或以上）；</w:t>
      </w:r>
    </w:p>
    <w:p>
      <w:pPr>
        <w:spacing w:beforeLines="50" w:line="276" w:lineRule="auto"/>
        <w:ind w:firstLine="420" w:firstLineChars="200"/>
        <w:jc w:val="left"/>
        <w:rPr>
          <w:rFonts w:ascii="宋体" w:hAnsi="宋体"/>
          <w:szCs w:val="21"/>
        </w:rPr>
      </w:pPr>
      <w:r>
        <w:rPr>
          <w:rFonts w:hint="eastAsia" w:ascii="宋体" w:hAnsi="宋体"/>
          <w:szCs w:val="21"/>
        </w:rPr>
        <w:t>4、防盗及闭路电视监控系统；</w:t>
      </w:r>
    </w:p>
    <w:p>
      <w:pPr>
        <w:spacing w:beforeLines="50" w:line="276" w:lineRule="auto"/>
        <w:ind w:firstLine="420" w:firstLineChars="200"/>
        <w:jc w:val="left"/>
        <w:rPr>
          <w:rFonts w:ascii="宋体" w:hAnsi="宋体"/>
          <w:szCs w:val="21"/>
        </w:rPr>
      </w:pPr>
      <w:r>
        <w:rPr>
          <w:rFonts w:hint="eastAsia" w:ascii="宋体" w:hAnsi="宋体"/>
          <w:szCs w:val="21"/>
        </w:rPr>
        <w:t>5、弱电智能化系统设施设备（包括“门禁”系统、各楼层会议音响系统、道闸系统）</w:t>
      </w:r>
    </w:p>
    <w:p>
      <w:pPr>
        <w:spacing w:beforeLines="50" w:line="276" w:lineRule="auto"/>
        <w:ind w:firstLine="420" w:firstLineChars="200"/>
        <w:jc w:val="left"/>
        <w:rPr>
          <w:rFonts w:ascii="宋体" w:hAnsi="宋体"/>
          <w:szCs w:val="21"/>
        </w:rPr>
      </w:pPr>
      <w:r>
        <w:rPr>
          <w:rFonts w:hint="eastAsia" w:ascii="宋体" w:hAnsi="宋体"/>
          <w:szCs w:val="21"/>
        </w:rPr>
        <w:t>6、其他需要维护的设施设备等。</w:t>
      </w:r>
    </w:p>
    <w:p>
      <w:pPr>
        <w:spacing w:beforeLines="50" w:line="276" w:lineRule="auto"/>
        <w:ind w:firstLine="420" w:firstLineChars="200"/>
        <w:jc w:val="left"/>
        <w:rPr>
          <w:rFonts w:ascii="宋体" w:hAnsi="宋体"/>
          <w:szCs w:val="21"/>
        </w:rPr>
      </w:pPr>
      <w:r>
        <w:rPr>
          <w:rFonts w:hint="eastAsia" w:ascii="宋体" w:hAnsi="宋体"/>
          <w:szCs w:val="21"/>
        </w:rPr>
        <w:t>（二十三）档案资料管理：</w:t>
      </w:r>
    </w:p>
    <w:p>
      <w:pPr>
        <w:spacing w:beforeLines="50" w:line="276" w:lineRule="auto"/>
        <w:ind w:firstLine="420" w:firstLineChars="200"/>
        <w:jc w:val="left"/>
        <w:rPr>
          <w:rFonts w:ascii="宋体" w:hAnsi="宋体"/>
          <w:szCs w:val="21"/>
        </w:rPr>
      </w:pPr>
      <w:r>
        <w:rPr>
          <w:rFonts w:hint="eastAsia" w:ascii="宋体" w:hAnsi="宋体"/>
          <w:szCs w:val="21"/>
        </w:rPr>
        <w:t>1、中标人要建立资料的收集、分类整理、归档管理制度。对以下的所有档案资料，采购人有权随时调阅、查阅、复印。对所有原始档案资料在合同期内，中标人必须严格管理。</w:t>
      </w:r>
    </w:p>
    <w:p>
      <w:pPr>
        <w:spacing w:beforeLines="50" w:line="276" w:lineRule="auto"/>
        <w:ind w:firstLine="420" w:firstLineChars="200"/>
        <w:jc w:val="left"/>
        <w:rPr>
          <w:rFonts w:ascii="宋体" w:hAnsi="宋体"/>
          <w:szCs w:val="21"/>
        </w:rPr>
      </w:pPr>
      <w:r>
        <w:rPr>
          <w:rFonts w:hint="eastAsia" w:ascii="宋体" w:hAnsi="宋体"/>
          <w:szCs w:val="21"/>
        </w:rPr>
        <w:t>2、在日常管理中要建立交接班、设施设备故障与维修、保养等登记制度。</w:t>
      </w:r>
    </w:p>
    <w:p>
      <w:pPr>
        <w:spacing w:beforeLines="50" w:line="276" w:lineRule="auto"/>
        <w:ind w:firstLine="420" w:firstLineChars="200"/>
        <w:jc w:val="left"/>
        <w:rPr>
          <w:rFonts w:ascii="宋体" w:hAnsi="宋体"/>
          <w:szCs w:val="21"/>
        </w:rPr>
      </w:pPr>
      <w:r>
        <w:rPr>
          <w:rFonts w:hint="eastAsia" w:ascii="宋体" w:hAnsi="宋体"/>
          <w:szCs w:val="21"/>
        </w:rPr>
        <w:t>3、档案资料包括：与物业相关的工程图纸、档案和竣工验收资料：实施管理和服务工作中的各种制度、规程、流程、记录、图表、函件等。</w:t>
      </w:r>
    </w:p>
    <w:p>
      <w:pPr>
        <w:spacing w:beforeLines="50" w:line="276" w:lineRule="auto"/>
        <w:ind w:firstLine="420" w:firstLineChars="200"/>
        <w:jc w:val="left"/>
        <w:rPr>
          <w:rFonts w:ascii="宋体" w:hAnsi="宋体"/>
          <w:szCs w:val="21"/>
        </w:rPr>
      </w:pPr>
      <w:r>
        <w:rPr>
          <w:rFonts w:hint="eastAsia" w:ascii="宋体" w:hAnsi="宋体"/>
          <w:szCs w:val="21"/>
        </w:rPr>
        <w:t>4、中标人须向采购人提供相关外包服务项目合同复印件。</w:t>
      </w:r>
    </w:p>
    <w:p>
      <w:pPr>
        <w:spacing w:beforeLines="50" w:line="276" w:lineRule="auto"/>
        <w:ind w:firstLine="420" w:firstLineChars="200"/>
        <w:jc w:val="left"/>
        <w:rPr>
          <w:rFonts w:ascii="宋体" w:hAnsi="宋体"/>
          <w:szCs w:val="21"/>
        </w:rPr>
      </w:pPr>
      <w:r>
        <w:rPr>
          <w:rFonts w:hint="eastAsia" w:ascii="宋体" w:hAnsi="宋体"/>
          <w:szCs w:val="21"/>
        </w:rPr>
        <w:t>5、中标人应做好相关档案资料的保密工作，禁止泄密。</w:t>
      </w:r>
    </w:p>
    <w:p>
      <w:pPr>
        <w:spacing w:beforeLines="50" w:line="276" w:lineRule="auto"/>
        <w:ind w:firstLine="420" w:firstLineChars="200"/>
        <w:jc w:val="left"/>
        <w:rPr>
          <w:rFonts w:ascii="宋体" w:hAnsi="宋体"/>
          <w:szCs w:val="21"/>
        </w:rPr>
      </w:pPr>
      <w:r>
        <w:rPr>
          <w:rFonts w:hint="eastAsia" w:ascii="宋体" w:hAnsi="宋体"/>
          <w:szCs w:val="21"/>
        </w:rPr>
        <w:t>（二十四）其它事项要求</w:t>
      </w:r>
    </w:p>
    <w:p>
      <w:pPr>
        <w:spacing w:beforeLines="50" w:line="276" w:lineRule="auto"/>
        <w:ind w:firstLine="420" w:firstLineChars="200"/>
        <w:jc w:val="left"/>
        <w:rPr>
          <w:rFonts w:ascii="宋体" w:hAnsi="宋体"/>
          <w:szCs w:val="21"/>
        </w:rPr>
      </w:pPr>
      <w:r>
        <w:rPr>
          <w:rFonts w:hint="eastAsia" w:ascii="宋体" w:hAnsi="宋体"/>
          <w:szCs w:val="21"/>
        </w:rPr>
        <w:t>1、协助采购人管理政府资产。</w:t>
      </w:r>
    </w:p>
    <w:p>
      <w:pPr>
        <w:spacing w:beforeLines="50" w:line="276" w:lineRule="auto"/>
        <w:ind w:firstLine="420" w:firstLineChars="200"/>
        <w:jc w:val="left"/>
        <w:rPr>
          <w:rFonts w:ascii="宋体" w:hAnsi="宋体"/>
          <w:szCs w:val="21"/>
        </w:rPr>
      </w:pPr>
      <w:r>
        <w:rPr>
          <w:rFonts w:hint="eastAsia" w:ascii="宋体" w:hAnsi="宋体"/>
          <w:szCs w:val="21"/>
        </w:rPr>
        <w:t>2、协助采购人办理办公用房交接登记。</w:t>
      </w:r>
    </w:p>
    <w:p>
      <w:pPr>
        <w:spacing w:beforeLines="50" w:line="276" w:lineRule="auto"/>
        <w:ind w:firstLine="420" w:firstLineChars="200"/>
        <w:jc w:val="left"/>
        <w:rPr>
          <w:rFonts w:ascii="宋体" w:hAnsi="宋体"/>
          <w:szCs w:val="21"/>
        </w:rPr>
      </w:pPr>
      <w:r>
        <w:rPr>
          <w:rFonts w:hint="eastAsia" w:ascii="宋体" w:hAnsi="宋体"/>
          <w:szCs w:val="21"/>
        </w:rPr>
        <w:t>3、协助采购人及办公单位临时搬运物资。</w:t>
      </w:r>
    </w:p>
    <w:p>
      <w:pPr>
        <w:spacing w:beforeLines="50" w:line="276" w:lineRule="auto"/>
        <w:ind w:firstLine="420" w:firstLineChars="200"/>
        <w:jc w:val="left"/>
        <w:rPr>
          <w:rFonts w:ascii="宋体" w:hAnsi="宋体"/>
          <w:szCs w:val="21"/>
        </w:rPr>
      </w:pPr>
      <w:r>
        <w:rPr>
          <w:rFonts w:hint="eastAsia" w:ascii="宋体" w:hAnsi="宋体"/>
          <w:szCs w:val="21"/>
        </w:rPr>
        <w:t>4、按采购人要求完成重要节日张挂工作。</w:t>
      </w:r>
    </w:p>
    <w:p>
      <w:pPr>
        <w:spacing w:beforeLines="50" w:line="276" w:lineRule="auto"/>
        <w:ind w:firstLine="420" w:firstLineChars="200"/>
        <w:jc w:val="left"/>
        <w:rPr>
          <w:rFonts w:ascii="宋体" w:hAnsi="宋体"/>
          <w:szCs w:val="21"/>
        </w:rPr>
      </w:pPr>
      <w:r>
        <w:rPr>
          <w:rFonts w:hint="eastAsia" w:ascii="宋体" w:hAnsi="宋体"/>
          <w:szCs w:val="21"/>
        </w:rPr>
        <w:t>5、其它临时性的事务。</w:t>
      </w:r>
    </w:p>
    <w:p>
      <w:pPr>
        <w:spacing w:beforeLines="50" w:line="276" w:lineRule="auto"/>
        <w:ind w:firstLine="412" w:firstLineChars="200"/>
        <w:jc w:val="left"/>
        <w:rPr>
          <w:rFonts w:ascii="宋体" w:hAnsi="宋体"/>
          <w:szCs w:val="21"/>
        </w:rPr>
      </w:pPr>
      <w:r>
        <w:rPr>
          <w:rFonts w:hint="eastAsia" w:ascii="宋体" w:hAnsi="宋体" w:cs="宋体"/>
          <w:spacing w:val="-2"/>
          <w:szCs w:val="21"/>
        </w:rPr>
        <w:t>▲</w:t>
      </w:r>
      <w:r>
        <w:rPr>
          <w:rFonts w:hint="eastAsia" w:ascii="宋体" w:hAnsi="宋体"/>
          <w:szCs w:val="21"/>
        </w:rPr>
        <w:t>（二十五）采购人可随时检查中标人人员的工作，并可随时要求中标人更换工作人员，中标人应当及时执行。</w:t>
      </w:r>
    </w:p>
    <w:p>
      <w:pPr>
        <w:spacing w:beforeLines="50" w:line="276" w:lineRule="auto"/>
        <w:ind w:firstLine="420" w:firstLineChars="200"/>
        <w:jc w:val="left"/>
        <w:rPr>
          <w:rFonts w:ascii="宋体" w:hAnsi="宋体"/>
          <w:szCs w:val="21"/>
        </w:rPr>
      </w:pPr>
      <w:r>
        <w:rPr>
          <w:rFonts w:hint="eastAsia" w:ascii="宋体" w:hAnsi="宋体"/>
          <w:szCs w:val="21"/>
        </w:rPr>
        <w:t>（二十六）中标人的服务质量应符合招标文件、中标文件、本合同等约定的标准，否则采购人有权要求中标人整改，中标人应当及时执行，由此产生的一切费用，以及给采购人造成的损失，均由中标人承担。</w:t>
      </w:r>
    </w:p>
    <w:p>
      <w:pPr>
        <w:spacing w:beforeLines="50" w:line="276" w:lineRule="auto"/>
        <w:ind w:firstLine="420" w:firstLineChars="200"/>
        <w:jc w:val="left"/>
        <w:rPr>
          <w:rFonts w:ascii="宋体" w:hAnsi="宋体"/>
          <w:szCs w:val="21"/>
        </w:rPr>
      </w:pPr>
      <w:r>
        <w:rPr>
          <w:rFonts w:hint="eastAsia" w:ascii="宋体" w:hAnsi="宋体"/>
          <w:szCs w:val="21"/>
        </w:rPr>
        <w:t>（二十七）中标人服务期间应落实安全生产措施，如中标人人员在服务过程中造成自身、采购人或第三人的人身和财产损害的，由中标人承担约定和法定责任。</w:t>
      </w:r>
    </w:p>
    <w:p>
      <w:pPr>
        <w:spacing w:beforeLines="50" w:line="276" w:lineRule="auto"/>
        <w:ind w:firstLine="420" w:firstLineChars="200"/>
        <w:jc w:val="left"/>
        <w:rPr>
          <w:rFonts w:ascii="宋体" w:hAnsi="宋体"/>
          <w:szCs w:val="21"/>
        </w:rPr>
      </w:pPr>
      <w:r>
        <w:rPr>
          <w:rFonts w:hint="eastAsia" w:ascii="宋体" w:hAnsi="宋体"/>
          <w:szCs w:val="21"/>
        </w:rPr>
        <w:t>（二十八）中标人违反招标文件、中标文件、本合同等约定的，采购人有权立即聘请第三方提供本合同项下的服务，由此产生的一切费用由中标人承担，同时采购人可从中标人应取得的合同款中予以扣减。</w:t>
      </w:r>
    </w:p>
    <w:p>
      <w:pPr>
        <w:spacing w:beforeLines="50" w:line="276" w:lineRule="auto"/>
        <w:ind w:firstLine="420" w:firstLineChars="200"/>
        <w:jc w:val="left"/>
        <w:rPr>
          <w:rFonts w:ascii="宋体" w:hAnsi="宋体"/>
          <w:szCs w:val="21"/>
        </w:rPr>
      </w:pPr>
      <w:r>
        <w:rPr>
          <w:rFonts w:ascii="宋体" w:hAnsi="宋体"/>
          <w:szCs w:val="21"/>
        </w:rPr>
        <w:t>★</w:t>
      </w:r>
      <w:r>
        <w:rPr>
          <w:rFonts w:hint="eastAsia" w:ascii="宋体" w:hAnsi="宋体"/>
          <w:szCs w:val="21"/>
        </w:rPr>
        <w:t>（二十九）</w:t>
      </w:r>
      <w:r>
        <w:rPr>
          <w:rFonts w:ascii="宋体" w:hAnsi="宋体"/>
          <w:szCs w:val="21"/>
        </w:rPr>
        <w:t>中标人须承诺</w:t>
      </w:r>
      <w:r>
        <w:rPr>
          <w:rFonts w:hint="eastAsia" w:ascii="宋体" w:hAnsi="宋体"/>
          <w:szCs w:val="21"/>
        </w:rPr>
        <w:t>所</w:t>
      </w:r>
      <w:r>
        <w:rPr>
          <w:rFonts w:ascii="宋体" w:hAnsi="宋体"/>
          <w:szCs w:val="21"/>
        </w:rPr>
        <w:t>提供</w:t>
      </w:r>
      <w:r>
        <w:rPr>
          <w:rFonts w:hint="eastAsia" w:ascii="宋体" w:hAnsi="宋体"/>
          <w:szCs w:val="21"/>
        </w:rPr>
        <w:t>的</w:t>
      </w:r>
      <w:r>
        <w:rPr>
          <w:rFonts w:ascii="宋体" w:hAnsi="宋体"/>
          <w:szCs w:val="21"/>
        </w:rPr>
        <w:t>装备和配置满足服务工作需求</w:t>
      </w:r>
      <w:r>
        <w:rPr>
          <w:rFonts w:hint="eastAsia" w:ascii="宋体" w:hAnsi="宋体"/>
          <w:szCs w:val="21"/>
        </w:rPr>
        <w:t>，且须经采购人审核后才能使用。中标人须提供</w:t>
      </w:r>
      <w:r>
        <w:rPr>
          <w:rFonts w:ascii="宋体" w:hAnsi="宋体"/>
          <w:szCs w:val="21"/>
        </w:rPr>
        <w:t>足够数量的作业机具、物品、物料等，其包括工作人员的制服、鞋帽等劳动、劳保日常必备的各种用具用品；人脸或指纹考勤</w:t>
      </w:r>
      <w:r>
        <w:rPr>
          <w:rFonts w:hint="eastAsia" w:ascii="宋体" w:hAnsi="宋体"/>
          <w:szCs w:val="21"/>
        </w:rPr>
        <w:t>设备；</w:t>
      </w:r>
      <w:r>
        <w:rPr>
          <w:rFonts w:ascii="宋体" w:hAnsi="宋体"/>
          <w:szCs w:val="21"/>
        </w:rPr>
        <w:t>对讲机（当班在岗员工每人1部）；成套保安器械、各种度、测量（器）仪。（</w:t>
      </w:r>
      <w:r>
        <w:rPr>
          <w:rFonts w:hint="eastAsia" w:ascii="宋体" w:hAnsi="宋体"/>
          <w:szCs w:val="21"/>
        </w:rPr>
        <w:t>须</w:t>
      </w:r>
      <w:r>
        <w:rPr>
          <w:rFonts w:ascii="宋体" w:hAnsi="宋体"/>
          <w:szCs w:val="21"/>
        </w:rPr>
        <w:t>提供承诺</w:t>
      </w:r>
      <w:r>
        <w:rPr>
          <w:rFonts w:hint="eastAsia" w:ascii="宋体" w:hAnsi="宋体"/>
          <w:szCs w:val="21"/>
        </w:rPr>
        <w:t>书</w:t>
      </w:r>
      <w:r>
        <w:rPr>
          <w:rFonts w:ascii="宋体" w:hAnsi="宋体"/>
          <w:szCs w:val="21"/>
        </w:rPr>
        <w:t>）</w:t>
      </w:r>
    </w:p>
    <w:p>
      <w:pPr>
        <w:snapToGrid w:val="0"/>
        <w:spacing w:line="396" w:lineRule="auto"/>
        <w:outlineLvl w:val="1"/>
        <w:rPr>
          <w:rFonts w:ascii="黑体" w:hAnsi="黑体" w:eastAsia="黑体" w:cs="黑体"/>
          <w:sz w:val="32"/>
          <w:szCs w:val="32"/>
        </w:rPr>
      </w:pPr>
      <w:r>
        <w:rPr>
          <w:rFonts w:hint="eastAsia" w:ascii="黑体" w:hAnsi="黑体" w:eastAsia="黑体" w:cs="黑体"/>
          <w:sz w:val="32"/>
          <w:szCs w:val="32"/>
        </w:rPr>
        <w:t>六、其他要求</w:t>
      </w:r>
    </w:p>
    <w:p>
      <w:pPr>
        <w:spacing w:line="276" w:lineRule="auto"/>
        <w:ind w:firstLine="422" w:firstLineChars="200"/>
        <w:outlineLvl w:val="1"/>
        <w:rPr>
          <w:rFonts w:ascii="宋体" w:hAnsi="宋体" w:cs="宋体"/>
          <w:b/>
          <w:bCs/>
          <w:szCs w:val="21"/>
        </w:rPr>
      </w:pPr>
      <w:r>
        <w:rPr>
          <w:rFonts w:hint="eastAsia" w:ascii="宋体" w:hAnsi="宋体" w:cs="宋体"/>
          <w:b/>
          <w:bCs/>
          <w:szCs w:val="21"/>
        </w:rPr>
        <w:t>（一）</w:t>
      </w:r>
      <w:r>
        <w:rPr>
          <w:rFonts w:ascii="宋体" w:hAnsi="宋体" w:cs="宋体"/>
          <w:b/>
          <w:bCs/>
          <w:szCs w:val="21"/>
        </w:rPr>
        <w:t>合同</w:t>
      </w:r>
      <w:r>
        <w:rPr>
          <w:rFonts w:hint="eastAsia" w:ascii="宋体" w:hAnsi="宋体" w:cs="宋体"/>
          <w:b/>
          <w:bCs/>
          <w:szCs w:val="21"/>
        </w:rPr>
        <w:t>签订</w:t>
      </w:r>
    </w:p>
    <w:p>
      <w:pPr>
        <w:spacing w:beforeLines="50" w:line="276" w:lineRule="auto"/>
        <w:ind w:left="1" w:right="78" w:firstLine="420" w:firstLineChars="200"/>
        <w:rPr>
          <w:rFonts w:ascii="宋体" w:hAnsi="宋体" w:cs="宋体"/>
          <w:szCs w:val="21"/>
        </w:rPr>
      </w:pPr>
      <w:r>
        <w:rPr>
          <w:rFonts w:ascii="宋体" w:hAnsi="宋体" w:cs="宋体"/>
          <w:szCs w:val="21"/>
        </w:rPr>
        <w:t>中标人根据招标文件及投标文件内容，依据相关法律法规在规定时间内与采购人签订物业管理服</w:t>
      </w:r>
      <w:r>
        <w:rPr>
          <w:rFonts w:ascii="宋体" w:hAnsi="宋体" w:cs="宋体"/>
          <w:spacing w:val="-1"/>
          <w:szCs w:val="21"/>
        </w:rPr>
        <w:t>务合同。</w:t>
      </w:r>
    </w:p>
    <w:p>
      <w:pPr>
        <w:spacing w:line="276" w:lineRule="auto"/>
        <w:ind w:firstLine="422" w:firstLineChars="200"/>
        <w:outlineLvl w:val="1"/>
        <w:rPr>
          <w:rFonts w:ascii="宋体" w:hAnsi="宋体" w:cs="宋体"/>
          <w:b/>
          <w:bCs/>
          <w:szCs w:val="21"/>
        </w:rPr>
      </w:pPr>
      <w:r>
        <w:rPr>
          <w:rFonts w:hint="eastAsia" w:ascii="宋体" w:hAnsi="宋体" w:cs="宋体"/>
          <w:b/>
          <w:bCs/>
          <w:szCs w:val="21"/>
        </w:rPr>
        <w:t>（二）结算方式及</w:t>
      </w:r>
      <w:r>
        <w:rPr>
          <w:rFonts w:ascii="宋体" w:hAnsi="宋体" w:cs="宋体"/>
          <w:b/>
          <w:bCs/>
          <w:szCs w:val="21"/>
        </w:rPr>
        <w:t>付款方式</w:t>
      </w:r>
    </w:p>
    <w:p>
      <w:pPr>
        <w:spacing w:line="276" w:lineRule="auto"/>
        <w:ind w:firstLine="420" w:firstLineChars="200"/>
        <w:outlineLvl w:val="1"/>
        <w:rPr>
          <w:rFonts w:ascii="宋体" w:hAnsi="宋体" w:cs="宋体"/>
          <w:szCs w:val="21"/>
        </w:rPr>
      </w:pPr>
      <w:r>
        <w:rPr>
          <w:rFonts w:hint="eastAsia" w:ascii="宋体" w:hAnsi="宋体" w:cs="宋体"/>
          <w:szCs w:val="21"/>
        </w:rPr>
        <w:t>1、结算方式</w:t>
      </w:r>
    </w:p>
    <w:p>
      <w:pPr>
        <w:spacing w:line="276" w:lineRule="auto"/>
        <w:ind w:firstLine="420" w:firstLineChars="200"/>
        <w:outlineLvl w:val="1"/>
      </w:pPr>
      <w:r>
        <w:rPr>
          <w:rFonts w:hint="eastAsia" w:ascii="宋体" w:hAnsi="宋体" w:cs="宋体"/>
          <w:szCs w:val="21"/>
        </w:rPr>
        <w:t>物业管理服务费按照“当月支付上月”的方式进行结算，具体计算方法如下：根据中标人上月实际提供的物业管理服务（包括加班费等）和考核验收情况据实结算，计算公式：当月物业管理服务费支付金额=中标人上月实际提供的物业管理服务（包括加班费等）-上月考核扣减金额。</w:t>
      </w:r>
    </w:p>
    <w:p>
      <w:pPr>
        <w:spacing w:line="276" w:lineRule="auto"/>
        <w:ind w:firstLine="420" w:firstLineChars="200"/>
        <w:outlineLvl w:val="1"/>
        <w:rPr>
          <w:rFonts w:ascii="宋体" w:hAnsi="宋体" w:cs="宋体"/>
          <w:szCs w:val="21"/>
        </w:rPr>
      </w:pPr>
      <w:r>
        <w:rPr>
          <w:rFonts w:hint="eastAsia" w:ascii="宋体" w:hAnsi="宋体" w:cs="宋体"/>
          <w:szCs w:val="21"/>
        </w:rPr>
        <w:t>2、付款方式</w:t>
      </w:r>
    </w:p>
    <w:p>
      <w:pPr>
        <w:spacing w:line="276" w:lineRule="auto"/>
        <w:ind w:firstLine="420" w:firstLineChars="200"/>
        <w:outlineLvl w:val="1"/>
        <w:rPr>
          <w:rFonts w:ascii="宋体" w:hAnsi="宋体" w:cs="宋体"/>
          <w:szCs w:val="21"/>
        </w:rPr>
      </w:pPr>
      <w:r>
        <w:rPr>
          <w:rFonts w:hint="eastAsia" w:ascii="宋体" w:hAnsi="宋体" w:cs="宋体"/>
          <w:szCs w:val="21"/>
        </w:rPr>
        <w:t>（1）每次按合同支付款项前，中标人应先向采购人开具提供与支付金额相符的有效发票作为采购人付款的前提，且收款方、出具发票方、合同乙方均必须与中标人名称一致。采购人收到发票等相关资料并审核无误后在20个工作日内办理支付手续。</w:t>
      </w:r>
    </w:p>
    <w:p>
      <w:pPr>
        <w:spacing w:line="276" w:lineRule="auto"/>
        <w:ind w:firstLine="420" w:firstLineChars="200"/>
        <w:outlineLvl w:val="1"/>
        <w:rPr>
          <w:rFonts w:ascii="宋体" w:hAnsi="宋体" w:cs="宋体"/>
          <w:szCs w:val="21"/>
        </w:rPr>
      </w:pPr>
      <w:r>
        <w:rPr>
          <w:rFonts w:hint="eastAsia" w:ascii="宋体" w:hAnsi="宋体" w:cs="宋体"/>
          <w:szCs w:val="21"/>
        </w:rPr>
        <w:t>（2）本项目据实结算，中标人须按照法律规定及采购人的要求开具发票。</w:t>
      </w:r>
    </w:p>
    <w:p>
      <w:pPr>
        <w:spacing w:line="276" w:lineRule="auto"/>
        <w:ind w:firstLine="420" w:firstLineChars="200"/>
        <w:outlineLvl w:val="1"/>
        <w:rPr>
          <w:rFonts w:ascii="宋体" w:hAnsi="宋体" w:cs="宋体"/>
          <w:szCs w:val="21"/>
        </w:rPr>
      </w:pPr>
      <w:r>
        <w:rPr>
          <w:rFonts w:hint="eastAsia" w:ascii="宋体" w:hAnsi="宋体" w:cs="宋体"/>
          <w:szCs w:val="21"/>
        </w:rPr>
        <w:t>（3）如遇财政拨款未到位情况，上述付款期限顺延，中标人不得追究采购人的相关法律责任。</w:t>
      </w:r>
    </w:p>
    <w:p>
      <w:pPr>
        <w:spacing w:line="276" w:lineRule="auto"/>
        <w:ind w:firstLine="422" w:firstLineChars="200"/>
        <w:outlineLvl w:val="1"/>
        <w:rPr>
          <w:rFonts w:ascii="宋体" w:hAnsi="宋体" w:cs="宋体"/>
          <w:b/>
          <w:bCs/>
          <w:szCs w:val="21"/>
        </w:rPr>
      </w:pPr>
      <w:r>
        <w:rPr>
          <w:rFonts w:hint="eastAsia" w:ascii="宋体" w:hAnsi="宋体" w:cs="宋体"/>
          <w:b/>
          <w:bCs/>
          <w:szCs w:val="21"/>
        </w:rPr>
        <w:t>（三）</w:t>
      </w:r>
      <w:r>
        <w:rPr>
          <w:rFonts w:ascii="宋体" w:hAnsi="宋体" w:cs="宋体"/>
          <w:b/>
          <w:bCs/>
          <w:szCs w:val="21"/>
        </w:rPr>
        <w:t>中标人责任</w:t>
      </w:r>
    </w:p>
    <w:p>
      <w:pPr>
        <w:spacing w:beforeLines="50" w:line="276" w:lineRule="auto"/>
        <w:ind w:left="4" w:right="63" w:firstLine="424" w:firstLineChars="200"/>
        <w:rPr>
          <w:rFonts w:ascii="宋体" w:hAnsi="宋体" w:cs="宋体"/>
          <w:szCs w:val="21"/>
        </w:rPr>
      </w:pPr>
      <w:r>
        <w:rPr>
          <w:rFonts w:ascii="宋体" w:hAnsi="宋体" w:cs="宋体"/>
          <w:spacing w:val="1"/>
          <w:szCs w:val="21"/>
        </w:rPr>
        <w:t>在管理服务期内由于中标人责任造成第三人、采购人和中标人工作人员人身伤亡和财产损失，全</w:t>
      </w:r>
      <w:r>
        <w:rPr>
          <w:rFonts w:ascii="宋体" w:hAnsi="宋体" w:cs="宋体"/>
          <w:spacing w:val="-2"/>
          <w:szCs w:val="21"/>
        </w:rPr>
        <w:t>部费用和责任由中标人承担。</w:t>
      </w:r>
    </w:p>
    <w:p>
      <w:pPr>
        <w:spacing w:beforeLines="50" w:line="276" w:lineRule="auto"/>
        <w:ind w:left="3" w:right="59" w:firstLine="420" w:firstLineChars="200"/>
        <w:rPr>
          <w:rFonts w:ascii="宋体" w:hAnsi="宋体" w:cs="宋体"/>
          <w:szCs w:val="21"/>
        </w:rPr>
      </w:pPr>
      <w:r>
        <w:rPr>
          <w:rFonts w:ascii="宋体" w:hAnsi="宋体" w:cs="宋体"/>
          <w:szCs w:val="21"/>
        </w:rPr>
        <w:t>中标人工作人员在本项目辖区范围内发生违法、违规行为的，所造成的一切后果及损失，由中标</w:t>
      </w:r>
      <w:r>
        <w:rPr>
          <w:rFonts w:ascii="宋体" w:hAnsi="宋体" w:cs="宋体"/>
          <w:spacing w:val="-2"/>
          <w:szCs w:val="21"/>
        </w:rPr>
        <w:t>人承担责任及负责赔偿。</w:t>
      </w:r>
    </w:p>
    <w:p>
      <w:pPr>
        <w:spacing w:beforeLines="50" w:line="276" w:lineRule="auto"/>
        <w:ind w:left="3" w:right="63" w:firstLine="408" w:firstLineChars="200"/>
        <w:rPr>
          <w:rFonts w:ascii="宋体" w:hAnsi="宋体" w:cs="宋体"/>
          <w:color w:val="FF0000"/>
          <w:szCs w:val="21"/>
          <w:highlight w:val="yellow"/>
        </w:rPr>
      </w:pPr>
      <w:r>
        <w:rPr>
          <w:rFonts w:ascii="宋体" w:hAnsi="宋体" w:cs="宋体"/>
          <w:color w:val="FF0000"/>
          <w:spacing w:val="-3"/>
          <w:szCs w:val="21"/>
          <w:highlight w:val="yellow"/>
        </w:rPr>
        <w:t>中标人不按照采购人要求及时更换不合格物业</w:t>
      </w:r>
      <w:r>
        <w:rPr>
          <w:rFonts w:hint="eastAsia" w:ascii="宋体" w:hAnsi="宋体" w:cs="宋体"/>
          <w:color w:val="FF0000"/>
          <w:spacing w:val="-3"/>
          <w:szCs w:val="21"/>
          <w:highlight w:val="yellow"/>
        </w:rPr>
        <w:t>岗位服务人员</w:t>
      </w:r>
      <w:r>
        <w:rPr>
          <w:rFonts w:ascii="宋体" w:hAnsi="宋体" w:cs="宋体"/>
          <w:color w:val="FF0000"/>
          <w:spacing w:val="-3"/>
          <w:szCs w:val="21"/>
          <w:highlight w:val="yellow"/>
        </w:rPr>
        <w:t>，或者擅自更换采购人要求保留的物业</w:t>
      </w:r>
      <w:r>
        <w:rPr>
          <w:rFonts w:hint="eastAsia" w:ascii="宋体" w:hAnsi="宋体" w:cs="宋体"/>
          <w:color w:val="FF0000"/>
          <w:spacing w:val="-3"/>
          <w:szCs w:val="21"/>
          <w:highlight w:val="yellow"/>
        </w:rPr>
        <w:t>岗位服务人员</w:t>
      </w:r>
      <w:r>
        <w:rPr>
          <w:rFonts w:ascii="宋体" w:hAnsi="宋体" w:cs="宋体"/>
          <w:color w:val="FF0000"/>
          <w:spacing w:val="-1"/>
          <w:szCs w:val="21"/>
          <w:highlight w:val="yellow"/>
        </w:rPr>
        <w:t>，以及人员变动率超过标准（每月3</w:t>
      </w:r>
      <w:r>
        <w:rPr>
          <w:rFonts w:ascii="宋体" w:hAnsi="宋体" w:cs="宋体"/>
          <w:color w:val="FF0000"/>
          <w:spacing w:val="6"/>
          <w:szCs w:val="21"/>
          <w:highlight w:val="yellow"/>
        </w:rPr>
        <w:t>％）</w:t>
      </w:r>
      <w:r>
        <w:rPr>
          <w:rFonts w:ascii="宋体" w:hAnsi="宋体" w:cs="宋体"/>
          <w:color w:val="FF0000"/>
          <w:spacing w:val="-1"/>
          <w:szCs w:val="21"/>
          <w:highlight w:val="yellow"/>
        </w:rPr>
        <w:t>时，采购人有权扣减当月物业管理服务费的5%。</w:t>
      </w:r>
    </w:p>
    <w:p>
      <w:pPr>
        <w:spacing w:beforeLines="50" w:line="276" w:lineRule="auto"/>
        <w:ind w:left="3" w:firstLine="420" w:firstLineChars="200"/>
        <w:rPr>
          <w:rFonts w:ascii="宋体" w:hAnsi="宋体" w:cs="宋体"/>
          <w:szCs w:val="21"/>
        </w:rPr>
      </w:pPr>
      <w:r>
        <w:rPr>
          <w:rFonts w:ascii="宋体" w:hAnsi="宋体" w:cs="宋体"/>
          <w:szCs w:val="21"/>
        </w:rPr>
        <w:t>中标人未按本项目要求和承诺配备具有资职证、上岗证等有效资格证明足够工作人员，且在采购</w:t>
      </w:r>
      <w:r>
        <w:rPr>
          <w:rFonts w:ascii="宋体" w:hAnsi="宋体" w:cs="宋体"/>
          <w:spacing w:val="-6"/>
          <w:szCs w:val="21"/>
        </w:rPr>
        <w:t>人发出的规定期限内未整改补充到位，则采购人按缺少岗位、人员工资的三倍扣减当月的物业管理费，</w:t>
      </w:r>
      <w:r>
        <w:rPr>
          <w:rFonts w:ascii="宋体" w:hAnsi="宋体" w:cs="宋体"/>
          <w:spacing w:val="-9"/>
          <w:szCs w:val="21"/>
        </w:rPr>
        <w:t>继续要求不整改的，采购人有权终止合同</w:t>
      </w:r>
      <w:r>
        <w:rPr>
          <w:rFonts w:hint="eastAsia" w:ascii="宋体" w:hAnsi="宋体" w:cs="宋体"/>
          <w:spacing w:val="-9"/>
          <w:szCs w:val="21"/>
        </w:rPr>
        <w:t>。</w:t>
      </w:r>
    </w:p>
    <w:p>
      <w:pPr>
        <w:spacing w:beforeLines="50" w:line="276" w:lineRule="auto"/>
        <w:ind w:left="3" w:firstLine="420" w:firstLineChars="200"/>
        <w:rPr>
          <w:rFonts w:ascii="宋体" w:hAnsi="宋体" w:cs="宋体"/>
          <w:szCs w:val="21"/>
        </w:rPr>
      </w:pPr>
      <w:r>
        <w:rPr>
          <w:rFonts w:ascii="宋体" w:hAnsi="宋体" w:cs="宋体"/>
          <w:szCs w:val="21"/>
        </w:rPr>
        <w:t>在管理服务期内若发现中标人假借派驻员工劳动合同到期或个人辞职为理由，实际将该员工调换至中标人或其下属控股公司、子公司的其他在管物业项目工作服务时，则采购人按相关岗位、人员工资的三倍扣减当月的物业管理费。</w:t>
      </w:r>
    </w:p>
    <w:p>
      <w:pPr>
        <w:spacing w:beforeLines="50" w:line="276" w:lineRule="auto"/>
        <w:ind w:left="3" w:firstLine="420" w:firstLineChars="200"/>
        <w:rPr>
          <w:rFonts w:ascii="宋体" w:hAnsi="宋体" w:cs="宋体"/>
          <w:szCs w:val="21"/>
        </w:rPr>
      </w:pPr>
      <w:r>
        <w:rPr>
          <w:rFonts w:ascii="宋体" w:hAnsi="宋体" w:cs="宋体"/>
          <w:szCs w:val="21"/>
        </w:rPr>
        <w:t>中标人违反本合同要求和规定，未能达到约定的服务目标，发生多次物业服务保障迟延或挪用物业管理服务费用等情况，严重影响到物业服务质量，或者物业使用人投诉多（两个月内有效投诉累积超过30次），或出现重大服务过错（损失金额超过人民币10万元，或者造成严重社会影响的），采购人有权视情况终止合同；造成采购人经损失由中标人负责赔偿，并承担相应的法律责任。</w:t>
      </w:r>
    </w:p>
    <w:p>
      <w:pPr>
        <w:spacing w:beforeLines="50" w:line="276" w:lineRule="auto"/>
        <w:ind w:left="3" w:firstLine="420" w:firstLineChars="200"/>
        <w:rPr>
          <w:rFonts w:ascii="宋体" w:hAnsi="宋体" w:cs="宋体"/>
          <w:szCs w:val="21"/>
        </w:rPr>
      </w:pPr>
      <w:r>
        <w:rPr>
          <w:rFonts w:ascii="宋体" w:hAnsi="宋体" w:cs="宋体"/>
          <w:szCs w:val="21"/>
        </w:rPr>
        <w:t>采购人在向中标人送达《终止合同通知书》后，合同自然解除，采购人可将重新招标</w:t>
      </w:r>
      <w:r>
        <w:rPr>
          <w:rFonts w:hint="eastAsia" w:ascii="宋体" w:hAnsi="宋体" w:cs="宋体"/>
          <w:szCs w:val="21"/>
        </w:rPr>
        <w:t>。</w:t>
      </w:r>
    </w:p>
    <w:p>
      <w:pPr>
        <w:snapToGrid w:val="0"/>
        <w:spacing w:line="396" w:lineRule="auto"/>
        <w:ind w:firstLine="424" w:firstLineChars="200"/>
        <w:rPr>
          <w:rFonts w:ascii="宋体" w:hAnsi="宋体" w:cs="宋体"/>
          <w:spacing w:val="1"/>
          <w:szCs w:val="21"/>
        </w:rPr>
      </w:pPr>
      <w:r>
        <w:rPr>
          <w:rFonts w:ascii="宋体" w:hAnsi="宋体" w:cs="宋体"/>
          <w:spacing w:val="1"/>
          <w:szCs w:val="21"/>
        </w:rPr>
        <w:t>在物业服务期内，如果因发生盗窃、抢劫、失火等原因导致采购人财产损失或者工作人员人身损害的，除能够证明非中标人责任外，中标人应该承担法律责任及赔偿经济损失，采购人有权从的物业管理服务费中扣除，情节严重的，采购人有权终止合同。</w:t>
      </w:r>
    </w:p>
    <w:p>
      <w:pPr>
        <w:snapToGrid w:val="0"/>
        <w:spacing w:line="396" w:lineRule="auto"/>
        <w:ind w:firstLine="424" w:firstLineChars="200"/>
        <w:rPr>
          <w:rFonts w:ascii="宋体" w:hAnsi="宋体" w:cs="宋体"/>
          <w:spacing w:val="1"/>
          <w:szCs w:val="21"/>
        </w:rPr>
      </w:pPr>
      <w:r>
        <w:rPr>
          <w:rFonts w:ascii="宋体" w:hAnsi="宋体" w:cs="宋体"/>
          <w:spacing w:val="1"/>
          <w:szCs w:val="21"/>
        </w:rPr>
        <w:t>在物业服务期内中标人应确保在服务范围内无刑事、治安案件（事件）的发生；无消防责任事故发生、无机械设备操作责任事故发生。如发生责任事故，造中标人应该承担法律责任及赔偿经济损失，采购人有权从当期的物业管理服务费扣除，情节严重的，采购人有权终止合同。</w:t>
      </w:r>
    </w:p>
    <w:p>
      <w:pPr>
        <w:spacing w:beforeLines="50" w:line="276" w:lineRule="auto"/>
        <w:ind w:firstLine="424" w:firstLineChars="200"/>
        <w:rPr>
          <w:rFonts w:ascii="宋体" w:hAnsi="宋体" w:cs="宋体"/>
          <w:spacing w:val="1"/>
          <w:szCs w:val="21"/>
        </w:rPr>
      </w:pPr>
      <w:r>
        <w:rPr>
          <w:rFonts w:ascii="宋体" w:hAnsi="宋体" w:cs="宋体"/>
          <w:spacing w:val="1"/>
          <w:szCs w:val="21"/>
        </w:rPr>
        <w:t>合同期最后三个月，中标人应无条件配合采购人做好新的物业服务采购招标工作，合同期最后一个月为物业接管过渡期，中标人在过渡接管期间不得拒绝新物业公司为有利于接管而提出的配合要求（限服务范围内），中标人同时将整理好的管理记录及档案整体移交给采购人。交接时间超过合同服务截止时间，中标人应根据本物业管理需要承诺临时延长期服务，临时延长期物业管理费不得超过原合同总金额的10%，延长服务范围内容要求及物业管理服务期由采购人与中标人另行协商。</w:t>
      </w:r>
    </w:p>
    <w:p>
      <w:pPr>
        <w:pStyle w:val="2"/>
        <w:ind w:firstLine="741" w:firstLineChars="247"/>
        <w:rPr>
          <w:rFonts w:ascii="宋体" w:hAnsi="宋体" w:eastAsia="宋体" w:cs="宋体"/>
          <w:bCs/>
          <w:color w:val="FF0000"/>
          <w:sz w:val="21"/>
          <w:szCs w:val="21"/>
          <w:highlight w:val="yellow"/>
        </w:rPr>
      </w:pPr>
      <w:r>
        <w:rPr>
          <w:rFonts w:hint="eastAsia" w:ascii="宋体" w:hAnsi="宋体"/>
          <w:b w:val="0"/>
          <w:bCs/>
          <w:color w:val="FF0000"/>
          <w:szCs w:val="21"/>
          <w:highlight w:val="yellow"/>
        </w:rPr>
        <w:t>★</w:t>
      </w:r>
      <w:r>
        <w:rPr>
          <w:rFonts w:hint="eastAsia" w:ascii="宋体" w:hAnsi="宋体" w:eastAsia="宋体" w:cs="宋体"/>
          <w:bCs/>
          <w:color w:val="FF0000"/>
          <w:sz w:val="21"/>
          <w:szCs w:val="21"/>
          <w:highlight w:val="yellow"/>
        </w:rPr>
        <w:t>(四)廉洁条款</w:t>
      </w:r>
    </w:p>
    <w:p>
      <w:pPr>
        <w:spacing w:line="360" w:lineRule="auto"/>
        <w:ind w:firstLine="424" w:firstLineChars="200"/>
        <w:rPr>
          <w:rFonts w:ascii="宋体" w:hAnsi="宋体" w:cs="宋体"/>
          <w:color w:val="FF0000"/>
          <w:spacing w:val="1"/>
          <w:szCs w:val="21"/>
          <w:highlight w:val="yellow"/>
        </w:rPr>
      </w:pPr>
      <w:r>
        <w:rPr>
          <w:rFonts w:hint="eastAsia" w:ascii="宋体" w:hAnsi="宋体" w:cs="宋体"/>
          <w:color w:val="FF0000"/>
          <w:spacing w:val="1"/>
          <w:szCs w:val="21"/>
          <w:highlight w:val="yellow"/>
        </w:rPr>
        <w:t>中标人及其工作人员不得以给予或许诺给予佣金、回扣，以及合伙、参股等任何形式向采购方工作人员输送利益；不得以任何形式向采购方工作人员赠送或提供礼金、礼品、有价证券，以及为其购置或提供交通工具、通讯器材等贵重物品；不得以洽谈业务为由，邀请采购方工作人员外出旅游、健身或进行其他高消费娱乐活动；不得以为个人装修住房、安排亲属工作、接待亲友来访，吃请等名目，拉拢、利诱采购方工作人员；不得有其他违背诚实守法、公平竞争行为。</w:t>
      </w:r>
    </w:p>
    <w:p>
      <w:pPr>
        <w:spacing w:line="360" w:lineRule="auto"/>
        <w:ind w:firstLine="424" w:firstLineChars="200"/>
        <w:rPr>
          <w:rFonts w:ascii="宋体" w:hAnsi="宋体" w:cs="宋体"/>
          <w:color w:val="FF0000"/>
          <w:spacing w:val="1"/>
          <w:szCs w:val="21"/>
          <w:highlight w:val="yellow"/>
        </w:rPr>
      </w:pPr>
      <w:r>
        <w:rPr>
          <w:rFonts w:hint="eastAsia" w:ascii="宋体" w:hAnsi="宋体" w:cs="宋体"/>
          <w:color w:val="FF0000"/>
          <w:spacing w:val="1"/>
          <w:szCs w:val="21"/>
          <w:highlight w:val="yellow"/>
        </w:rPr>
        <w:t>采购方如发现中标人或其工作人员违反上述条款，有权立即终止或解除与中标人的合作关系，冻结应付款项，列入采购黑名单；中标人承担相应违约责任，采购方有权追索违约金以及由此造成的一切损失，并可以从任何应付款项中直接冲抵。</w:t>
      </w:r>
    </w:p>
    <w:p>
      <w:pPr>
        <w:spacing w:line="360" w:lineRule="auto"/>
        <w:ind w:firstLine="424" w:firstLineChars="200"/>
        <w:rPr>
          <w:rFonts w:ascii="宋体" w:hAnsi="宋体" w:cs="宋体"/>
          <w:color w:val="FF0000"/>
          <w:spacing w:val="1"/>
          <w:szCs w:val="21"/>
          <w:highlight w:val="yellow"/>
        </w:rPr>
      </w:pPr>
      <w:r>
        <w:rPr>
          <w:rFonts w:hint="eastAsia" w:ascii="宋体" w:hAnsi="宋体" w:cs="宋体"/>
          <w:color w:val="FF0000"/>
          <w:spacing w:val="1"/>
          <w:szCs w:val="21"/>
          <w:highlight w:val="yellow"/>
        </w:rPr>
        <w:t>中标人如发现采购方工作人员有主动索取贿赂及上述不当行为的，应立即向采购方纪检部门反映，如不拒绝、不反映，并对其不当要求予以满足的，等同违反上述条款，承担相应法律责任。</w:t>
      </w:r>
    </w:p>
    <w:p>
      <w:pPr>
        <w:spacing w:beforeLines="50" w:line="276" w:lineRule="auto"/>
        <w:ind w:firstLine="632" w:firstLineChars="300"/>
        <w:rPr>
          <w:rFonts w:ascii="宋体" w:hAnsi="宋体" w:cs="宋体"/>
          <w:color w:val="FF0000"/>
          <w:spacing w:val="1"/>
          <w:szCs w:val="21"/>
          <w:highlight w:val="yellow"/>
        </w:rPr>
      </w:pPr>
      <w:r>
        <w:rPr>
          <w:rFonts w:hint="eastAsia" w:ascii="宋体" w:hAnsi="宋体"/>
          <w:b/>
          <w:bCs/>
          <w:color w:val="FF0000"/>
          <w:szCs w:val="21"/>
          <w:highlight w:val="yellow"/>
        </w:rPr>
        <w:t>★</w:t>
      </w:r>
      <w:r>
        <w:rPr>
          <w:rFonts w:hint="eastAsia" w:ascii="宋体" w:hAnsi="宋体" w:cs="宋体"/>
          <w:b/>
          <w:bCs/>
          <w:color w:val="FF0000"/>
          <w:szCs w:val="21"/>
          <w:highlight w:val="yellow"/>
        </w:rPr>
        <w:t>（五）围猎条款</w:t>
      </w:r>
    </w:p>
    <w:p>
      <w:pPr>
        <w:spacing w:line="600" w:lineRule="exact"/>
        <w:ind w:firstLine="424" w:firstLineChars="200"/>
        <w:rPr>
          <w:rFonts w:ascii="宋体" w:hAnsi="宋体" w:cs="宋体"/>
          <w:color w:val="FF0000"/>
          <w:spacing w:val="1"/>
          <w:szCs w:val="21"/>
          <w:highlight w:val="yellow"/>
        </w:rPr>
      </w:pPr>
      <w:r>
        <w:rPr>
          <w:rFonts w:hint="eastAsia" w:ascii="宋体" w:hAnsi="宋体" w:cs="宋体"/>
          <w:color w:val="FF0000"/>
          <w:spacing w:val="1"/>
          <w:szCs w:val="21"/>
          <w:highlight w:val="yellow"/>
        </w:rPr>
        <w:t>1、中标人在合同履行期间存在“围猎”采购方税务人员行为的（指以获取不正当利益为目的，采取馈赠礼品礼金、邀请娱乐旅游消费、提供便利条件等非正常交往手段“围猎”相关税务人员及其亲属），自采购方及采购方主管机关认定或通报之日起三年内，采购方有权拒绝中标人参与采购方的政府采购活动。</w:t>
      </w:r>
    </w:p>
    <w:p>
      <w:pPr>
        <w:spacing w:line="600" w:lineRule="exact"/>
        <w:ind w:firstLine="424" w:firstLineChars="200"/>
        <w:rPr>
          <w:rFonts w:ascii="宋体" w:hAnsi="宋体" w:cs="宋体"/>
          <w:color w:val="FF0000"/>
          <w:spacing w:val="1"/>
          <w:szCs w:val="21"/>
          <w:highlight w:val="yellow"/>
        </w:rPr>
      </w:pPr>
      <w:r>
        <w:rPr>
          <w:rFonts w:hint="eastAsia" w:ascii="宋体" w:hAnsi="宋体" w:cs="宋体"/>
          <w:color w:val="FF0000"/>
          <w:spacing w:val="1"/>
          <w:szCs w:val="21"/>
          <w:highlight w:val="yellow"/>
        </w:rPr>
        <w:t>2、中标人应当承诺履行不得“围猎”采购方税务人员的义务，且承诺如在合同履行期间存在“围猎”采购方税务人员行为的，应承担相应法律后果，同时，自采购方及采购方主管机关认定或通报之日起三年内，采购方有权拒绝中标人参与采购方的政府采购活动。（需提供承诺函）</w:t>
      </w:r>
    </w:p>
    <w:p>
      <w:pPr>
        <w:spacing w:beforeLines="50" w:line="276" w:lineRule="auto"/>
        <w:ind w:firstLine="636" w:firstLineChars="300"/>
        <w:rPr>
          <w:rFonts w:ascii="宋体" w:hAnsi="宋体" w:cs="宋体"/>
          <w:color w:val="FF0000"/>
          <w:spacing w:val="1"/>
          <w:szCs w:val="21"/>
          <w:highlight w:val="yellow"/>
        </w:rPr>
      </w:pPr>
    </w:p>
    <w:p>
      <w:pPr>
        <w:pStyle w:val="2"/>
      </w:pPr>
    </w:p>
    <w:p>
      <w:pPr>
        <w:pStyle w:val="2"/>
      </w:pPr>
    </w:p>
    <w:p>
      <w:pPr>
        <w:spacing w:line="360" w:lineRule="auto"/>
        <w:sectPr>
          <w:footerReference r:id="rId12" w:type="default"/>
          <w:pgSz w:w="11906" w:h="16838"/>
          <w:pgMar w:top="1440" w:right="1800" w:bottom="1440" w:left="1800" w:header="851" w:footer="992" w:gutter="0"/>
          <w:cols w:space="425" w:num="1"/>
          <w:docGrid w:type="lines" w:linePitch="312" w:charSpace="0"/>
        </w:sectPr>
      </w:pPr>
    </w:p>
    <w:p>
      <w:pPr>
        <w:pStyle w:val="47"/>
        <w:snapToGrid w:val="0"/>
        <w:spacing w:line="360" w:lineRule="auto"/>
        <w:rPr>
          <w:rFonts w:cs="宋体"/>
          <w:bCs/>
          <w:sz w:val="28"/>
          <w:szCs w:val="28"/>
        </w:rPr>
      </w:pPr>
    </w:p>
    <w:p/>
    <w:p>
      <w:pPr>
        <w:pStyle w:val="11"/>
      </w:pPr>
    </w:p>
    <w:p>
      <w:pPr>
        <w:pStyle w:val="11"/>
        <w:ind w:left="0" w:leftChars="0" w:firstLine="0" w:firstLineChars="0"/>
      </w:pPr>
    </w:p>
    <w:p/>
    <w:p>
      <w:pPr>
        <w:pStyle w:val="11"/>
      </w:pPr>
    </w:p>
    <w:p/>
    <w:p>
      <w:pPr>
        <w:pStyle w:val="11"/>
      </w:pPr>
    </w:p>
    <w:p>
      <w:pPr>
        <w:pStyle w:val="3"/>
        <w:rPr>
          <w:sz w:val="44"/>
        </w:rPr>
      </w:pPr>
      <w:r>
        <w:rPr>
          <w:rFonts w:hint="eastAsia"/>
          <w:sz w:val="44"/>
        </w:rPr>
        <w:t>第四章 合同文本</w:t>
      </w:r>
    </w:p>
    <w:p>
      <w:pPr>
        <w:pStyle w:val="3"/>
        <w:rPr>
          <w:sz w:val="44"/>
        </w:rPr>
        <w:sectPr>
          <w:pgSz w:w="11906" w:h="16838"/>
          <w:pgMar w:top="1440" w:right="1800" w:bottom="1440" w:left="1800" w:header="851" w:footer="992" w:gutter="0"/>
          <w:cols w:space="425" w:num="1"/>
          <w:docGrid w:type="lines" w:linePitch="312" w:charSpace="0"/>
        </w:sectPr>
      </w:pPr>
      <w:r>
        <w:rPr>
          <w:rFonts w:hint="eastAsia"/>
          <w:sz w:val="44"/>
        </w:rPr>
        <w:t>（参考范本）</w:t>
      </w:r>
    </w:p>
    <w:p>
      <w:pPr>
        <w:adjustRightInd w:val="0"/>
        <w:spacing w:line="360" w:lineRule="auto"/>
        <w:textAlignment w:val="baseline"/>
        <w:rPr>
          <w:rFonts w:ascii="宋体" w:hAnsi="宋体" w:cs="宋体"/>
          <w:b/>
          <w:bCs/>
          <w:kern w:val="0"/>
          <w:sz w:val="24"/>
        </w:rPr>
      </w:pPr>
      <w:r>
        <w:rPr>
          <w:rFonts w:hint="eastAsia" w:ascii="宋体" w:hAnsi="宋体" w:cs="宋体"/>
          <w:b/>
          <w:bCs/>
          <w:kern w:val="0"/>
          <w:sz w:val="24"/>
        </w:rPr>
        <w:t>注：本合同仅为合同的参考文本，合同签订双方可根据项目的具体要求进行修订，但不得与招标文件、投标文件的实质性内容相背离。</w:t>
      </w:r>
    </w:p>
    <w:p>
      <w:pPr>
        <w:kinsoku w:val="0"/>
        <w:overflowPunct w:val="0"/>
        <w:spacing w:line="360" w:lineRule="auto"/>
        <w:rPr>
          <w:rFonts w:ascii="宋体" w:hAnsi="宋体" w:cs="等线"/>
          <w:b/>
          <w:sz w:val="20"/>
          <w:szCs w:val="20"/>
        </w:rPr>
      </w:pPr>
      <w:bookmarkStart w:id="73" w:name="_Toc15613"/>
      <w:bookmarkStart w:id="74" w:name="_Toc25575"/>
    </w:p>
    <w:p>
      <w:pPr>
        <w:pStyle w:val="2"/>
      </w:pPr>
    </w:p>
    <w:p>
      <w:pPr>
        <w:pStyle w:val="2"/>
      </w:pPr>
    </w:p>
    <w:p>
      <w:pPr>
        <w:kinsoku w:val="0"/>
        <w:overflowPunct w:val="0"/>
        <w:spacing w:line="360" w:lineRule="auto"/>
        <w:rPr>
          <w:rFonts w:ascii="宋体" w:hAnsi="宋体" w:cs="等线"/>
          <w:b/>
          <w:sz w:val="20"/>
          <w:szCs w:val="20"/>
        </w:rPr>
      </w:pPr>
    </w:p>
    <w:p>
      <w:pPr>
        <w:kinsoku w:val="0"/>
        <w:overflowPunct w:val="0"/>
        <w:spacing w:line="360" w:lineRule="auto"/>
        <w:ind w:left="4"/>
        <w:jc w:val="center"/>
        <w:rPr>
          <w:rFonts w:ascii="宋体" w:hAnsi="宋体" w:cs="等线"/>
          <w:b/>
          <w:sz w:val="44"/>
          <w:szCs w:val="44"/>
        </w:rPr>
      </w:pPr>
      <w:r>
        <w:rPr>
          <w:rFonts w:hint="eastAsia" w:ascii="宋体" w:hAnsi="宋体" w:cs="等线"/>
          <w:b/>
          <w:sz w:val="44"/>
          <w:szCs w:val="44"/>
        </w:rPr>
        <w:t>物业管理服务合同</w:t>
      </w:r>
    </w:p>
    <w:p>
      <w:pPr>
        <w:kinsoku w:val="0"/>
        <w:overflowPunct w:val="0"/>
        <w:spacing w:line="360" w:lineRule="auto"/>
        <w:rPr>
          <w:rFonts w:ascii="宋体" w:hAnsi="宋体" w:cs="等线"/>
          <w:b/>
          <w:sz w:val="24"/>
        </w:rPr>
      </w:pPr>
    </w:p>
    <w:p>
      <w:pPr>
        <w:kinsoku w:val="0"/>
        <w:overflowPunct w:val="0"/>
        <w:spacing w:line="360" w:lineRule="auto"/>
        <w:rPr>
          <w:rFonts w:ascii="宋体" w:hAnsi="宋体" w:cs="等线"/>
          <w:b/>
          <w:sz w:val="24"/>
        </w:rPr>
      </w:pPr>
    </w:p>
    <w:p>
      <w:pPr>
        <w:kinsoku w:val="0"/>
        <w:overflowPunct w:val="0"/>
        <w:spacing w:line="360" w:lineRule="auto"/>
        <w:rPr>
          <w:rFonts w:ascii="宋体" w:hAnsi="宋体" w:cs="等线"/>
          <w:b/>
          <w:sz w:val="24"/>
        </w:rPr>
      </w:pPr>
    </w:p>
    <w:p>
      <w:pPr>
        <w:kinsoku w:val="0"/>
        <w:overflowPunct w:val="0"/>
        <w:spacing w:line="360" w:lineRule="auto"/>
        <w:ind w:left="5"/>
        <w:jc w:val="left"/>
        <w:rPr>
          <w:rFonts w:ascii="宋体" w:hAnsi="宋体" w:cs="等线"/>
          <w:b/>
          <w:spacing w:val="-1"/>
          <w:sz w:val="32"/>
          <w:szCs w:val="32"/>
        </w:rPr>
      </w:pPr>
      <w:r>
        <w:rPr>
          <w:rFonts w:hint="eastAsia" w:ascii="宋体" w:hAnsi="宋体" w:cs="等线"/>
          <w:b/>
          <w:spacing w:val="-1"/>
          <w:sz w:val="32"/>
          <w:szCs w:val="32"/>
        </w:rPr>
        <w:t>项目名称：国家税务总局阳江高新技术产业开发区税务局物业管理服务项目</w:t>
      </w:r>
    </w:p>
    <w:p>
      <w:pPr>
        <w:kinsoku w:val="0"/>
        <w:overflowPunct w:val="0"/>
        <w:spacing w:line="360" w:lineRule="auto"/>
        <w:ind w:left="5"/>
        <w:jc w:val="left"/>
        <w:rPr>
          <w:rFonts w:ascii="宋体" w:hAnsi="宋体" w:cs="等线"/>
          <w:b/>
          <w:spacing w:val="-1"/>
          <w:sz w:val="32"/>
          <w:szCs w:val="32"/>
        </w:rPr>
      </w:pPr>
      <w:r>
        <w:rPr>
          <w:rFonts w:hint="eastAsia" w:ascii="宋体" w:hAnsi="宋体" w:cs="等线"/>
          <w:b/>
          <w:spacing w:val="-1"/>
          <w:sz w:val="32"/>
          <w:szCs w:val="32"/>
        </w:rPr>
        <w:t>项目编号：</w:t>
      </w:r>
    </w:p>
    <w:p>
      <w:pPr>
        <w:kinsoku w:val="0"/>
        <w:overflowPunct w:val="0"/>
        <w:spacing w:line="360" w:lineRule="auto"/>
        <w:rPr>
          <w:rFonts w:ascii="宋体" w:hAnsi="宋体" w:cs="等线"/>
          <w:b/>
          <w:sz w:val="24"/>
        </w:rPr>
      </w:pPr>
    </w:p>
    <w:p>
      <w:pPr>
        <w:kinsoku w:val="0"/>
        <w:overflowPunct w:val="0"/>
        <w:spacing w:line="360" w:lineRule="auto"/>
        <w:rPr>
          <w:rFonts w:ascii="宋体" w:hAnsi="宋体" w:cs="等线"/>
          <w:b/>
          <w:sz w:val="24"/>
        </w:rPr>
      </w:pPr>
    </w:p>
    <w:p>
      <w:pPr>
        <w:kinsoku w:val="0"/>
        <w:overflowPunct w:val="0"/>
        <w:spacing w:line="360" w:lineRule="auto"/>
        <w:rPr>
          <w:rFonts w:ascii="宋体" w:hAnsi="宋体" w:cs="等线"/>
          <w:b/>
          <w:sz w:val="24"/>
        </w:rPr>
      </w:pPr>
    </w:p>
    <w:p>
      <w:pPr>
        <w:kinsoku w:val="0"/>
        <w:overflowPunct w:val="0"/>
        <w:spacing w:line="360" w:lineRule="auto"/>
        <w:ind w:left="5"/>
        <w:jc w:val="center"/>
        <w:rPr>
          <w:rFonts w:ascii="宋体" w:hAnsi="宋体" w:cs="等线"/>
          <w:b/>
          <w:spacing w:val="-1"/>
          <w:sz w:val="32"/>
          <w:szCs w:val="32"/>
        </w:rPr>
      </w:pPr>
    </w:p>
    <w:p>
      <w:pPr>
        <w:kinsoku w:val="0"/>
        <w:overflowPunct w:val="0"/>
        <w:spacing w:line="360" w:lineRule="auto"/>
        <w:ind w:left="5"/>
        <w:jc w:val="center"/>
        <w:rPr>
          <w:rFonts w:ascii="宋体" w:hAnsi="宋体" w:cs="等线"/>
          <w:b/>
          <w:spacing w:val="-1"/>
          <w:sz w:val="32"/>
          <w:szCs w:val="32"/>
        </w:rPr>
      </w:pPr>
    </w:p>
    <w:p>
      <w:pPr>
        <w:kinsoku w:val="0"/>
        <w:overflowPunct w:val="0"/>
        <w:spacing w:line="360" w:lineRule="auto"/>
        <w:ind w:left="5"/>
        <w:jc w:val="center"/>
        <w:rPr>
          <w:rFonts w:ascii="宋体" w:hAnsi="宋体" w:cs="等线"/>
          <w:b/>
          <w:spacing w:val="-1"/>
          <w:sz w:val="32"/>
          <w:szCs w:val="32"/>
        </w:rPr>
      </w:pPr>
    </w:p>
    <w:p>
      <w:pPr>
        <w:kinsoku w:val="0"/>
        <w:overflowPunct w:val="0"/>
        <w:spacing w:line="360" w:lineRule="auto"/>
        <w:ind w:left="5"/>
        <w:jc w:val="center"/>
        <w:rPr>
          <w:rFonts w:ascii="宋体" w:hAnsi="宋体" w:cs="等线"/>
          <w:b/>
          <w:spacing w:val="-1"/>
          <w:sz w:val="32"/>
          <w:szCs w:val="32"/>
        </w:rPr>
      </w:pPr>
    </w:p>
    <w:p>
      <w:pPr>
        <w:kinsoku w:val="0"/>
        <w:overflowPunct w:val="0"/>
        <w:spacing w:line="360" w:lineRule="auto"/>
        <w:ind w:left="5"/>
        <w:jc w:val="center"/>
        <w:rPr>
          <w:rFonts w:ascii="宋体" w:hAnsi="宋体" w:cs="等线"/>
          <w:b/>
          <w:spacing w:val="-1"/>
          <w:sz w:val="32"/>
          <w:szCs w:val="32"/>
        </w:rPr>
      </w:pPr>
    </w:p>
    <w:p>
      <w:pPr>
        <w:kinsoku w:val="0"/>
        <w:overflowPunct w:val="0"/>
        <w:spacing w:line="360" w:lineRule="auto"/>
        <w:ind w:left="5"/>
        <w:jc w:val="center"/>
        <w:rPr>
          <w:rFonts w:ascii="宋体" w:hAnsi="宋体" w:cs="等线"/>
          <w:b/>
          <w:spacing w:val="-1"/>
          <w:sz w:val="32"/>
          <w:szCs w:val="32"/>
        </w:rPr>
      </w:pPr>
    </w:p>
    <w:p>
      <w:pPr>
        <w:kinsoku w:val="0"/>
        <w:overflowPunct w:val="0"/>
        <w:spacing w:line="360" w:lineRule="auto"/>
        <w:ind w:left="5"/>
        <w:jc w:val="center"/>
        <w:rPr>
          <w:rFonts w:ascii="宋体" w:hAnsi="宋体" w:cs="等线"/>
          <w:b/>
          <w:sz w:val="32"/>
          <w:szCs w:val="32"/>
        </w:rPr>
      </w:pPr>
      <w:r>
        <w:rPr>
          <w:rFonts w:hint="eastAsia" w:ascii="宋体" w:hAnsi="宋体" w:cs="等线"/>
          <w:b/>
          <w:spacing w:val="-1"/>
          <w:sz w:val="32"/>
          <w:szCs w:val="32"/>
        </w:rPr>
        <w:t>签订日期：2</w:t>
      </w:r>
      <w:r>
        <w:rPr>
          <w:rFonts w:ascii="宋体" w:hAnsi="宋体" w:cs="等线"/>
          <w:b/>
          <w:spacing w:val="-1"/>
          <w:sz w:val="32"/>
          <w:szCs w:val="32"/>
        </w:rPr>
        <w:t xml:space="preserve">023 </w:t>
      </w:r>
      <w:r>
        <w:rPr>
          <w:rFonts w:hint="eastAsia" w:ascii="宋体" w:hAnsi="宋体" w:cs="等线"/>
          <w:b/>
          <w:spacing w:val="-1"/>
          <w:sz w:val="32"/>
          <w:szCs w:val="32"/>
        </w:rPr>
        <w:t xml:space="preserve">年 </w:t>
      </w:r>
      <w:r>
        <w:rPr>
          <w:rFonts w:hint="eastAsia" w:ascii="宋体" w:hAnsi="宋体" w:cs="等线"/>
          <w:b/>
          <w:sz w:val="32"/>
          <w:szCs w:val="32"/>
        </w:rPr>
        <w:t>月</w:t>
      </w:r>
      <w:r>
        <w:rPr>
          <w:rFonts w:hint="eastAsia" w:ascii="宋体" w:hAnsi="宋体" w:cs="等线"/>
          <w:b/>
          <w:sz w:val="32"/>
          <w:szCs w:val="32"/>
        </w:rPr>
        <w:tab/>
      </w:r>
      <w:r>
        <w:rPr>
          <w:rFonts w:hint="eastAsia" w:ascii="宋体" w:hAnsi="宋体" w:cs="等线"/>
          <w:b/>
          <w:sz w:val="32"/>
          <w:szCs w:val="32"/>
        </w:rPr>
        <w:t xml:space="preserve"> 日</w:t>
      </w:r>
    </w:p>
    <w:p>
      <w:pPr>
        <w:kinsoku w:val="0"/>
        <w:overflowPunct w:val="0"/>
        <w:spacing w:line="360" w:lineRule="auto"/>
        <w:ind w:left="5"/>
        <w:jc w:val="center"/>
        <w:rPr>
          <w:rFonts w:ascii="宋体" w:hAnsi="宋体" w:cs="等线"/>
          <w:b/>
          <w:sz w:val="24"/>
        </w:rPr>
      </w:pPr>
    </w:p>
    <w:p>
      <w:pPr>
        <w:kinsoku w:val="0"/>
        <w:overflowPunct w:val="0"/>
        <w:spacing w:line="360" w:lineRule="auto"/>
        <w:ind w:left="5"/>
        <w:jc w:val="center"/>
        <w:rPr>
          <w:rFonts w:ascii="宋体" w:hAnsi="宋体" w:cs="等线"/>
          <w:b/>
          <w:sz w:val="24"/>
        </w:rPr>
      </w:pPr>
    </w:p>
    <w:p>
      <w:pPr>
        <w:kinsoku w:val="0"/>
        <w:overflowPunct w:val="0"/>
        <w:spacing w:line="360" w:lineRule="auto"/>
        <w:ind w:firstLine="210" w:firstLineChars="100"/>
        <w:rPr>
          <w:rFonts w:ascii="宋体" w:hAnsi="宋体" w:cs="宋体"/>
          <w:bCs/>
          <w:szCs w:val="21"/>
        </w:rPr>
      </w:pPr>
      <w:bookmarkStart w:id="75" w:name="_Toc78604604"/>
      <w:r>
        <w:rPr>
          <w:rFonts w:hint="eastAsia" w:ascii="宋体" w:hAnsi="宋体" w:cs="宋体"/>
          <w:bCs/>
          <w:szCs w:val="21"/>
        </w:rPr>
        <w:t xml:space="preserve">甲方（采购人）：  </w:t>
      </w:r>
    </w:p>
    <w:p>
      <w:pPr>
        <w:kinsoku w:val="0"/>
        <w:overflowPunct w:val="0"/>
        <w:spacing w:line="360" w:lineRule="auto"/>
        <w:ind w:firstLine="210" w:firstLineChars="100"/>
        <w:rPr>
          <w:rFonts w:ascii="宋体" w:hAnsi="宋体" w:cs="宋体"/>
          <w:bCs/>
          <w:szCs w:val="21"/>
        </w:rPr>
      </w:pPr>
      <w:r>
        <w:rPr>
          <w:rFonts w:hint="eastAsia" w:ascii="宋体" w:hAnsi="宋体" w:cs="宋体"/>
          <w:bCs/>
          <w:szCs w:val="21"/>
        </w:rPr>
        <w:t xml:space="preserve">地址： </w:t>
      </w:r>
    </w:p>
    <w:p>
      <w:pPr>
        <w:kinsoku w:val="0"/>
        <w:overflowPunct w:val="0"/>
        <w:spacing w:line="360" w:lineRule="auto"/>
        <w:ind w:firstLine="210" w:firstLineChars="100"/>
        <w:rPr>
          <w:rFonts w:ascii="宋体" w:hAnsi="宋体" w:cs="宋体"/>
          <w:bCs/>
          <w:szCs w:val="21"/>
        </w:rPr>
      </w:pPr>
    </w:p>
    <w:p>
      <w:pPr>
        <w:kinsoku w:val="0"/>
        <w:overflowPunct w:val="0"/>
        <w:spacing w:line="360" w:lineRule="auto"/>
        <w:ind w:firstLine="210" w:firstLineChars="100"/>
        <w:rPr>
          <w:rFonts w:ascii="宋体" w:hAnsi="宋体" w:cs="宋体"/>
          <w:bCs/>
          <w:szCs w:val="21"/>
        </w:rPr>
      </w:pPr>
      <w:r>
        <w:rPr>
          <w:rFonts w:hint="eastAsia" w:ascii="宋体" w:hAnsi="宋体" w:cs="宋体"/>
          <w:bCs/>
          <w:szCs w:val="21"/>
        </w:rPr>
        <w:t>乙方（中标人）：</w:t>
      </w:r>
    </w:p>
    <w:p>
      <w:pPr>
        <w:kinsoku w:val="0"/>
        <w:overflowPunct w:val="0"/>
        <w:spacing w:line="360" w:lineRule="auto"/>
        <w:ind w:firstLine="210" w:firstLineChars="100"/>
        <w:rPr>
          <w:rFonts w:ascii="宋体" w:hAnsi="宋体" w:cs="宋体"/>
          <w:bCs/>
          <w:szCs w:val="21"/>
        </w:rPr>
      </w:pPr>
      <w:r>
        <w:rPr>
          <w:rFonts w:hint="eastAsia" w:ascii="宋体" w:hAnsi="宋体" w:cs="宋体"/>
          <w:bCs/>
          <w:szCs w:val="21"/>
        </w:rPr>
        <w:t xml:space="preserve">地址： </w:t>
      </w:r>
    </w:p>
    <w:p>
      <w:pPr>
        <w:spacing w:line="360" w:lineRule="auto"/>
        <w:ind w:firstLine="420" w:firstLineChars="200"/>
        <w:rPr>
          <w:rFonts w:ascii="宋体" w:hAnsi="宋体"/>
          <w:kern w:val="28"/>
          <w:szCs w:val="21"/>
        </w:rPr>
      </w:pPr>
      <w:r>
        <w:rPr>
          <w:rFonts w:hint="eastAsia" w:ascii="宋体" w:hAnsi="宋体"/>
          <w:szCs w:val="21"/>
        </w:rPr>
        <w:t>根据</w:t>
      </w:r>
      <w:r>
        <w:rPr>
          <w:rFonts w:hint="eastAsia" w:ascii="宋体" w:hAnsi="宋体"/>
          <w:szCs w:val="21"/>
          <w:u w:val="single"/>
        </w:rPr>
        <w:t>国家税务总局阳江高新技术产业开发区税务局物业管理服务</w:t>
      </w:r>
      <w:r>
        <w:rPr>
          <w:rFonts w:hint="eastAsia" w:ascii="宋体" w:hAnsi="宋体"/>
          <w:szCs w:val="21"/>
        </w:rPr>
        <w:t>项目的采购结果，按照《中华人民共和国政府采购法》、《中华人民共和国民法典》及国家有关法律法规规定，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p>
    <w:bookmarkEnd w:id="75"/>
    <w:p>
      <w:pPr>
        <w:tabs>
          <w:tab w:val="left" w:pos="1620"/>
          <w:tab w:val="left" w:pos="1680"/>
          <w:tab w:val="left" w:pos="2580"/>
          <w:tab w:val="left" w:pos="2940"/>
          <w:tab w:val="left" w:pos="3510"/>
          <w:tab w:val="left" w:pos="3780"/>
          <w:tab w:val="left" w:pos="4560"/>
          <w:tab w:val="left" w:pos="4620"/>
          <w:tab w:val="left" w:pos="5505"/>
          <w:tab w:val="left" w:pos="5880"/>
          <w:tab w:val="left" w:pos="6345"/>
        </w:tabs>
        <w:spacing w:line="360" w:lineRule="auto"/>
        <w:ind w:firstLine="422" w:firstLineChars="200"/>
        <w:outlineLvl w:val="2"/>
        <w:rPr>
          <w:rFonts w:ascii="宋体" w:hAnsi="宋体" w:cs="宋体"/>
          <w:b/>
          <w:szCs w:val="21"/>
        </w:rPr>
      </w:pPr>
      <w:r>
        <w:rPr>
          <w:rFonts w:hint="eastAsia" w:ascii="宋体" w:hAnsi="宋体" w:cs="宋体"/>
          <w:b/>
          <w:szCs w:val="21"/>
        </w:rPr>
        <w:t>第一条 合同履行期限</w:t>
      </w:r>
    </w:p>
    <w:p>
      <w:pPr>
        <w:tabs>
          <w:tab w:val="left" w:pos="1680"/>
          <w:tab w:val="left" w:pos="2940"/>
          <w:tab w:val="left" w:pos="3510"/>
          <w:tab w:val="left" w:pos="3570"/>
          <w:tab w:val="left" w:pos="5085"/>
          <w:tab w:val="left" w:pos="6345"/>
        </w:tabs>
        <w:spacing w:line="360" w:lineRule="auto"/>
        <w:ind w:firstLine="441" w:firstLineChars="210"/>
        <w:rPr>
          <w:rFonts w:ascii="宋体" w:hAnsi="宋体"/>
          <w:color w:val="FF0000"/>
          <w:szCs w:val="21"/>
        </w:rPr>
      </w:pPr>
      <w:bookmarkStart w:id="76" w:name="_Hlk141868457"/>
      <w:r>
        <w:rPr>
          <w:rFonts w:hint="eastAsia" w:ascii="宋体" w:hAnsi="宋体"/>
          <w:szCs w:val="21"/>
        </w:rPr>
        <w:t>自合同签订之日起至2025年12月31日</w:t>
      </w:r>
      <w:r>
        <w:rPr>
          <w:rFonts w:ascii="宋体" w:hAnsi="宋体"/>
          <w:szCs w:val="21"/>
        </w:rPr>
        <w:t>，</w:t>
      </w:r>
      <w:r>
        <w:rPr>
          <w:rFonts w:hint="eastAsia" w:ascii="宋体" w:hAnsi="宋体"/>
          <w:szCs w:val="21"/>
        </w:rPr>
        <w:t>乙方在</w:t>
      </w:r>
      <w:r>
        <w:rPr>
          <w:rFonts w:ascii="宋体" w:hAnsi="宋体"/>
          <w:szCs w:val="21"/>
        </w:rPr>
        <w:t>年度内累计2个月以上服务质量及综合指标考核不合格(考核标准详见</w:t>
      </w:r>
      <w:r>
        <w:rPr>
          <w:rFonts w:hint="eastAsia" w:ascii="宋体" w:hAnsi="宋体"/>
          <w:szCs w:val="21"/>
        </w:rPr>
        <w:t>附件</w:t>
      </w:r>
      <w:r>
        <w:rPr>
          <w:rFonts w:ascii="宋体" w:hAnsi="宋体"/>
          <w:szCs w:val="21"/>
        </w:rPr>
        <w:t>)，</w:t>
      </w:r>
      <w:r>
        <w:rPr>
          <w:rFonts w:hint="eastAsia" w:ascii="宋体" w:hAnsi="宋体"/>
          <w:szCs w:val="21"/>
        </w:rPr>
        <w:t>甲方有权提前解除或</w:t>
      </w:r>
      <w:r>
        <w:rPr>
          <w:rFonts w:ascii="宋体" w:hAnsi="宋体"/>
          <w:szCs w:val="21"/>
        </w:rPr>
        <w:t>终止合同</w:t>
      </w:r>
      <w:r>
        <w:rPr>
          <w:rFonts w:hint="eastAsia" w:ascii="宋体" w:hAnsi="宋体"/>
          <w:szCs w:val="21"/>
        </w:rPr>
        <w:t>，终止合同时间自甲方向乙方</w:t>
      </w:r>
      <w:r>
        <w:rPr>
          <w:rFonts w:ascii="宋体" w:hAnsi="宋体"/>
          <w:szCs w:val="21"/>
        </w:rPr>
        <w:t>送达《</w:t>
      </w:r>
      <w:r>
        <w:rPr>
          <w:rFonts w:hint="eastAsia" w:ascii="宋体" w:hAnsi="宋体"/>
          <w:szCs w:val="21"/>
        </w:rPr>
        <w:t>解除（</w:t>
      </w:r>
      <w:r>
        <w:rPr>
          <w:rFonts w:ascii="宋体" w:hAnsi="宋体"/>
          <w:szCs w:val="21"/>
        </w:rPr>
        <w:t>终止</w:t>
      </w:r>
      <w:r>
        <w:rPr>
          <w:rFonts w:hint="eastAsia" w:ascii="宋体" w:hAnsi="宋体"/>
          <w:szCs w:val="21"/>
        </w:rPr>
        <w:t>）</w:t>
      </w:r>
      <w:r>
        <w:rPr>
          <w:rFonts w:ascii="宋体" w:hAnsi="宋体"/>
          <w:szCs w:val="21"/>
        </w:rPr>
        <w:t>合同通知书》</w:t>
      </w:r>
      <w:r>
        <w:rPr>
          <w:rFonts w:hint="eastAsia" w:ascii="宋体" w:hAnsi="宋体"/>
          <w:szCs w:val="21"/>
        </w:rPr>
        <w:t>之日止。</w:t>
      </w:r>
    </w:p>
    <w:bookmarkEnd w:id="76"/>
    <w:p>
      <w:pPr>
        <w:tabs>
          <w:tab w:val="left" w:pos="1620"/>
          <w:tab w:val="left" w:pos="1680"/>
          <w:tab w:val="left" w:pos="2580"/>
          <w:tab w:val="left" w:pos="2940"/>
          <w:tab w:val="left" w:pos="3510"/>
          <w:tab w:val="left" w:pos="3780"/>
          <w:tab w:val="left" w:pos="4560"/>
          <w:tab w:val="left" w:pos="4620"/>
          <w:tab w:val="left" w:pos="5505"/>
          <w:tab w:val="left" w:pos="5880"/>
          <w:tab w:val="left" w:pos="6345"/>
        </w:tabs>
        <w:spacing w:line="360" w:lineRule="auto"/>
        <w:ind w:firstLine="422" w:firstLineChars="200"/>
        <w:outlineLvl w:val="2"/>
        <w:rPr>
          <w:rFonts w:ascii="宋体" w:hAnsi="宋体" w:cs="宋体"/>
          <w:b/>
          <w:szCs w:val="21"/>
        </w:rPr>
      </w:pPr>
      <w:r>
        <w:rPr>
          <w:rFonts w:hint="eastAsia" w:ascii="宋体" w:hAnsi="宋体" w:cs="宋体"/>
          <w:b/>
          <w:szCs w:val="21"/>
        </w:rPr>
        <w:t>第二条 合同金额及付款方式</w:t>
      </w:r>
    </w:p>
    <w:p>
      <w:pPr>
        <w:tabs>
          <w:tab w:val="left" w:pos="1620"/>
          <w:tab w:val="left" w:pos="1680"/>
          <w:tab w:val="left" w:pos="2580"/>
          <w:tab w:val="left" w:pos="2940"/>
          <w:tab w:val="left" w:pos="3510"/>
          <w:tab w:val="left" w:pos="3780"/>
          <w:tab w:val="left" w:pos="4560"/>
          <w:tab w:val="left" w:pos="4620"/>
          <w:tab w:val="left" w:pos="5505"/>
          <w:tab w:val="left" w:pos="5880"/>
          <w:tab w:val="left" w:pos="6345"/>
        </w:tabs>
        <w:spacing w:line="360" w:lineRule="auto"/>
        <w:ind w:firstLine="420" w:firstLineChars="200"/>
        <w:rPr>
          <w:rFonts w:ascii="宋体" w:hAnsi="宋体" w:cs="宋体"/>
          <w:szCs w:val="21"/>
        </w:rPr>
      </w:pPr>
      <w:r>
        <w:rPr>
          <w:rFonts w:hint="eastAsia" w:ascii="宋体" w:hAnsi="宋体" w:cs="宋体"/>
          <w:szCs w:val="21"/>
        </w:rPr>
        <w:t>本合同中标金额为人民币大写</w:t>
      </w:r>
      <w:r>
        <w:rPr>
          <w:rFonts w:ascii="宋体" w:hAnsi="宋体" w:cs="宋体"/>
          <w:szCs w:val="21"/>
        </w:rPr>
        <w:softHyphen/>
      </w:r>
      <w:r>
        <w:rPr>
          <w:rFonts w:hint="eastAsia" w:ascii="宋体" w:hAnsi="宋体" w:cs="宋体"/>
          <w:szCs w:val="21"/>
        </w:rPr>
        <w:softHyphen/>
      </w:r>
      <w:r>
        <w:rPr>
          <w:rFonts w:hint="eastAsia" w:ascii="宋体" w:hAnsi="宋体" w:cs="宋体"/>
          <w:szCs w:val="21"/>
        </w:rPr>
        <w:softHyphen/>
      </w:r>
      <w:r>
        <w:rPr>
          <w:rFonts w:hint="eastAsia" w:ascii="宋体" w:hAnsi="宋体" w:cs="宋体"/>
          <w:szCs w:val="21"/>
        </w:rPr>
        <w:softHyphen/>
      </w:r>
      <w:r>
        <w:rPr>
          <w:rFonts w:hint="eastAsia" w:ascii="宋体" w:hAnsi="宋体" w:cs="宋体"/>
          <w:szCs w:val="21"/>
        </w:rPr>
        <w:softHyphen/>
      </w:r>
      <w:r>
        <w:rPr>
          <w:rFonts w:hint="eastAsia" w:ascii="宋体" w:hAnsi="宋体" w:cs="宋体"/>
          <w:szCs w:val="21"/>
        </w:rPr>
        <w:softHyphen/>
      </w:r>
      <w:r>
        <w:rPr>
          <w:rFonts w:hint="eastAsia" w:ascii="宋体" w:hAnsi="宋体" w:cs="宋体"/>
          <w:szCs w:val="21"/>
        </w:rPr>
        <w:softHyphen/>
      </w:r>
      <w:r>
        <w:rPr>
          <w:rFonts w:hint="eastAsia" w:ascii="宋体" w:hAnsi="宋体" w:cs="宋体"/>
          <w:szCs w:val="21"/>
        </w:rPr>
        <w:t>____元（小写：¥____元）。甲方最终支付给乙方的服务费不能超过合同中标金额。</w:t>
      </w:r>
    </w:p>
    <w:p>
      <w:pPr>
        <w:tabs>
          <w:tab w:val="left" w:pos="1620"/>
          <w:tab w:val="left" w:pos="1680"/>
          <w:tab w:val="left" w:pos="2580"/>
          <w:tab w:val="left" w:pos="2940"/>
          <w:tab w:val="left" w:pos="3510"/>
          <w:tab w:val="left" w:pos="3780"/>
          <w:tab w:val="left" w:pos="4560"/>
          <w:tab w:val="left" w:pos="4620"/>
          <w:tab w:val="left" w:pos="5505"/>
          <w:tab w:val="left" w:pos="5880"/>
          <w:tab w:val="left" w:pos="6345"/>
        </w:tabs>
        <w:spacing w:line="360" w:lineRule="auto"/>
        <w:ind w:firstLine="420" w:firstLineChars="200"/>
        <w:rPr>
          <w:rFonts w:ascii="宋体" w:hAnsi="宋体" w:cs="宋体"/>
          <w:szCs w:val="21"/>
        </w:rPr>
      </w:pPr>
      <w:bookmarkStart w:id="77" w:name="_Toc82702902"/>
      <w:bookmarkStart w:id="78" w:name="_Toc29915"/>
      <w:bookmarkStart w:id="79" w:name="_Toc82705988"/>
      <w:r>
        <w:rPr>
          <w:rFonts w:hint="eastAsia" w:ascii="宋体" w:hAnsi="宋体" w:cs="宋体"/>
          <w:szCs w:val="21"/>
        </w:rPr>
        <w:t>结算及付款方式：</w:t>
      </w:r>
    </w:p>
    <w:p>
      <w:pPr>
        <w:tabs>
          <w:tab w:val="left" w:pos="1620"/>
          <w:tab w:val="left" w:pos="1680"/>
          <w:tab w:val="left" w:pos="2580"/>
          <w:tab w:val="left" w:pos="2940"/>
          <w:tab w:val="left" w:pos="3510"/>
          <w:tab w:val="left" w:pos="3780"/>
          <w:tab w:val="left" w:pos="4560"/>
          <w:tab w:val="left" w:pos="4620"/>
          <w:tab w:val="left" w:pos="5505"/>
          <w:tab w:val="left" w:pos="5880"/>
          <w:tab w:val="left" w:pos="6345"/>
        </w:tabs>
        <w:spacing w:line="360" w:lineRule="auto"/>
        <w:ind w:firstLine="422" w:firstLineChars="200"/>
        <w:rPr>
          <w:rFonts w:ascii="宋体" w:hAnsi="宋体" w:cs="楷体"/>
          <w:b/>
          <w:bCs/>
          <w:szCs w:val="21"/>
        </w:rPr>
      </w:pPr>
      <w:r>
        <w:rPr>
          <w:rFonts w:hint="eastAsia" w:ascii="宋体" w:hAnsi="宋体" w:cs="楷体"/>
          <w:b/>
          <w:bCs/>
          <w:szCs w:val="21"/>
        </w:rPr>
        <w:t>（一）结算方式</w:t>
      </w:r>
    </w:p>
    <w:p>
      <w:pPr>
        <w:spacing w:line="276" w:lineRule="auto"/>
        <w:ind w:firstLine="420" w:firstLineChars="200"/>
        <w:outlineLvl w:val="1"/>
      </w:pPr>
      <w:r>
        <w:rPr>
          <w:rFonts w:hint="eastAsia" w:ascii="宋体" w:hAnsi="宋体" w:cs="宋体"/>
          <w:szCs w:val="21"/>
          <w:highlight w:val="red"/>
        </w:rPr>
        <w:t>物业管理服务费按照“当月支付上月”的方式进行结算，具体计算方法如下：根据乙方上月实际提供的物业管理服务（包括加班费等）和考核验收情况据实结算，计算公式：当月物业管理服务费支付金额=乙方上月实际提供的物业管理服务（包括加班费等）-上月考核扣减金额。</w:t>
      </w:r>
    </w:p>
    <w:p>
      <w:pPr>
        <w:tabs>
          <w:tab w:val="left" w:pos="1620"/>
          <w:tab w:val="left" w:pos="1680"/>
          <w:tab w:val="left" w:pos="2580"/>
          <w:tab w:val="left" w:pos="2940"/>
          <w:tab w:val="left" w:pos="3510"/>
          <w:tab w:val="left" w:pos="3780"/>
          <w:tab w:val="left" w:pos="4560"/>
          <w:tab w:val="left" w:pos="4620"/>
          <w:tab w:val="left" w:pos="5505"/>
          <w:tab w:val="left" w:pos="5880"/>
          <w:tab w:val="left" w:pos="6345"/>
        </w:tabs>
        <w:spacing w:line="360" w:lineRule="auto"/>
        <w:ind w:firstLine="422" w:firstLineChars="200"/>
        <w:rPr>
          <w:rFonts w:ascii="宋体" w:hAnsi="宋体" w:cs="楷体"/>
          <w:b/>
          <w:bCs/>
          <w:szCs w:val="21"/>
        </w:rPr>
      </w:pPr>
      <w:r>
        <w:rPr>
          <w:rFonts w:hint="eastAsia" w:ascii="宋体" w:hAnsi="宋体" w:cs="楷体"/>
          <w:b/>
          <w:bCs/>
          <w:szCs w:val="21"/>
        </w:rPr>
        <w:t>（二）付款方式</w:t>
      </w:r>
    </w:p>
    <w:p>
      <w:pPr>
        <w:tabs>
          <w:tab w:val="left" w:pos="1620"/>
          <w:tab w:val="left" w:pos="1680"/>
          <w:tab w:val="left" w:pos="2580"/>
          <w:tab w:val="left" w:pos="2940"/>
          <w:tab w:val="left" w:pos="3510"/>
          <w:tab w:val="left" w:pos="3780"/>
          <w:tab w:val="left" w:pos="4560"/>
          <w:tab w:val="left" w:pos="4620"/>
          <w:tab w:val="left" w:pos="5505"/>
          <w:tab w:val="left" w:pos="5880"/>
          <w:tab w:val="left" w:pos="6345"/>
        </w:tabs>
        <w:spacing w:line="360" w:lineRule="auto"/>
        <w:ind w:firstLine="420" w:firstLineChars="200"/>
        <w:rPr>
          <w:rFonts w:ascii="宋体" w:hAnsi="宋体" w:cs="宋体"/>
          <w:szCs w:val="21"/>
        </w:rPr>
      </w:pPr>
      <w:r>
        <w:rPr>
          <w:rFonts w:hint="eastAsia" w:ascii="宋体" w:hAnsi="宋体" w:cs="宋体"/>
          <w:szCs w:val="21"/>
        </w:rPr>
        <w:t>（1）每次按合同支付款项前，乙方应先向甲方开具提供与支付金额相符的有效发票作为甲方付款的前提，且收款方、出具发票方、合同乙方均必须与中标人名称一致。甲方收到发票等相关资料并审核无误后在20个工作日内办理支付手续。</w:t>
      </w:r>
    </w:p>
    <w:p>
      <w:pPr>
        <w:tabs>
          <w:tab w:val="left" w:pos="1620"/>
          <w:tab w:val="left" w:pos="1680"/>
          <w:tab w:val="left" w:pos="2580"/>
          <w:tab w:val="left" w:pos="2940"/>
          <w:tab w:val="left" w:pos="3510"/>
          <w:tab w:val="left" w:pos="3780"/>
          <w:tab w:val="left" w:pos="4560"/>
          <w:tab w:val="left" w:pos="4620"/>
          <w:tab w:val="left" w:pos="5505"/>
          <w:tab w:val="left" w:pos="5880"/>
          <w:tab w:val="left" w:pos="6345"/>
        </w:tabs>
        <w:spacing w:line="360" w:lineRule="auto"/>
        <w:ind w:firstLine="420" w:firstLineChars="200"/>
        <w:rPr>
          <w:rFonts w:ascii="宋体" w:hAnsi="宋体" w:cs="宋体"/>
          <w:szCs w:val="21"/>
        </w:rPr>
      </w:pPr>
      <w:r>
        <w:rPr>
          <w:rFonts w:hint="eastAsia" w:ascii="宋体" w:hAnsi="宋体" w:cs="宋体"/>
          <w:szCs w:val="21"/>
        </w:rPr>
        <w:t>（2）本项目据实结算，乙方须按照法律规定及甲方的要求开具发票。</w:t>
      </w:r>
    </w:p>
    <w:p>
      <w:pPr>
        <w:tabs>
          <w:tab w:val="left" w:pos="1620"/>
          <w:tab w:val="left" w:pos="1680"/>
          <w:tab w:val="left" w:pos="2580"/>
          <w:tab w:val="left" w:pos="2940"/>
          <w:tab w:val="left" w:pos="3510"/>
          <w:tab w:val="left" w:pos="3780"/>
          <w:tab w:val="left" w:pos="4560"/>
          <w:tab w:val="left" w:pos="4620"/>
          <w:tab w:val="left" w:pos="5505"/>
          <w:tab w:val="left" w:pos="5880"/>
          <w:tab w:val="left" w:pos="6345"/>
        </w:tabs>
        <w:spacing w:line="360" w:lineRule="auto"/>
        <w:ind w:firstLine="420" w:firstLineChars="200"/>
        <w:rPr>
          <w:rFonts w:ascii="宋体" w:hAnsi="宋体" w:cs="宋体"/>
          <w:szCs w:val="21"/>
        </w:rPr>
      </w:pPr>
      <w:r>
        <w:rPr>
          <w:rFonts w:hint="eastAsia" w:ascii="宋体" w:hAnsi="宋体" w:cs="宋体"/>
          <w:szCs w:val="21"/>
        </w:rPr>
        <w:t>（3）如遇财政拨款未到位情况，上述付款期限顺延，乙方不得追究甲方的相关法律责任。</w:t>
      </w:r>
    </w:p>
    <w:p>
      <w:pPr>
        <w:tabs>
          <w:tab w:val="left" w:pos="1620"/>
          <w:tab w:val="left" w:pos="1680"/>
          <w:tab w:val="left" w:pos="2580"/>
          <w:tab w:val="left" w:pos="2940"/>
          <w:tab w:val="left" w:pos="3510"/>
          <w:tab w:val="left" w:pos="3780"/>
          <w:tab w:val="left" w:pos="4560"/>
          <w:tab w:val="left" w:pos="4620"/>
          <w:tab w:val="left" w:pos="5505"/>
          <w:tab w:val="left" w:pos="5880"/>
          <w:tab w:val="left" w:pos="6345"/>
        </w:tabs>
        <w:spacing w:line="360" w:lineRule="auto"/>
        <w:outlineLvl w:val="2"/>
        <w:rPr>
          <w:rFonts w:ascii="宋体" w:hAnsi="宋体" w:cs="宋体"/>
          <w:b/>
          <w:szCs w:val="21"/>
        </w:rPr>
      </w:pPr>
      <w:r>
        <w:rPr>
          <w:rFonts w:hint="eastAsia" w:ascii="宋体" w:hAnsi="宋体" w:cs="宋体"/>
          <w:b/>
          <w:szCs w:val="21"/>
        </w:rPr>
        <w:t>第三条 服务内容及要求</w:t>
      </w:r>
    </w:p>
    <w:bookmarkEnd w:id="77"/>
    <w:bookmarkEnd w:id="78"/>
    <w:bookmarkEnd w:id="79"/>
    <w:p>
      <w:pPr>
        <w:widowControl/>
        <w:spacing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、本项目需提供的物业管理服务，具体如下，包括但不限于：</w:t>
      </w:r>
    </w:p>
    <w:p>
      <w:pPr>
        <w:widowControl/>
        <w:spacing w:line="360" w:lineRule="auto"/>
        <w:ind w:firstLine="630" w:firstLineChars="3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保安服务；</w:t>
      </w:r>
    </w:p>
    <w:p>
      <w:pPr>
        <w:widowControl/>
        <w:spacing w:line="360" w:lineRule="auto"/>
        <w:ind w:firstLine="630" w:firstLineChars="300"/>
        <w:rPr>
          <w:rFonts w:ascii="宋体" w:hAnsi="宋体" w:cs="宋体"/>
          <w:szCs w:val="21"/>
        </w:rPr>
      </w:pPr>
      <w:r>
        <w:rPr>
          <w:rFonts w:ascii="宋体" w:hAnsi="宋体" w:cs="宋体"/>
          <w:szCs w:val="21"/>
        </w:rPr>
        <w:t>2.</w:t>
      </w:r>
      <w:r>
        <w:rPr>
          <w:rFonts w:hint="eastAsia" w:ascii="宋体" w:hAnsi="宋体" w:cs="宋体"/>
          <w:szCs w:val="21"/>
        </w:rPr>
        <w:t>保洁服务；</w:t>
      </w:r>
    </w:p>
    <w:p>
      <w:pPr>
        <w:widowControl/>
        <w:spacing w:line="360" w:lineRule="auto"/>
        <w:ind w:firstLine="630" w:firstLineChars="300"/>
        <w:rPr>
          <w:rFonts w:ascii="宋体" w:hAnsi="宋体" w:cs="宋体"/>
          <w:szCs w:val="21"/>
        </w:rPr>
      </w:pPr>
      <w:r>
        <w:rPr>
          <w:rFonts w:ascii="宋体" w:hAnsi="宋体" w:cs="宋体"/>
          <w:szCs w:val="21"/>
        </w:rPr>
        <w:t>3.</w:t>
      </w:r>
      <w:r>
        <w:rPr>
          <w:rFonts w:hint="eastAsia" w:ascii="宋体" w:hAnsi="宋体" w:cs="宋体"/>
          <w:szCs w:val="21"/>
        </w:rPr>
        <w:t>电工服务；</w:t>
      </w:r>
    </w:p>
    <w:p>
      <w:pPr>
        <w:widowControl/>
        <w:spacing w:line="360" w:lineRule="auto"/>
        <w:ind w:firstLine="630" w:firstLineChars="300"/>
        <w:rPr>
          <w:rFonts w:ascii="宋体" w:hAnsi="宋体" w:cs="宋体"/>
          <w:szCs w:val="21"/>
        </w:rPr>
      </w:pPr>
      <w:r>
        <w:rPr>
          <w:rFonts w:ascii="宋体" w:hAnsi="宋体" w:cs="宋体"/>
          <w:szCs w:val="21"/>
        </w:rPr>
        <w:t>4.</w:t>
      </w:r>
      <w:r>
        <w:rPr>
          <w:rFonts w:hint="eastAsia" w:ascii="宋体" w:hAnsi="宋体" w:cs="宋体"/>
          <w:szCs w:val="21"/>
        </w:rPr>
        <w:t>绿化养护服务等。</w:t>
      </w:r>
    </w:p>
    <w:p>
      <w:pPr>
        <w:tabs>
          <w:tab w:val="left" w:pos="1620"/>
          <w:tab w:val="left" w:pos="1680"/>
          <w:tab w:val="left" w:pos="2580"/>
          <w:tab w:val="left" w:pos="2940"/>
          <w:tab w:val="left" w:pos="3510"/>
          <w:tab w:val="left" w:pos="3780"/>
          <w:tab w:val="left" w:pos="4560"/>
          <w:tab w:val="left" w:pos="4620"/>
          <w:tab w:val="left" w:pos="5505"/>
          <w:tab w:val="left" w:pos="5880"/>
          <w:tab w:val="left" w:pos="6345"/>
        </w:tabs>
        <w:spacing w:line="360" w:lineRule="auto"/>
        <w:ind w:firstLine="420" w:firstLineChars="200"/>
        <w:outlineLvl w:val="2"/>
        <w:rPr>
          <w:rFonts w:ascii="宋体" w:hAnsi="宋体" w:cs="宋体"/>
          <w:szCs w:val="21"/>
        </w:rPr>
      </w:pPr>
      <w:bookmarkStart w:id="80" w:name="_Hlk141868938"/>
      <w:r>
        <w:rPr>
          <w:rFonts w:ascii="宋体" w:hAnsi="宋体" w:cs="宋体"/>
          <w:szCs w:val="21"/>
        </w:rPr>
        <w:t>2、服务地点</w:t>
      </w:r>
      <w:r>
        <w:rPr>
          <w:rFonts w:hint="eastAsia" w:ascii="宋体" w:hAnsi="宋体" w:cs="宋体"/>
          <w:szCs w:val="21"/>
        </w:rPr>
        <w:t>包括但不限于</w:t>
      </w:r>
      <w:r>
        <w:rPr>
          <w:rFonts w:ascii="宋体" w:hAnsi="宋体" w:cs="宋体"/>
          <w:szCs w:val="21"/>
        </w:rPr>
        <w:t>：</w:t>
      </w:r>
    </w:p>
    <w:bookmarkEnd w:id="80"/>
    <w:p>
      <w:pPr>
        <w:snapToGrid w:val="0"/>
        <w:spacing w:line="396" w:lineRule="auto"/>
        <w:ind w:firstLine="420" w:firstLineChars="200"/>
        <w:jc w:val="left"/>
        <w:rPr>
          <w:rFonts w:ascii="宋体" w:hAnsi="宋体" w:cs="宋体"/>
          <w:szCs w:val="21"/>
        </w:rPr>
      </w:pPr>
      <w:r>
        <w:rPr>
          <w:rFonts w:hint="eastAsia" w:ascii="宋体" w:hAnsi="宋体" w:cs="仿宋_GB2312"/>
          <w:szCs w:val="21"/>
        </w:rPr>
        <w:t>国家税务总局阳江高新技术产业开发区税务局办公区，位于广东省阳江市江城区平冈镇政德路西2号、西7号及平冈镇兴业街附楼。 说明 ：上述服务地点如需调整的，甲方和乙方可以进行协商，并根据甲方的实际服务需要进行调整</w:t>
      </w:r>
      <w:r>
        <w:rPr>
          <w:rFonts w:hint="eastAsia" w:ascii="宋体" w:hAnsi="宋体" w:cs="宋体"/>
          <w:szCs w:val="21"/>
        </w:rPr>
        <w:t>。</w:t>
      </w:r>
    </w:p>
    <w:p>
      <w:pPr>
        <w:snapToGrid w:val="0"/>
        <w:spacing w:line="396" w:lineRule="auto"/>
        <w:ind w:firstLine="422" w:firstLineChars="200"/>
        <w:jc w:val="left"/>
        <w:rPr>
          <w:rFonts w:ascii="宋体" w:hAnsi="宋体" w:cs="宋体"/>
          <w:b/>
          <w:szCs w:val="21"/>
        </w:rPr>
      </w:pPr>
      <w:r>
        <w:rPr>
          <w:rFonts w:hint="eastAsia" w:ascii="宋体" w:hAnsi="宋体" w:cs="宋体"/>
          <w:b/>
          <w:szCs w:val="21"/>
        </w:rPr>
        <w:t>第四条 考核及验收标准</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1、甲方对乙方的物业管理服务数量和质量情况进行考核及验收，并对造成失误、过错、事故的，当月处罚并追究相关责任，其考核扣减费用下月据实结算。</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2、招标文件条款明确的责任及罚则所涉及的投诉类型、失误、过错大小、事故性质、有效性的确定由甲方与乙方在合同签订时协商予以明确,分歧异议部分，以甲方后勤主管部门的意见为准。</w:t>
      </w:r>
    </w:p>
    <w:p>
      <w:pPr>
        <w:snapToGrid w:val="0"/>
        <w:spacing w:line="396" w:lineRule="auto"/>
        <w:ind w:firstLine="420" w:firstLineChars="200"/>
        <w:rPr>
          <w:rFonts w:ascii="宋体" w:hAnsi="宋体" w:cs="仿宋_GB2312"/>
          <w:szCs w:val="21"/>
        </w:rPr>
      </w:pPr>
      <w:r>
        <w:rPr>
          <w:rFonts w:hint="eastAsia" w:ascii="宋体" w:hAnsi="宋体" w:cs="仿宋_GB2312"/>
          <w:szCs w:val="21"/>
        </w:rPr>
        <w:t>3、甲方对乙方管理服务期间每月综合考评一次，累计有两个月得分低于80分，则视为不合格，甲方有权提前解除和终止合同。</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4、乙方如有违反或未达到招标文件内★号项要求，视为0分考评，甲方有权终止合同，重新组织招标。有分歧异议的，以甲方的意见为准。</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5、甲方和乙方共同参与乙方服务工作人员考勤管理，乙方服务工作人员出勤率应达规定人数的100%，每日全勤奖励加0.3分，每缺勤1次扣0.5分。</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6、在经营活动中存在违反税收法规财务制度及其他违法违规记录，扣20分。</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7、在经营中是否履行合同承诺。很好履行合同承诺得3分；基本履行合同承诺不得分；未履行合同承诺每次扣3分。</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8、提倡节约能源，不准浪费水、电及消耗品等公共资源，违反则扣0.5分/次。</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9、严格执行和遵守各项管理制度，不准违反工作纪律、违规操作，违反扣1分。</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10、一般过错的有效投诉，扣减服务费60元/次。</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11、一般过错的重（反）复性有效投诉，扣减服务费120元/次。</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12、较大过错的有效投诉，扣减服务费180元/次。</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13、较大过错的的重（反）复性有效投诉，扣减服务费480元/次。</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14、重大过错的有效投诉，扣减服务费720元/次。</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15、重大过错的重（反）复性有效投诉，扣减服务费1800元/次。</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16、一般事故过错的，扣减服务费1.5-2.4万元/次。</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17、较大事故过错的，扣减服务费3-6万元/次。</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18、重大事故过错的，扣减服务费6-15万元/次。</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19、违反以下条款每条每个事项扣0.5分</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（1）工作或执勤时，乙方</w:t>
      </w:r>
      <w:r>
        <w:rPr>
          <w:rFonts w:hint="eastAsia" w:ascii="宋体" w:hAnsi="宋体" w:cs="仿宋_GB2312"/>
          <w:color w:val="FF0000"/>
          <w:szCs w:val="21"/>
          <w:highlight w:val="yellow"/>
        </w:rPr>
        <w:t>的所有岗位服务人员必须身</w:t>
      </w:r>
      <w:r>
        <w:rPr>
          <w:rFonts w:hint="eastAsia" w:ascii="宋体" w:hAnsi="宋体" w:cs="仿宋_GB2312"/>
          <w:szCs w:val="21"/>
        </w:rPr>
        <w:t>着制服，佩证上岗，制服不准混穿；</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（2）乙</w:t>
      </w:r>
      <w:r>
        <w:rPr>
          <w:rFonts w:hint="eastAsia" w:ascii="宋体" w:hAnsi="宋体" w:cs="仿宋_GB2312"/>
          <w:color w:val="FF0000"/>
          <w:szCs w:val="21"/>
          <w:highlight w:val="yellow"/>
        </w:rPr>
        <w:t>方的所有岗位服务人员的制服要</w:t>
      </w:r>
      <w:r>
        <w:rPr>
          <w:rFonts w:hint="eastAsia" w:ascii="宋体" w:hAnsi="宋体" w:cs="仿宋_GB2312"/>
          <w:szCs w:val="21"/>
        </w:rPr>
        <w:t>保持整洁、平整，不得敞胸露怀、卷袖子、挽裤腿；</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（3）上班时间须精神振作、精力集中，不得袖手、插手、背手；</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4）值班在岗时站姿、坐姿姿态端正，保持立正姿势，不得东摇西晃、坐卧、倚靠、躺卧、打盹、吸烟、吃东西、电话聊天、看书报、下棋、玩弄手机、听看音频视频，不得聊天，大声说话，喧闹，嘻哈玩笑，随意走动、乱堆乱放；</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（5）上班人员提前十五分钟达到各执勤工作岗位，办理接班手续、做好交班记录和物品出入登记，没人顶接不准擅自离开岗位；</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（6）值班人员不准在岗就餐，值班时不得会客；</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（7）工作有礼有节，热情受理各种问题，对发现的问题要及时解决，解决不了的及时汇报并做好登记管理；</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（8）工作场所保持整洁、不准随意粘贴、悬挂与堆放与工作无关的物品；</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（9）有效投诉一次。</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20、如有气味、噪音、饮水等影响了甲方正常工作秩序，乙方没能及时处理和制止，每次扣减物业管理费¥2000元。</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21、按规定准时关闭空调、电脑、照明、抽风及非须使用的电气设备，若造成浪费，每次扣减物业管理费¥100元。</w:t>
      </w:r>
    </w:p>
    <w:p>
      <w:pPr>
        <w:snapToGrid w:val="0"/>
        <w:spacing w:line="396" w:lineRule="auto"/>
        <w:ind w:firstLine="420" w:firstLineChars="200"/>
        <w:jc w:val="left"/>
        <w:rPr>
          <w:rFonts w:ascii="宋体" w:hAnsi="宋体" w:cs="仿宋_GB2312"/>
          <w:szCs w:val="21"/>
        </w:rPr>
      </w:pPr>
      <w:r>
        <w:rPr>
          <w:rFonts w:hint="eastAsia" w:ascii="宋体" w:hAnsi="宋体" w:cs="仿宋_GB2312"/>
          <w:szCs w:val="21"/>
        </w:rPr>
        <w:t>22、招标文件和合同其它约定相关事项。</w:t>
      </w:r>
    </w:p>
    <w:p>
      <w:pPr>
        <w:tabs>
          <w:tab w:val="left" w:pos="1620"/>
          <w:tab w:val="left" w:pos="1680"/>
          <w:tab w:val="left" w:pos="2580"/>
          <w:tab w:val="left" w:pos="2940"/>
          <w:tab w:val="left" w:pos="3510"/>
          <w:tab w:val="left" w:pos="3780"/>
          <w:tab w:val="left" w:pos="4560"/>
          <w:tab w:val="left" w:pos="4620"/>
          <w:tab w:val="left" w:pos="5505"/>
          <w:tab w:val="left" w:pos="5880"/>
          <w:tab w:val="left" w:pos="6345"/>
        </w:tabs>
        <w:spacing w:line="360" w:lineRule="auto"/>
        <w:outlineLvl w:val="2"/>
        <w:rPr>
          <w:rFonts w:ascii="宋体" w:hAnsi="宋体" w:cs="宋体"/>
          <w:b/>
          <w:szCs w:val="21"/>
        </w:rPr>
      </w:pPr>
      <w:r>
        <w:rPr>
          <w:rFonts w:hint="eastAsia" w:ascii="宋体" w:hAnsi="宋体" w:cs="宋体"/>
          <w:b/>
          <w:szCs w:val="21"/>
        </w:rPr>
        <w:t>第五条 权利和义务</w:t>
      </w:r>
    </w:p>
    <w:p>
      <w:pPr>
        <w:widowControl/>
        <w:spacing w:line="360" w:lineRule="auto"/>
        <w:ind w:firstLine="420" w:firstLineChars="200"/>
        <w:rPr>
          <w:rFonts w:ascii="宋体" w:hAnsi="宋体" w:cs="宋体"/>
          <w:szCs w:val="21"/>
        </w:rPr>
      </w:pPr>
      <w:r>
        <w:rPr>
          <w:rFonts w:hint="eastAsia" w:ascii="宋体" w:hAnsi="宋体" w:cs="宋体"/>
          <w:szCs w:val="21"/>
        </w:rPr>
        <w:t>1、甲方权利和义务</w:t>
      </w:r>
    </w:p>
    <w:p>
      <w:pPr>
        <w:widowControl/>
        <w:spacing w:line="360" w:lineRule="auto"/>
        <w:ind w:firstLine="420" w:firstLineChars="200"/>
        <w:rPr>
          <w:rFonts w:ascii="宋体" w:hAnsi="宋体" w:cs="宋体"/>
          <w:szCs w:val="21"/>
        </w:rPr>
      </w:pPr>
      <w:r>
        <w:rPr>
          <w:rFonts w:hint="eastAsia" w:ascii="宋体" w:hAnsi="宋体" w:cs="宋体"/>
          <w:szCs w:val="21"/>
        </w:rPr>
        <w:t>（1）代表和维护产权人、使用人的合法权益。</w:t>
      </w:r>
    </w:p>
    <w:p>
      <w:pPr>
        <w:widowControl/>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）检查监督乙方管理工作的实施及制度的执行情况。</w:t>
      </w:r>
    </w:p>
    <w:p>
      <w:pPr>
        <w:widowControl/>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）负责收集、整理管理所需全部档案、资料，适时提供给乙方。</w:t>
      </w:r>
    </w:p>
    <w:p>
      <w:pPr>
        <w:widowControl/>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）对乙方不称职的工作人员，甲方有权要求乙方限期更换。</w:t>
      </w:r>
    </w:p>
    <w:p>
      <w:pPr>
        <w:widowControl/>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）协助乙方做好管理工作。</w:t>
      </w:r>
    </w:p>
    <w:p>
      <w:pPr>
        <w:widowControl/>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）按时支付管理费给乙方。</w:t>
      </w:r>
    </w:p>
    <w:p>
      <w:pPr>
        <w:widowControl/>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）本项目招标文件、投标文件及合同附件中约定的甲方其它权利义务。</w:t>
      </w:r>
    </w:p>
    <w:p>
      <w:pPr>
        <w:widowControl/>
        <w:spacing w:line="360" w:lineRule="auto"/>
        <w:ind w:firstLine="420" w:firstLineChars="200"/>
        <w:rPr>
          <w:rFonts w:ascii="宋体" w:hAnsi="宋体" w:cs="宋体"/>
          <w:szCs w:val="21"/>
        </w:rPr>
      </w:pPr>
      <w:r>
        <w:rPr>
          <w:rFonts w:hint="eastAsia" w:ascii="宋体" w:hAnsi="宋体" w:cs="宋体"/>
          <w:szCs w:val="21"/>
        </w:rPr>
        <w:t>2、乙方权利义务</w:t>
      </w:r>
    </w:p>
    <w:p>
      <w:pPr>
        <w:widowControl/>
        <w:spacing w:line="360" w:lineRule="auto"/>
        <w:ind w:firstLine="420" w:firstLineChars="200"/>
        <w:rPr>
          <w:rFonts w:ascii="宋体" w:hAnsi="宋体" w:cs="宋体"/>
          <w:szCs w:val="21"/>
        </w:rPr>
      </w:pPr>
      <w:r>
        <w:rPr>
          <w:rFonts w:hint="eastAsia" w:ascii="宋体" w:hAnsi="宋体" w:cs="宋体"/>
          <w:szCs w:val="21"/>
        </w:rPr>
        <w:t>（1）根据有关法律法规及本合同的约定，制订管理制度，并经甲方审定后实施。</w:t>
      </w:r>
    </w:p>
    <w:p>
      <w:pPr>
        <w:widowControl/>
        <w:spacing w:line="360" w:lineRule="auto"/>
        <w:ind w:firstLine="420" w:firstLineChars="200"/>
        <w:rPr>
          <w:rFonts w:ascii="宋体" w:hAnsi="宋体" w:cs="宋体"/>
          <w:szCs w:val="21"/>
        </w:rPr>
      </w:pPr>
      <w:r>
        <w:rPr>
          <w:rFonts w:hint="eastAsia" w:ascii="宋体" w:hAnsi="宋体" w:cs="宋体"/>
          <w:szCs w:val="21"/>
        </w:rPr>
        <w:t>（2）乙方违反招标文件或合同约定，擅自转包，甲方有权解除合同，并限期乙方在规定的时间内移交物业管理有关档案资料。</w:t>
      </w:r>
    </w:p>
    <w:p>
      <w:pPr>
        <w:widowControl/>
        <w:spacing w:line="360" w:lineRule="auto"/>
        <w:ind w:firstLine="420" w:firstLineChars="200"/>
        <w:rPr>
          <w:rFonts w:ascii="宋体" w:hAnsi="宋体" w:cs="宋体"/>
          <w:szCs w:val="21"/>
        </w:rPr>
      </w:pPr>
      <w:r>
        <w:rPr>
          <w:rFonts w:hint="eastAsia" w:ascii="宋体" w:hAnsi="宋体" w:cs="宋体"/>
          <w:szCs w:val="21"/>
        </w:rPr>
        <w:t>（3）负责编制管理年度计划。</w:t>
      </w:r>
    </w:p>
    <w:p>
      <w:pPr>
        <w:widowControl/>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）在服务期内，乙方必须做好工作人员所需要的安全教育及安全措施，保证工作人员的安全。如乙方工作人员或其指派人员在甲方工作范围内发生任何事故的，一切责任由乙方负责承担，与甲方无关。</w:t>
      </w:r>
    </w:p>
    <w:p>
      <w:pPr>
        <w:widowControl/>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）乙</w:t>
      </w:r>
      <w:r>
        <w:rPr>
          <w:rFonts w:hint="eastAsia" w:ascii="宋体" w:hAnsi="宋体" w:cs="宋体"/>
          <w:color w:val="FF0000"/>
          <w:szCs w:val="21"/>
          <w:highlight w:val="yellow"/>
        </w:rPr>
        <w:t>方的岗位服务人员要有符合国家规</w:t>
      </w:r>
      <w:r>
        <w:rPr>
          <w:rFonts w:hint="eastAsia" w:ascii="宋体" w:hAnsi="宋体" w:cs="宋体"/>
          <w:szCs w:val="21"/>
        </w:rPr>
        <w:t>定的上岗证，同时，乙</w:t>
      </w:r>
      <w:r>
        <w:rPr>
          <w:rFonts w:hint="eastAsia" w:ascii="宋体" w:hAnsi="宋体" w:cs="宋体"/>
          <w:color w:val="FF0000"/>
          <w:szCs w:val="21"/>
          <w:highlight w:val="yellow"/>
        </w:rPr>
        <w:t>方的岗位服务人员须听从甲方调动</w:t>
      </w:r>
      <w:r>
        <w:rPr>
          <w:rFonts w:hint="eastAsia" w:ascii="宋体" w:hAnsi="宋体" w:cs="宋体"/>
          <w:szCs w:val="21"/>
        </w:rPr>
        <w:t>指挥。</w:t>
      </w:r>
    </w:p>
    <w:p>
      <w:pPr>
        <w:widowControl/>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）乙方用工以及其员工的工资、社会保险、公积金等薪酬、福利，必须符合国家劳动用工以及相关法律法规规定。</w:t>
      </w:r>
    </w:p>
    <w:p>
      <w:pPr>
        <w:widowControl/>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）本合同终止时，乙方必须在甲方要求的时间内及时移交全部管理有关档案资料。</w:t>
      </w:r>
    </w:p>
    <w:p>
      <w:pPr>
        <w:widowControl/>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）本项目招标文件及合同附件中约定的乙方其它权利义务。</w:t>
      </w:r>
    </w:p>
    <w:p>
      <w:pPr>
        <w:widowControl/>
        <w:spacing w:line="360" w:lineRule="auto"/>
        <w:ind w:firstLine="420" w:firstLineChars="200"/>
        <w:rPr>
          <w:rFonts w:ascii="宋体" w:hAnsi="宋体" w:cs="宋体"/>
          <w:szCs w:val="21"/>
        </w:rPr>
      </w:pPr>
      <w:r>
        <w:rPr>
          <w:rFonts w:hint="eastAsia" w:ascii="宋体" w:hAnsi="宋体" w:cs="宋体"/>
          <w:szCs w:val="21"/>
        </w:rPr>
        <w:t>（9）若</w:t>
      </w:r>
      <w:r>
        <w:rPr>
          <w:rFonts w:hint="eastAsia" w:ascii="宋体" w:hAnsi="宋体" w:cs="宋体"/>
          <w:color w:val="FF0000"/>
          <w:szCs w:val="21"/>
          <w:highlight w:val="yellow"/>
        </w:rPr>
        <w:t>乙方不依法与岗位服务人员签订劳动</w:t>
      </w:r>
      <w:r>
        <w:rPr>
          <w:rFonts w:hint="eastAsia" w:ascii="宋体" w:hAnsi="宋体" w:cs="宋体"/>
          <w:szCs w:val="21"/>
        </w:rPr>
        <w:t>合同、购买社保、公积金或者违法解除劳动关系等违法违纪行为产生的一切经济和法律责任均由乙方负责处理和承担，因此造成甲方损失的，甲方有权向乙方索赔。</w:t>
      </w:r>
    </w:p>
    <w:p>
      <w:pPr>
        <w:tabs>
          <w:tab w:val="left" w:pos="1620"/>
          <w:tab w:val="left" w:pos="1680"/>
          <w:tab w:val="left" w:pos="2580"/>
          <w:tab w:val="left" w:pos="2940"/>
          <w:tab w:val="left" w:pos="3510"/>
          <w:tab w:val="left" w:pos="3780"/>
          <w:tab w:val="left" w:pos="4560"/>
          <w:tab w:val="left" w:pos="4620"/>
          <w:tab w:val="left" w:pos="5505"/>
          <w:tab w:val="left" w:pos="5880"/>
          <w:tab w:val="left" w:pos="6345"/>
        </w:tabs>
        <w:spacing w:line="360" w:lineRule="auto"/>
        <w:outlineLvl w:val="2"/>
        <w:rPr>
          <w:rFonts w:ascii="宋体" w:hAnsi="宋体" w:cs="宋体"/>
          <w:szCs w:val="21"/>
        </w:rPr>
      </w:pPr>
      <w:r>
        <w:rPr>
          <w:rFonts w:hint="eastAsia" w:ascii="宋体" w:hAnsi="宋体" w:cs="宋体"/>
          <w:b/>
          <w:szCs w:val="21"/>
        </w:rPr>
        <w:t>第六条 知识产权产权归属</w:t>
      </w:r>
    </w:p>
    <w:p>
      <w:pPr>
        <w:spacing w:line="360" w:lineRule="auto"/>
        <w:ind w:firstLine="420" w:firstLineChars="200"/>
        <w:rPr>
          <w:rFonts w:ascii="宋体" w:hAnsi="宋体" w:cs="宋体"/>
          <w:szCs w:val="21"/>
        </w:rPr>
      </w:pPr>
      <w:r>
        <w:rPr>
          <w:rFonts w:hint="eastAsia" w:ascii="宋体" w:hAnsi="宋体" w:cs="宋体"/>
          <w:szCs w:val="21"/>
        </w:rPr>
        <w:t>乙方应当保证其所提供的服务不存在任何知识产权的瑕疵。如因乙方或其供应商侵犯第三方的专利权、商标专用权、著作权、商业秘密或其他权益产生争议，给甲方造成经济损失时，乙方应承担全部责任并承担包括但不限于律师代理费、诉讼费、调查费及其他因乙方侵犯他人的知识产权所产生的各种费用。</w:t>
      </w:r>
    </w:p>
    <w:p>
      <w:pPr>
        <w:kinsoku w:val="0"/>
        <w:overflowPunct w:val="0"/>
        <w:spacing w:line="360" w:lineRule="auto"/>
        <w:outlineLvl w:val="2"/>
        <w:rPr>
          <w:rFonts w:ascii="宋体" w:hAnsi="宋体" w:cs="宋体"/>
          <w:b/>
          <w:szCs w:val="21"/>
        </w:rPr>
      </w:pPr>
      <w:r>
        <w:rPr>
          <w:rFonts w:hint="eastAsia" w:ascii="宋体" w:hAnsi="宋体" w:cs="宋体"/>
          <w:b/>
          <w:szCs w:val="21"/>
        </w:rPr>
        <w:t>第七条 安全责任</w:t>
      </w:r>
    </w:p>
    <w:p>
      <w:pPr>
        <w:spacing w:line="360" w:lineRule="auto"/>
        <w:ind w:firstLine="420" w:firstLineChars="200"/>
        <w:rPr>
          <w:rFonts w:ascii="宋体" w:hAnsi="宋体" w:cs="宋体"/>
          <w:szCs w:val="21"/>
        </w:rPr>
      </w:pPr>
      <w:r>
        <w:rPr>
          <w:rFonts w:hint="eastAsia" w:ascii="宋体" w:hAnsi="宋体" w:cs="宋体"/>
          <w:szCs w:val="21"/>
        </w:rPr>
        <w:t>乙方必须服从甲方的安全生产管理，乙方不服从管理导致生产安全事故的，由乙方承担全部责任。</w:t>
      </w:r>
    </w:p>
    <w:p>
      <w:pPr>
        <w:kinsoku w:val="0"/>
        <w:overflowPunct w:val="0"/>
        <w:spacing w:line="360" w:lineRule="auto"/>
        <w:outlineLvl w:val="2"/>
        <w:rPr>
          <w:rFonts w:ascii="宋体" w:hAnsi="宋体" w:cs="宋体"/>
          <w:b/>
          <w:szCs w:val="21"/>
        </w:rPr>
      </w:pPr>
      <w:r>
        <w:rPr>
          <w:rFonts w:hint="eastAsia" w:ascii="宋体" w:hAnsi="宋体" w:cs="宋体"/>
          <w:b/>
          <w:szCs w:val="21"/>
        </w:rPr>
        <w:t>第八条 事故责任与处理</w:t>
      </w:r>
    </w:p>
    <w:p>
      <w:pPr>
        <w:spacing w:line="360" w:lineRule="auto"/>
        <w:ind w:firstLine="420" w:firstLineChars="200"/>
        <w:rPr>
          <w:rFonts w:ascii="宋体" w:hAnsi="宋体" w:cs="宋体"/>
          <w:szCs w:val="21"/>
        </w:rPr>
      </w:pPr>
      <w:r>
        <w:rPr>
          <w:rFonts w:hint="eastAsia" w:ascii="宋体" w:hAnsi="宋体" w:cs="宋体"/>
          <w:szCs w:val="21"/>
        </w:rPr>
        <w:t>1、由于乙方管理或乙方人员自身责任造成的伤、残、亡事故，要立即向甲方报告，同时由乙方参照国家现行规定负责处理，并负责事故人员及家属的全部经济补偿。</w:t>
      </w:r>
    </w:p>
    <w:p>
      <w:pPr>
        <w:spacing w:line="360" w:lineRule="auto"/>
        <w:ind w:firstLine="420" w:firstLineChars="200"/>
        <w:rPr>
          <w:rFonts w:ascii="宋体" w:hAnsi="宋体" w:cs="宋体"/>
          <w:szCs w:val="21"/>
        </w:rPr>
      </w:pPr>
      <w:r>
        <w:rPr>
          <w:rFonts w:hint="eastAsia" w:ascii="宋体" w:hAnsi="宋体" w:cs="宋体"/>
          <w:szCs w:val="21"/>
        </w:rPr>
        <w:t>2、由于乙方以外的责任造成乙方人员伤、残、亡事故的，由乙方参照国家现行规定，先行垫付，其善后事宜由乙方处理。在事故责任确定后，乙方有权在其已经赔付金额的限度内向责任方追偿。</w:t>
      </w:r>
    </w:p>
    <w:p>
      <w:pPr>
        <w:spacing w:line="360" w:lineRule="auto"/>
        <w:ind w:firstLine="420" w:firstLineChars="200"/>
        <w:rPr>
          <w:rFonts w:ascii="宋体" w:hAnsi="宋体" w:cs="宋体"/>
          <w:szCs w:val="21"/>
        </w:rPr>
      </w:pPr>
      <w:r>
        <w:rPr>
          <w:rFonts w:hint="eastAsia" w:ascii="宋体" w:hAnsi="宋体" w:cs="宋体"/>
          <w:szCs w:val="21"/>
        </w:rPr>
        <w:t>3、由于乙方或乙方人员违章操作，违章维护或设备设施不完善造成甲方或第三者人员的伤亡事故，由乙方参照国家现行规定负责处理，并负责伤、残、亡个人及家属的全部经济赔偿和善后处理。</w:t>
      </w:r>
    </w:p>
    <w:p>
      <w:pPr>
        <w:kinsoku w:val="0"/>
        <w:overflowPunct w:val="0"/>
        <w:spacing w:line="360" w:lineRule="auto"/>
        <w:outlineLvl w:val="2"/>
        <w:rPr>
          <w:rFonts w:ascii="宋体" w:hAnsi="宋体" w:cs="宋体"/>
          <w:b/>
          <w:szCs w:val="21"/>
        </w:rPr>
      </w:pPr>
      <w:r>
        <w:rPr>
          <w:rFonts w:hint="eastAsia" w:ascii="宋体" w:hAnsi="宋体" w:cs="宋体"/>
          <w:b/>
          <w:szCs w:val="21"/>
        </w:rPr>
        <w:t>第九条 保密要求</w:t>
      </w:r>
    </w:p>
    <w:p>
      <w:pPr>
        <w:spacing w:line="360" w:lineRule="auto"/>
        <w:ind w:firstLine="420" w:firstLineChars="200"/>
        <w:rPr>
          <w:rFonts w:ascii="宋体" w:hAnsi="宋体" w:cs="宋体"/>
          <w:szCs w:val="21"/>
        </w:rPr>
      </w:pPr>
      <w:r>
        <w:rPr>
          <w:rFonts w:hint="eastAsia" w:ascii="宋体" w:hAnsi="宋体" w:cs="宋体"/>
          <w:szCs w:val="21"/>
        </w:rPr>
        <w:t>乙方为甲方提供服务过程中获得的所有文件、信息、电子数据、视听资料等资料皆属甲方的秘密，乙方不得泄露或者擅自将甲方资料提供给第三方，且乙方的保密义务不随合同的终止而消灭，若乙方泄露或者擅自将甲方资料提供给第三方，则乙方应当立即采取有效措施防止泄密扩大，及时向甲方报告，并向甲方支付年度合同总金额2%的违约金，且甲方有权依法追究乙方的法律责任。</w:t>
      </w:r>
    </w:p>
    <w:p>
      <w:pPr>
        <w:kinsoku w:val="0"/>
        <w:overflowPunct w:val="0"/>
        <w:spacing w:line="360" w:lineRule="auto"/>
        <w:outlineLvl w:val="2"/>
        <w:rPr>
          <w:rFonts w:ascii="宋体" w:hAnsi="宋体" w:cs="宋体"/>
          <w:b/>
          <w:szCs w:val="21"/>
        </w:rPr>
      </w:pPr>
      <w:r>
        <w:rPr>
          <w:rFonts w:hint="eastAsia" w:ascii="宋体" w:hAnsi="宋体" w:cs="宋体"/>
          <w:b/>
          <w:szCs w:val="21"/>
        </w:rPr>
        <w:t>第十条 违约责任</w:t>
      </w:r>
    </w:p>
    <w:p>
      <w:pPr>
        <w:spacing w:line="360" w:lineRule="auto"/>
        <w:ind w:firstLine="420" w:firstLineChars="200"/>
        <w:rPr>
          <w:rFonts w:ascii="宋体" w:hAnsi="宋体" w:cs="宋体"/>
          <w:szCs w:val="21"/>
        </w:rPr>
      </w:pPr>
      <w:r>
        <w:rPr>
          <w:rFonts w:hint="eastAsia" w:ascii="宋体" w:hAnsi="宋体" w:cs="宋体"/>
          <w:szCs w:val="21"/>
        </w:rPr>
        <w:t>除本合同其他条款已有约定外，违约方的其他违约行为按本条约定承担违约责任：</w:t>
      </w:r>
    </w:p>
    <w:p>
      <w:pPr>
        <w:spacing w:line="360" w:lineRule="auto"/>
        <w:ind w:firstLine="420" w:firstLineChars="200"/>
        <w:rPr>
          <w:rFonts w:ascii="宋体" w:hAnsi="宋体" w:cs="宋体"/>
          <w:szCs w:val="21"/>
        </w:rPr>
      </w:pPr>
      <w:r>
        <w:rPr>
          <w:rFonts w:hint="eastAsia" w:ascii="宋体" w:hAnsi="宋体" w:cs="宋体"/>
          <w:szCs w:val="21"/>
        </w:rPr>
        <w:t>1、任何一方单方违约解除合同的，应向对方支付年度合同总金额</w:t>
      </w:r>
      <w:r>
        <w:rPr>
          <w:rFonts w:ascii="宋体" w:hAnsi="宋体" w:cs="宋体"/>
          <w:szCs w:val="21"/>
        </w:rPr>
        <w:t>2</w:t>
      </w:r>
      <w:r>
        <w:rPr>
          <w:rFonts w:hint="eastAsia" w:ascii="宋体" w:hAnsi="宋体" w:cs="宋体"/>
          <w:szCs w:val="21"/>
        </w:rPr>
        <w:t>%的违约金。</w:t>
      </w:r>
    </w:p>
    <w:p>
      <w:pPr>
        <w:spacing w:line="360" w:lineRule="auto"/>
        <w:ind w:firstLine="420" w:firstLineChars="200"/>
        <w:rPr>
          <w:rFonts w:ascii="宋体" w:hAnsi="宋体" w:cs="宋体"/>
          <w:szCs w:val="21"/>
        </w:rPr>
      </w:pPr>
      <w:r>
        <w:rPr>
          <w:rFonts w:hint="eastAsia" w:ascii="宋体" w:hAnsi="宋体" w:cs="宋体"/>
          <w:szCs w:val="21"/>
        </w:rPr>
        <w:t>2、乙方应支付的违约金、赔偿金，甲方有权从应付乙方价款中扣除或要求为乙方出具履约保函的银行支付，并在扣收后书面告知乙方。</w:t>
      </w:r>
    </w:p>
    <w:p>
      <w:pPr>
        <w:kinsoku w:val="0"/>
        <w:overflowPunct w:val="0"/>
        <w:spacing w:line="360" w:lineRule="auto"/>
        <w:outlineLvl w:val="2"/>
        <w:rPr>
          <w:rFonts w:ascii="宋体" w:hAnsi="宋体" w:cs="宋体"/>
          <w:b/>
          <w:szCs w:val="21"/>
        </w:rPr>
      </w:pPr>
      <w:r>
        <w:rPr>
          <w:rFonts w:hint="eastAsia" w:ascii="宋体" w:hAnsi="宋体" w:cs="宋体"/>
          <w:b/>
          <w:szCs w:val="21"/>
        </w:rPr>
        <w:t>第十一条 争议的解决</w:t>
      </w:r>
    </w:p>
    <w:p>
      <w:pPr>
        <w:spacing w:line="360" w:lineRule="auto"/>
        <w:ind w:firstLine="420" w:firstLineChars="200"/>
        <w:rPr>
          <w:rFonts w:ascii="宋体" w:hAnsi="宋体" w:cs="宋体"/>
          <w:szCs w:val="21"/>
        </w:rPr>
      </w:pPr>
      <w:r>
        <w:rPr>
          <w:rFonts w:hint="eastAsia" w:ascii="宋体" w:hAnsi="宋体" w:cs="宋体"/>
          <w:szCs w:val="21"/>
        </w:rPr>
        <w:t>因本合同发生的任何争议，如双方不能通过友好协商解决任何一方均可向甲方所在地人民法院提起诉讼。</w:t>
      </w:r>
    </w:p>
    <w:p>
      <w:pPr>
        <w:widowControl/>
        <w:spacing w:line="360" w:lineRule="auto"/>
        <w:outlineLvl w:val="2"/>
        <w:rPr>
          <w:rFonts w:ascii="宋体" w:hAnsi="宋体" w:cs="宋体"/>
          <w:b/>
          <w:szCs w:val="21"/>
        </w:rPr>
      </w:pPr>
      <w:r>
        <w:rPr>
          <w:rFonts w:hint="eastAsia" w:ascii="宋体" w:hAnsi="宋体" w:cs="宋体"/>
          <w:b/>
          <w:szCs w:val="21"/>
        </w:rPr>
        <w:t>第十二条 不可抗力</w:t>
      </w:r>
    </w:p>
    <w:p>
      <w:pPr>
        <w:spacing w:line="360" w:lineRule="auto"/>
        <w:ind w:firstLine="411" w:firstLineChars="196"/>
        <w:rPr>
          <w:rFonts w:ascii="宋体" w:hAnsi="宋体" w:cs="宋体"/>
          <w:szCs w:val="21"/>
        </w:rPr>
      </w:pPr>
      <w:r>
        <w:rPr>
          <w:rFonts w:hint="eastAsia" w:ascii="宋体" w:hAnsi="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insoku w:val="0"/>
        <w:overflowPunct w:val="0"/>
        <w:spacing w:line="360" w:lineRule="auto"/>
        <w:outlineLvl w:val="2"/>
        <w:rPr>
          <w:rFonts w:ascii="宋体" w:hAnsi="宋体" w:cs="宋体"/>
          <w:b/>
          <w:szCs w:val="21"/>
        </w:rPr>
      </w:pPr>
      <w:r>
        <w:rPr>
          <w:rFonts w:hint="eastAsia" w:ascii="宋体" w:hAnsi="宋体" w:cs="宋体"/>
          <w:b/>
          <w:szCs w:val="21"/>
        </w:rPr>
        <w:t>第十三条 税费</w:t>
      </w:r>
    </w:p>
    <w:p>
      <w:pPr>
        <w:spacing w:line="360" w:lineRule="auto"/>
        <w:ind w:firstLine="411" w:firstLineChars="196"/>
        <w:rPr>
          <w:rFonts w:ascii="宋体" w:hAnsi="宋体" w:cs="宋体"/>
          <w:szCs w:val="21"/>
        </w:rPr>
      </w:pPr>
      <w:r>
        <w:rPr>
          <w:rFonts w:hint="eastAsia" w:ascii="宋体" w:hAnsi="宋体" w:cs="宋体"/>
          <w:szCs w:val="21"/>
        </w:rPr>
        <w:t>本合同执行有关税费按规定缴纳。</w:t>
      </w:r>
    </w:p>
    <w:p>
      <w:pPr>
        <w:kinsoku w:val="0"/>
        <w:overflowPunct w:val="0"/>
        <w:spacing w:line="360" w:lineRule="auto"/>
        <w:outlineLvl w:val="2"/>
        <w:rPr>
          <w:rFonts w:ascii="宋体" w:hAnsi="宋体" w:cs="宋体"/>
          <w:b/>
          <w:szCs w:val="21"/>
        </w:rPr>
      </w:pPr>
      <w:r>
        <w:rPr>
          <w:rFonts w:hint="eastAsia" w:ascii="宋体" w:hAnsi="宋体" w:cs="宋体"/>
          <w:b/>
          <w:szCs w:val="21"/>
        </w:rPr>
        <w:t>第十四条 合同生效</w:t>
      </w:r>
    </w:p>
    <w:p>
      <w:pPr>
        <w:spacing w:line="360" w:lineRule="auto"/>
        <w:ind w:firstLine="411" w:firstLineChars="196"/>
        <w:rPr>
          <w:rFonts w:ascii="宋体" w:hAnsi="宋体" w:cs="宋体"/>
          <w:szCs w:val="21"/>
        </w:rPr>
      </w:pPr>
      <w:r>
        <w:rPr>
          <w:rFonts w:hint="eastAsia" w:ascii="宋体" w:hAnsi="宋体" w:cs="宋体"/>
          <w:szCs w:val="21"/>
        </w:rPr>
        <w:t xml:space="preserve">本合同自双方签订之日起生效。 </w:t>
      </w:r>
    </w:p>
    <w:p>
      <w:pPr>
        <w:kinsoku w:val="0"/>
        <w:overflowPunct w:val="0"/>
        <w:spacing w:line="360" w:lineRule="auto"/>
        <w:outlineLvl w:val="2"/>
        <w:rPr>
          <w:rFonts w:ascii="宋体" w:hAnsi="宋体" w:cs="宋体"/>
          <w:spacing w:val="-9"/>
          <w:szCs w:val="21"/>
        </w:rPr>
      </w:pPr>
      <w:r>
        <w:rPr>
          <w:rFonts w:hint="eastAsia" w:ascii="宋体" w:hAnsi="宋体" w:cs="宋体"/>
          <w:b/>
          <w:szCs w:val="21"/>
        </w:rPr>
        <w:t>第十五条 其他</w:t>
      </w:r>
    </w:p>
    <w:p>
      <w:pPr>
        <w:spacing w:line="360" w:lineRule="auto"/>
        <w:ind w:firstLine="420" w:firstLineChars="200"/>
        <w:rPr>
          <w:rFonts w:ascii="宋体" w:hAnsi="宋体" w:cs="宋体"/>
          <w:szCs w:val="21"/>
        </w:rPr>
      </w:pPr>
      <w:r>
        <w:rPr>
          <w:rFonts w:hint="eastAsia" w:ascii="宋体" w:hAnsi="宋体" w:cs="宋体"/>
          <w:szCs w:val="21"/>
        </w:rPr>
        <w:t>1、本合同所有附件、招标文件、投标文件、中标通知书均为合同的有效组成部分，与本合同具有同等法律效力。</w:t>
      </w:r>
    </w:p>
    <w:p>
      <w:pPr>
        <w:spacing w:line="360" w:lineRule="auto"/>
        <w:ind w:firstLine="420" w:firstLineChars="200"/>
        <w:rPr>
          <w:rFonts w:ascii="宋体" w:hAnsi="宋体" w:cs="宋体"/>
          <w:szCs w:val="21"/>
        </w:rPr>
      </w:pPr>
      <w:r>
        <w:rPr>
          <w:rFonts w:hint="eastAsia" w:ascii="宋体" w:hAnsi="宋体" w:cs="宋体"/>
          <w:szCs w:val="21"/>
        </w:rPr>
        <w:t>2、在执行本合同的过程中，所有经双方签署确认的文件（包括会议纪要、补充协议、往来信函）即成为本合同的有效组成部分。</w:t>
      </w:r>
    </w:p>
    <w:p>
      <w:pPr>
        <w:spacing w:line="360" w:lineRule="auto"/>
        <w:ind w:firstLine="420" w:firstLineChars="200"/>
        <w:rPr>
          <w:rFonts w:ascii="宋体" w:hAnsi="宋体" w:cs="宋体"/>
          <w:szCs w:val="21"/>
        </w:rPr>
      </w:pPr>
      <w:bookmarkStart w:id="81" w:name="_Hlk141869625"/>
      <w:r>
        <w:rPr>
          <w:rFonts w:hint="eastAsia" w:ascii="宋体" w:hAnsi="宋体" w:cs="宋体"/>
          <w:szCs w:val="21"/>
        </w:rPr>
        <w:t>3、</w:t>
      </w:r>
      <w:r>
        <w:rPr>
          <w:rFonts w:ascii="宋体" w:hAnsi="宋体" w:cs="宋体"/>
          <w:szCs w:val="21"/>
        </w:rPr>
        <w:t xml:space="preserve">廉洁条款： </w:t>
      </w:r>
    </w:p>
    <w:p>
      <w:pPr>
        <w:spacing w:line="360" w:lineRule="auto"/>
        <w:ind w:firstLine="420" w:firstLineChars="200"/>
        <w:rPr>
          <w:rFonts w:ascii="宋体" w:hAnsi="宋体" w:cs="宋体"/>
          <w:szCs w:val="21"/>
        </w:rPr>
      </w:pPr>
      <w:r>
        <w:rPr>
          <w:rFonts w:hint="eastAsia" w:ascii="宋体" w:hAnsi="宋体" w:cs="宋体"/>
          <w:szCs w:val="21"/>
        </w:rPr>
        <w:t>乙方及其工作人员不得以给予或许诺给予佣金、回扣，以及合伙、参股等任何形式向甲方工作人员输送利益；不得以任何形式向甲方工作人员赠送或提供礼金、礼品、有价证券，以及为其购置或提供交通工具、通讯器材等贵重物品；不得以洽谈业务为由，邀请甲方工作人员外出旅游、健身或进行其他高消费娱乐活动；不得以为个人装修住房、安排亲属工作、接待亲友来访，吃请等名目，拉拢、利诱甲方工作人员；不得有其他违背诚实守法、公平竞争行为。</w:t>
      </w:r>
    </w:p>
    <w:p>
      <w:pPr>
        <w:spacing w:line="360" w:lineRule="auto"/>
        <w:ind w:firstLine="420" w:firstLineChars="200"/>
        <w:rPr>
          <w:rFonts w:ascii="宋体" w:hAnsi="宋体" w:cs="宋体"/>
          <w:szCs w:val="21"/>
        </w:rPr>
      </w:pPr>
      <w:r>
        <w:rPr>
          <w:rFonts w:hint="eastAsia" w:ascii="宋体" w:hAnsi="宋体" w:cs="宋体"/>
          <w:szCs w:val="21"/>
        </w:rPr>
        <w:t>甲方如发现乙方或其工作人员违反上述条款，有权立即终止或解除与乙方的合作关系，冻结应付款项，列入采购黑名单；乙方承担相应违约责任，甲方有权追索违约金以及由此造成的一切损失，并可以从任何应付款项中直接冲抵。</w:t>
      </w:r>
    </w:p>
    <w:p>
      <w:pPr>
        <w:spacing w:line="360" w:lineRule="auto"/>
        <w:ind w:firstLine="420" w:firstLineChars="200"/>
        <w:rPr>
          <w:rFonts w:ascii="宋体" w:hAnsi="宋体" w:cs="宋体"/>
          <w:szCs w:val="21"/>
        </w:rPr>
      </w:pPr>
      <w:r>
        <w:rPr>
          <w:rFonts w:hint="eastAsia" w:ascii="宋体" w:hAnsi="宋体" w:cs="宋体"/>
          <w:szCs w:val="21"/>
        </w:rPr>
        <w:t>乙方如发现甲方工作人员有主动索取贿赂及上述不当行为的，应立即向甲方纪检部门反映，如不拒绝、不反映，并对其不当要求予以满足的，等同违反上述条款，承担相应法律责任。</w:t>
      </w:r>
    </w:p>
    <w:p>
      <w:pPr>
        <w:numPr>
          <w:ilvl w:val="2"/>
          <w:numId w:val="0"/>
        </w:numPr>
        <w:spacing w:line="360" w:lineRule="auto"/>
        <w:ind w:firstLine="420" w:firstLineChars="200"/>
        <w:rPr>
          <w:rFonts w:ascii="宋体" w:hAnsi="宋体" w:cs="宋体"/>
          <w:szCs w:val="21"/>
          <w:highlight w:val="red"/>
        </w:rPr>
      </w:pPr>
      <w:r>
        <w:rPr>
          <w:rFonts w:hint="eastAsia" w:ascii="宋体" w:hAnsi="宋体"/>
        </w:rPr>
        <w:t>4、</w:t>
      </w:r>
      <w:r>
        <w:rPr>
          <w:rFonts w:hint="eastAsia" w:ascii="宋体" w:hAnsi="宋体" w:cs="宋体"/>
          <w:szCs w:val="21"/>
          <w:highlight w:val="red"/>
        </w:rPr>
        <w:t>围猎</w:t>
      </w:r>
      <w:r>
        <w:rPr>
          <w:rFonts w:ascii="宋体" w:hAnsi="宋体" w:cs="宋体"/>
          <w:szCs w:val="21"/>
          <w:highlight w:val="red"/>
        </w:rPr>
        <w:t>条款：</w:t>
      </w:r>
    </w:p>
    <w:p>
      <w:pPr>
        <w:numPr>
          <w:ilvl w:val="2"/>
          <w:numId w:val="0"/>
        </w:numPr>
        <w:spacing w:line="360" w:lineRule="auto"/>
        <w:ind w:firstLine="420" w:firstLineChars="200"/>
        <w:rPr>
          <w:rFonts w:ascii="宋体" w:hAnsi="宋体" w:cs="宋体"/>
          <w:szCs w:val="21"/>
          <w:highlight w:val="red"/>
        </w:rPr>
      </w:pPr>
      <w:r>
        <w:rPr>
          <w:rFonts w:hint="eastAsia" w:ascii="宋体" w:hAnsi="宋体" w:cs="宋体"/>
          <w:szCs w:val="21"/>
          <w:highlight w:val="red"/>
        </w:rPr>
        <w:t>1、乙方在合同履行期间存在“围猎”甲方税务人员行为的（指以获取不正当利益为目的，采取馈赠礼品礼金、邀请娱乐旅游消费、提供便利条件等非正常交往手段“围猎”相关税务人员及其亲属），自甲方及甲方主管机关认定或通报之日起三年内，甲方有权拒绝中标人参与采购方的政府采购活动。</w:t>
      </w:r>
    </w:p>
    <w:p>
      <w:pPr>
        <w:numPr>
          <w:ilvl w:val="2"/>
          <w:numId w:val="0"/>
        </w:numPr>
        <w:spacing w:line="360" w:lineRule="auto"/>
        <w:ind w:firstLine="420" w:firstLineChars="200"/>
        <w:rPr>
          <w:rFonts w:ascii="宋体" w:hAnsi="宋体" w:cs="宋体"/>
          <w:szCs w:val="21"/>
        </w:rPr>
      </w:pPr>
      <w:r>
        <w:rPr>
          <w:rFonts w:hint="eastAsia" w:ascii="宋体" w:hAnsi="宋体" w:cs="宋体"/>
          <w:szCs w:val="21"/>
          <w:highlight w:val="red"/>
        </w:rPr>
        <w:t>2、</w:t>
      </w:r>
      <w:r>
        <w:rPr>
          <w:rFonts w:hint="eastAsia" w:ascii="宋体" w:hAnsi="宋体" w:cs="宋体"/>
          <w:color w:val="FF0000"/>
          <w:spacing w:val="1"/>
          <w:szCs w:val="21"/>
          <w:highlight w:val="yellow"/>
          <w:lang w:val="en-US" w:eastAsia="zh-CN"/>
        </w:rPr>
        <w:t>乙方</w:t>
      </w:r>
      <w:r>
        <w:rPr>
          <w:rFonts w:hint="eastAsia" w:ascii="宋体" w:hAnsi="宋体" w:cs="宋体"/>
          <w:color w:val="FF0000"/>
          <w:spacing w:val="1"/>
          <w:szCs w:val="21"/>
          <w:highlight w:val="yellow"/>
        </w:rPr>
        <w:t>应当承诺履行不得“围猎”</w:t>
      </w:r>
      <w:r>
        <w:rPr>
          <w:rFonts w:hint="eastAsia" w:ascii="宋体" w:hAnsi="宋体" w:cs="宋体"/>
          <w:color w:val="FF0000"/>
          <w:spacing w:val="1"/>
          <w:szCs w:val="21"/>
          <w:highlight w:val="yellow"/>
          <w:lang w:val="en-US" w:eastAsia="zh-CN"/>
        </w:rPr>
        <w:t>甲方</w:t>
      </w:r>
      <w:r>
        <w:rPr>
          <w:rFonts w:hint="eastAsia" w:ascii="宋体" w:hAnsi="宋体" w:cs="宋体"/>
          <w:color w:val="FF0000"/>
          <w:spacing w:val="1"/>
          <w:szCs w:val="21"/>
          <w:highlight w:val="yellow"/>
        </w:rPr>
        <w:t>税务人员的义务，且承诺如在合同履行期间存在“围猎”</w:t>
      </w:r>
      <w:r>
        <w:rPr>
          <w:rFonts w:hint="eastAsia" w:ascii="宋体" w:hAnsi="宋体" w:cs="宋体"/>
          <w:color w:val="FF0000"/>
          <w:spacing w:val="1"/>
          <w:szCs w:val="21"/>
          <w:highlight w:val="yellow"/>
          <w:lang w:val="en-US" w:eastAsia="zh-CN"/>
        </w:rPr>
        <w:t>甲方</w:t>
      </w:r>
      <w:r>
        <w:rPr>
          <w:rFonts w:hint="eastAsia" w:ascii="宋体" w:hAnsi="宋体" w:cs="宋体"/>
          <w:color w:val="FF0000"/>
          <w:spacing w:val="1"/>
          <w:szCs w:val="21"/>
          <w:highlight w:val="yellow"/>
        </w:rPr>
        <w:t>税务人员行为的，应承担相应法律后果，同时，自</w:t>
      </w:r>
      <w:r>
        <w:rPr>
          <w:rFonts w:hint="eastAsia" w:ascii="宋体" w:hAnsi="宋体" w:cs="宋体"/>
          <w:color w:val="FF0000"/>
          <w:spacing w:val="1"/>
          <w:szCs w:val="21"/>
          <w:highlight w:val="yellow"/>
          <w:lang w:val="en-US" w:eastAsia="zh-CN"/>
        </w:rPr>
        <w:t>甲方</w:t>
      </w:r>
      <w:r>
        <w:rPr>
          <w:rFonts w:hint="eastAsia" w:ascii="宋体" w:hAnsi="宋体" w:cs="宋体"/>
          <w:color w:val="FF0000"/>
          <w:spacing w:val="1"/>
          <w:szCs w:val="21"/>
          <w:highlight w:val="yellow"/>
        </w:rPr>
        <w:t>及</w:t>
      </w:r>
      <w:r>
        <w:rPr>
          <w:rFonts w:hint="eastAsia" w:ascii="宋体" w:hAnsi="宋体" w:cs="宋体"/>
          <w:color w:val="FF0000"/>
          <w:spacing w:val="1"/>
          <w:szCs w:val="21"/>
          <w:highlight w:val="yellow"/>
          <w:lang w:val="en-US" w:eastAsia="zh-CN"/>
        </w:rPr>
        <w:t>甲方</w:t>
      </w:r>
      <w:r>
        <w:rPr>
          <w:rFonts w:hint="eastAsia" w:ascii="宋体" w:hAnsi="宋体" w:cs="宋体"/>
          <w:color w:val="FF0000"/>
          <w:spacing w:val="1"/>
          <w:szCs w:val="21"/>
          <w:highlight w:val="yellow"/>
        </w:rPr>
        <w:t>主管机关认定或通报之日起三年内，</w:t>
      </w:r>
      <w:r>
        <w:rPr>
          <w:rFonts w:hint="eastAsia" w:ascii="宋体" w:hAnsi="宋体" w:cs="宋体"/>
          <w:color w:val="FF0000"/>
          <w:spacing w:val="1"/>
          <w:szCs w:val="21"/>
          <w:highlight w:val="yellow"/>
          <w:lang w:val="en-US" w:eastAsia="zh-CN"/>
        </w:rPr>
        <w:t>甲方</w:t>
      </w:r>
      <w:r>
        <w:rPr>
          <w:rFonts w:hint="eastAsia" w:ascii="宋体" w:hAnsi="宋体" w:cs="宋体"/>
          <w:color w:val="FF0000"/>
          <w:spacing w:val="1"/>
          <w:szCs w:val="21"/>
          <w:highlight w:val="yellow"/>
        </w:rPr>
        <w:t>有权拒绝</w:t>
      </w:r>
      <w:r>
        <w:rPr>
          <w:rFonts w:hint="eastAsia" w:ascii="宋体" w:hAnsi="宋体" w:cs="宋体"/>
          <w:color w:val="FF0000"/>
          <w:spacing w:val="1"/>
          <w:szCs w:val="21"/>
          <w:highlight w:val="yellow"/>
          <w:lang w:val="en-US" w:eastAsia="zh-CN"/>
        </w:rPr>
        <w:t>乙方</w:t>
      </w:r>
      <w:r>
        <w:rPr>
          <w:rFonts w:hint="eastAsia" w:ascii="宋体" w:hAnsi="宋体" w:cs="宋体"/>
          <w:color w:val="FF0000"/>
          <w:spacing w:val="1"/>
          <w:szCs w:val="21"/>
          <w:highlight w:val="yellow"/>
        </w:rPr>
        <w:t>参与采购方的政府采购活动。（需提供承诺函）</w:t>
      </w:r>
    </w:p>
    <w:bookmarkEnd w:id="81"/>
    <w:p>
      <w:pPr>
        <w:spacing w:line="360" w:lineRule="auto"/>
        <w:ind w:firstLine="420" w:firstLineChars="200"/>
        <w:rPr>
          <w:rFonts w:ascii="宋体" w:hAnsi="宋体" w:cs="宋体"/>
          <w:spacing w:val="-9"/>
          <w:szCs w:val="21"/>
        </w:rPr>
      </w:pPr>
      <w:r>
        <w:rPr>
          <w:rFonts w:hint="eastAsia" w:ascii="宋体" w:hAnsi="宋体" w:cs="宋体"/>
          <w:szCs w:val="21"/>
        </w:rPr>
        <w:t>5、本合同一式</w:t>
      </w:r>
      <w:r>
        <w:rPr>
          <w:rFonts w:hint="eastAsia" w:ascii="宋体" w:hAnsi="宋体" w:cs="宋体"/>
          <w:b/>
          <w:bCs/>
          <w:szCs w:val="21"/>
          <w:u w:val="single"/>
        </w:rPr>
        <w:t>陆</w:t>
      </w:r>
      <w:r>
        <w:rPr>
          <w:rFonts w:hint="eastAsia" w:ascii="宋体" w:hAnsi="宋体" w:cs="宋体"/>
          <w:szCs w:val="21"/>
        </w:rPr>
        <w:t>份，甲、乙双方各执</w:t>
      </w:r>
      <w:r>
        <w:rPr>
          <w:rFonts w:hint="eastAsia" w:ascii="宋体" w:hAnsi="宋体" w:cs="宋体"/>
          <w:b/>
          <w:bCs/>
          <w:szCs w:val="21"/>
          <w:u w:val="single"/>
        </w:rPr>
        <w:t>叁</w:t>
      </w:r>
      <w:r>
        <w:rPr>
          <w:rFonts w:hint="eastAsia" w:ascii="宋体" w:hAnsi="宋体" w:cs="宋体"/>
          <w:szCs w:val="21"/>
        </w:rPr>
        <w:t>份，具有同等的法律效力。</w:t>
      </w:r>
    </w:p>
    <w:p>
      <w:pPr>
        <w:spacing w:line="480" w:lineRule="auto"/>
        <w:rPr>
          <w:rFonts w:ascii="宋体" w:hAnsi="宋体" w:cs="宋体"/>
          <w:szCs w:val="21"/>
        </w:rPr>
      </w:pPr>
      <w:r>
        <w:rPr>
          <w:rFonts w:hint="eastAsia" w:ascii="宋体" w:hAnsi="宋体" w:cs="宋体"/>
          <w:spacing w:val="-8"/>
          <w:szCs w:val="21"/>
        </w:rPr>
        <w:t xml:space="preserve">甲方（盖章）： </w:t>
      </w:r>
      <w:r>
        <w:rPr>
          <w:rFonts w:hint="eastAsia" w:ascii="宋体" w:hAnsi="宋体" w:cs="宋体"/>
          <w:spacing w:val="-8"/>
          <w:szCs w:val="21"/>
        </w:rPr>
        <w:tab/>
      </w:r>
    </w:p>
    <w:p>
      <w:pPr>
        <w:kinsoku w:val="0"/>
        <w:overflowPunct w:val="0"/>
        <w:spacing w:line="480" w:lineRule="auto"/>
        <w:rPr>
          <w:rFonts w:ascii="宋体" w:hAnsi="宋体" w:cs="宋体"/>
          <w:spacing w:val="-6"/>
          <w:szCs w:val="21"/>
        </w:rPr>
      </w:pPr>
      <w:r>
        <w:rPr>
          <w:rFonts w:hint="eastAsia" w:ascii="宋体" w:hAnsi="宋体" w:cs="宋体"/>
          <w:bCs/>
          <w:szCs w:val="21"/>
        </w:rPr>
        <w:t>统一社会信用代码</w:t>
      </w:r>
      <w:r>
        <w:rPr>
          <w:rFonts w:hint="eastAsia" w:ascii="宋体" w:hAnsi="宋体" w:cs="宋体"/>
          <w:spacing w:val="-6"/>
          <w:szCs w:val="21"/>
        </w:rPr>
        <w:t>：</w:t>
      </w:r>
    </w:p>
    <w:p>
      <w:pPr>
        <w:kinsoku w:val="0"/>
        <w:overflowPunct w:val="0"/>
        <w:spacing w:line="480" w:lineRule="auto"/>
        <w:rPr>
          <w:rFonts w:ascii="宋体" w:hAnsi="宋体" w:cs="宋体"/>
          <w:spacing w:val="-7"/>
          <w:szCs w:val="21"/>
        </w:rPr>
      </w:pPr>
      <w:r>
        <w:rPr>
          <w:rFonts w:hint="eastAsia" w:ascii="宋体" w:hAnsi="宋体" w:cs="宋体"/>
          <w:spacing w:val="-7"/>
          <w:szCs w:val="21"/>
        </w:rPr>
        <w:t>法定代表人或授权代表签字：</w:t>
      </w:r>
    </w:p>
    <w:p>
      <w:pPr>
        <w:kinsoku w:val="0"/>
        <w:overflowPunct w:val="0"/>
        <w:spacing w:line="480" w:lineRule="auto"/>
        <w:rPr>
          <w:rFonts w:ascii="宋体" w:hAnsi="宋体" w:cs="宋体"/>
          <w:szCs w:val="21"/>
        </w:rPr>
      </w:pPr>
      <w:r>
        <w:rPr>
          <w:rFonts w:hint="eastAsia" w:ascii="宋体" w:hAnsi="宋体" w:cs="宋体"/>
          <w:spacing w:val="-7"/>
          <w:szCs w:val="21"/>
        </w:rPr>
        <w:t>签署日期：</w:t>
      </w:r>
      <w:r>
        <w:rPr>
          <w:rFonts w:hint="eastAsia" w:ascii="宋体" w:hAnsi="宋体" w:cs="宋体"/>
          <w:szCs w:val="21"/>
        </w:rPr>
        <w:t>年</w:t>
      </w:r>
      <w:r>
        <w:rPr>
          <w:rFonts w:hint="eastAsia" w:ascii="宋体" w:hAnsi="宋体" w:cs="宋体"/>
          <w:szCs w:val="21"/>
        </w:rPr>
        <w:tab/>
      </w:r>
      <w:r>
        <w:rPr>
          <w:rFonts w:hint="eastAsia" w:ascii="宋体" w:hAnsi="宋体" w:cs="宋体"/>
          <w:szCs w:val="21"/>
        </w:rPr>
        <w:t xml:space="preserve">  月   日</w:t>
      </w:r>
    </w:p>
    <w:p>
      <w:pPr>
        <w:kinsoku w:val="0"/>
        <w:overflowPunct w:val="0"/>
        <w:spacing w:line="480" w:lineRule="auto"/>
        <w:rPr>
          <w:rFonts w:ascii="宋体" w:hAnsi="宋体" w:cs="宋体"/>
          <w:spacing w:val="-6"/>
          <w:szCs w:val="21"/>
        </w:rPr>
      </w:pPr>
      <w:r>
        <w:rPr>
          <w:rFonts w:hint="eastAsia" w:ascii="宋体" w:hAnsi="宋体" w:cs="宋体"/>
          <w:spacing w:val="-8"/>
          <w:szCs w:val="21"/>
        </w:rPr>
        <w:t xml:space="preserve">乙方（盖章）： </w:t>
      </w:r>
    </w:p>
    <w:p>
      <w:pPr>
        <w:kinsoku w:val="0"/>
        <w:overflowPunct w:val="0"/>
        <w:spacing w:line="480" w:lineRule="auto"/>
        <w:rPr>
          <w:rFonts w:ascii="宋体" w:hAnsi="宋体" w:cs="宋体"/>
          <w:spacing w:val="-6"/>
          <w:szCs w:val="21"/>
        </w:rPr>
      </w:pPr>
      <w:r>
        <w:rPr>
          <w:rFonts w:hint="eastAsia" w:ascii="宋体" w:hAnsi="宋体" w:cs="宋体"/>
          <w:bCs/>
          <w:szCs w:val="21"/>
        </w:rPr>
        <w:t>统一社会信用代码</w:t>
      </w:r>
      <w:r>
        <w:rPr>
          <w:rFonts w:hint="eastAsia" w:ascii="宋体" w:hAnsi="宋体" w:cs="宋体"/>
          <w:spacing w:val="-6"/>
          <w:szCs w:val="21"/>
        </w:rPr>
        <w:t>：</w:t>
      </w:r>
    </w:p>
    <w:p>
      <w:pPr>
        <w:kinsoku w:val="0"/>
        <w:overflowPunct w:val="0"/>
        <w:spacing w:line="480" w:lineRule="auto"/>
        <w:rPr>
          <w:rFonts w:ascii="宋体" w:hAnsi="宋体" w:cs="宋体"/>
          <w:spacing w:val="-7"/>
          <w:szCs w:val="21"/>
        </w:rPr>
      </w:pPr>
      <w:r>
        <w:rPr>
          <w:rFonts w:hint="eastAsia" w:ascii="宋体" w:hAnsi="宋体" w:cs="宋体"/>
          <w:spacing w:val="-7"/>
          <w:szCs w:val="21"/>
        </w:rPr>
        <w:t>法定代表人或授权代表签字：</w:t>
      </w:r>
    </w:p>
    <w:p>
      <w:pPr>
        <w:kinsoku w:val="0"/>
        <w:overflowPunct w:val="0"/>
        <w:spacing w:line="480" w:lineRule="auto"/>
        <w:rPr>
          <w:rFonts w:ascii="宋体" w:hAnsi="宋体" w:cs="宋体"/>
          <w:szCs w:val="21"/>
        </w:rPr>
      </w:pPr>
      <w:r>
        <w:rPr>
          <w:rFonts w:hint="eastAsia" w:ascii="宋体" w:hAnsi="宋体" w:cs="宋体"/>
          <w:spacing w:val="-7"/>
          <w:szCs w:val="21"/>
        </w:rPr>
        <w:t>签署日期：</w:t>
      </w:r>
      <w:r>
        <w:rPr>
          <w:rFonts w:hint="eastAsia" w:ascii="宋体" w:hAnsi="宋体" w:cs="宋体"/>
          <w:szCs w:val="21"/>
        </w:rPr>
        <w:t>年</w:t>
      </w:r>
      <w:r>
        <w:rPr>
          <w:rFonts w:hint="eastAsia" w:ascii="宋体" w:hAnsi="宋体" w:cs="宋体"/>
          <w:szCs w:val="21"/>
        </w:rPr>
        <w:tab/>
      </w:r>
      <w:r>
        <w:rPr>
          <w:rFonts w:hint="eastAsia" w:ascii="宋体" w:hAnsi="宋体" w:cs="宋体"/>
          <w:szCs w:val="21"/>
        </w:rPr>
        <w:t xml:space="preserve">  月</w:t>
      </w:r>
      <w:r>
        <w:rPr>
          <w:rFonts w:hint="eastAsia" w:ascii="宋体" w:hAnsi="宋体" w:cs="宋体"/>
          <w:szCs w:val="21"/>
        </w:rPr>
        <w:tab/>
      </w:r>
      <w:r>
        <w:rPr>
          <w:rFonts w:hint="eastAsia" w:ascii="宋体" w:hAnsi="宋体" w:cs="宋体"/>
          <w:szCs w:val="21"/>
        </w:rPr>
        <w:t>日</w:t>
      </w:r>
    </w:p>
    <w:p>
      <w:pPr>
        <w:rPr>
          <w:sz w:val="44"/>
        </w:rPr>
      </w:pPr>
      <w:r>
        <w:rPr>
          <w:rFonts w:hint="eastAsia" w:ascii="宋体" w:hAnsi="宋体" w:cs="宋体"/>
          <w:b/>
          <w:bCs/>
          <w:spacing w:val="-8"/>
          <w:szCs w:val="21"/>
        </w:rPr>
        <w:t>（以下无正文）</w:t>
      </w:r>
    </w:p>
    <w:p>
      <w:pPr>
        <w:rPr>
          <w:sz w:val="44"/>
        </w:rPr>
      </w:pPr>
    </w:p>
    <w:p>
      <w:pPr>
        <w:rPr>
          <w:sz w:val="44"/>
        </w:rPr>
      </w:pPr>
    </w:p>
    <w:p>
      <w:pPr>
        <w:rPr>
          <w:sz w:val="44"/>
        </w:rPr>
      </w:pPr>
    </w:p>
    <w:p>
      <w:pPr>
        <w:rPr>
          <w:sz w:val="44"/>
        </w:rPr>
      </w:pPr>
    </w:p>
    <w:p>
      <w:pPr>
        <w:rPr>
          <w:sz w:val="44"/>
        </w:rPr>
      </w:pPr>
    </w:p>
    <w:p>
      <w:pPr>
        <w:rPr>
          <w:sz w:val="44"/>
        </w:rPr>
      </w:pPr>
    </w:p>
    <w:p>
      <w:pPr>
        <w:pStyle w:val="2"/>
      </w:pPr>
    </w:p>
    <w:p/>
    <w:p>
      <w:pPr>
        <w:pStyle w:val="2"/>
      </w:pPr>
    </w:p>
    <w:p/>
    <w:p>
      <w:pPr>
        <w:rPr>
          <w:sz w:val="44"/>
        </w:rPr>
      </w:pPr>
    </w:p>
    <w:p>
      <w:pPr>
        <w:jc w:val="center"/>
        <w:rPr>
          <w:b/>
          <w:bCs/>
          <w:sz w:val="44"/>
        </w:rPr>
      </w:pPr>
      <w:r>
        <w:rPr>
          <w:rFonts w:hint="eastAsia"/>
          <w:b/>
          <w:bCs/>
          <w:sz w:val="44"/>
        </w:rPr>
        <w:t>第五章  投标文件（格式）</w:t>
      </w:r>
      <w:bookmarkEnd w:id="73"/>
      <w:bookmarkEnd w:id="74"/>
    </w:p>
    <w:p>
      <w:pPr>
        <w:jc w:val="center"/>
        <w:rPr>
          <w:bCs/>
          <w:sz w:val="24"/>
        </w:rPr>
      </w:pPr>
    </w:p>
    <w:p>
      <w:pPr>
        <w:spacing w:line="360" w:lineRule="auto"/>
        <w:jc w:val="center"/>
        <w:rPr>
          <w:rFonts w:ascii="宋体" w:hAnsi="宋体"/>
          <w:sz w:val="28"/>
        </w:rPr>
      </w:pPr>
    </w:p>
    <w:p>
      <w:pPr>
        <w:rPr>
          <w:sz w:val="44"/>
        </w:rPr>
      </w:pPr>
    </w:p>
    <w:p>
      <w:pPr>
        <w:pStyle w:val="10"/>
        <w:tabs>
          <w:tab w:val="left" w:pos="1260"/>
        </w:tabs>
        <w:adjustRightInd w:val="0"/>
        <w:snapToGrid w:val="0"/>
        <w:spacing w:line="360" w:lineRule="auto"/>
        <w:jc w:val="center"/>
        <w:rPr>
          <w:rFonts w:hAnsi="宋体"/>
          <w:b/>
          <w:spacing w:val="100"/>
          <w:w w:val="110"/>
          <w:kern w:val="0"/>
          <w:sz w:val="48"/>
          <w:szCs w:val="48"/>
        </w:rPr>
      </w:pPr>
    </w:p>
    <w:p>
      <w:pPr>
        <w:pStyle w:val="10"/>
        <w:tabs>
          <w:tab w:val="left" w:pos="1260"/>
        </w:tabs>
        <w:adjustRightInd w:val="0"/>
        <w:snapToGrid w:val="0"/>
        <w:spacing w:line="360" w:lineRule="auto"/>
        <w:jc w:val="center"/>
        <w:rPr>
          <w:rFonts w:hAnsi="宋体"/>
          <w:b/>
          <w:spacing w:val="100"/>
          <w:w w:val="110"/>
          <w:kern w:val="0"/>
          <w:sz w:val="48"/>
          <w:szCs w:val="48"/>
        </w:rPr>
      </w:pPr>
    </w:p>
    <w:p>
      <w:pPr>
        <w:pStyle w:val="10"/>
        <w:tabs>
          <w:tab w:val="left" w:pos="1260"/>
        </w:tabs>
        <w:adjustRightInd w:val="0"/>
        <w:snapToGrid w:val="0"/>
        <w:spacing w:line="360" w:lineRule="auto"/>
        <w:jc w:val="center"/>
        <w:rPr>
          <w:rFonts w:hAnsi="宋体"/>
          <w:b/>
          <w:spacing w:val="100"/>
          <w:w w:val="110"/>
          <w:kern w:val="0"/>
          <w:sz w:val="48"/>
          <w:szCs w:val="48"/>
        </w:rPr>
      </w:pPr>
    </w:p>
    <w:p>
      <w:pPr>
        <w:pStyle w:val="10"/>
        <w:tabs>
          <w:tab w:val="left" w:pos="1260"/>
        </w:tabs>
        <w:adjustRightInd w:val="0"/>
        <w:snapToGrid w:val="0"/>
        <w:spacing w:line="360" w:lineRule="auto"/>
        <w:jc w:val="center"/>
        <w:rPr>
          <w:rFonts w:hAnsi="宋体"/>
          <w:b/>
          <w:spacing w:val="100"/>
          <w:w w:val="110"/>
          <w:kern w:val="0"/>
          <w:sz w:val="48"/>
          <w:szCs w:val="48"/>
        </w:rPr>
      </w:pPr>
    </w:p>
    <w:p>
      <w:pPr>
        <w:pStyle w:val="10"/>
        <w:tabs>
          <w:tab w:val="left" w:pos="1260"/>
        </w:tabs>
        <w:adjustRightInd w:val="0"/>
        <w:snapToGrid w:val="0"/>
        <w:spacing w:line="360" w:lineRule="auto"/>
        <w:jc w:val="center"/>
        <w:rPr>
          <w:rFonts w:hAnsi="宋体"/>
          <w:b/>
          <w:spacing w:val="100"/>
          <w:w w:val="110"/>
          <w:kern w:val="0"/>
          <w:sz w:val="48"/>
          <w:szCs w:val="48"/>
        </w:rPr>
      </w:pPr>
    </w:p>
    <w:p>
      <w:pPr>
        <w:pStyle w:val="10"/>
        <w:tabs>
          <w:tab w:val="left" w:pos="1260"/>
        </w:tabs>
        <w:adjustRightInd w:val="0"/>
        <w:snapToGrid w:val="0"/>
        <w:spacing w:line="360" w:lineRule="auto"/>
        <w:jc w:val="center"/>
        <w:rPr>
          <w:rFonts w:hAnsi="宋体"/>
          <w:b/>
          <w:spacing w:val="100"/>
          <w:w w:val="110"/>
          <w:kern w:val="0"/>
          <w:sz w:val="48"/>
          <w:szCs w:val="48"/>
        </w:rPr>
      </w:pPr>
    </w:p>
    <w:p>
      <w:pPr>
        <w:rPr>
          <w:rFonts w:hAnsi="宋体"/>
          <w:b/>
          <w:spacing w:val="100"/>
          <w:w w:val="110"/>
          <w:kern w:val="0"/>
          <w:sz w:val="48"/>
          <w:szCs w:val="48"/>
        </w:rPr>
      </w:pPr>
      <w:r>
        <w:rPr>
          <w:rFonts w:hint="eastAsia" w:hAnsi="宋体"/>
          <w:b/>
          <w:spacing w:val="100"/>
          <w:w w:val="110"/>
          <w:kern w:val="0"/>
          <w:sz w:val="48"/>
          <w:szCs w:val="48"/>
        </w:rPr>
        <w:br w:type="page"/>
      </w:r>
    </w:p>
    <w:p>
      <w:pPr>
        <w:pStyle w:val="10"/>
        <w:tabs>
          <w:tab w:val="left" w:pos="1260"/>
        </w:tabs>
        <w:adjustRightInd w:val="0"/>
        <w:snapToGrid w:val="0"/>
        <w:spacing w:line="360" w:lineRule="auto"/>
        <w:jc w:val="center"/>
        <w:outlineLvl w:val="1"/>
        <w:rPr>
          <w:rFonts w:hAnsi="宋体"/>
          <w:b/>
          <w:bCs/>
          <w:spacing w:val="100"/>
          <w:w w:val="110"/>
          <w:kern w:val="0"/>
          <w:sz w:val="30"/>
          <w:szCs w:val="30"/>
        </w:rPr>
      </w:pPr>
      <w:bookmarkStart w:id="82" w:name="_Toc1504"/>
      <w:r>
        <w:rPr>
          <w:rFonts w:hint="eastAsia"/>
          <w:b/>
          <w:bCs/>
          <w:sz w:val="30"/>
          <w:szCs w:val="30"/>
        </w:rPr>
        <w:t>投标文件资格审查部分</w:t>
      </w:r>
      <w:bookmarkEnd w:id="82"/>
    </w:p>
    <w:p>
      <w:pPr>
        <w:jc w:val="center"/>
        <w:rPr>
          <w:b/>
          <w:bCs/>
          <w:sz w:val="24"/>
        </w:rPr>
      </w:pPr>
      <w:bookmarkStart w:id="83" w:name="_Toc18699"/>
      <w:bookmarkStart w:id="84" w:name="_Toc13871"/>
      <w:r>
        <w:rPr>
          <w:rFonts w:hint="eastAsia"/>
          <w:b/>
          <w:bCs/>
          <w:sz w:val="24"/>
        </w:rPr>
        <w:t>资格审查封面格式</w:t>
      </w:r>
      <w:bookmarkEnd w:id="83"/>
      <w:bookmarkEnd w:id="84"/>
    </w:p>
    <w:p>
      <w:pPr>
        <w:pStyle w:val="7"/>
        <w:rPr>
          <w:rFonts w:hAnsi="宋体"/>
          <w:b/>
          <w:bCs/>
        </w:rPr>
      </w:pPr>
    </w:p>
    <w:p>
      <w:pPr>
        <w:pStyle w:val="7"/>
        <w:spacing w:line="360" w:lineRule="auto"/>
        <w:rPr>
          <w:rFonts w:hAnsi="宋体"/>
          <w:bCs/>
        </w:rPr>
      </w:pPr>
      <w:r>
        <w:rPr>
          <w:rFonts w:hint="eastAsia" w:hAnsi="宋体"/>
          <w:bCs/>
        </w:rPr>
        <w:t xml:space="preserve">1、投标内容应当编有目录、页码，按页码排序并胶装成册。  </w:t>
      </w:r>
    </w:p>
    <w:p>
      <w:pPr>
        <w:pStyle w:val="7"/>
        <w:spacing w:line="360" w:lineRule="auto"/>
        <w:rPr>
          <w:rFonts w:hAnsi="宋体"/>
          <w:b/>
          <w:szCs w:val="21"/>
        </w:rPr>
      </w:pPr>
      <w:r>
        <w:rPr>
          <w:rFonts w:hAnsi="宋体"/>
          <w:bCs/>
        </w:rPr>
        <w:t>2</w:t>
      </w:r>
      <w:r>
        <w:rPr>
          <w:rFonts w:hint="eastAsia" w:hAnsi="宋体"/>
          <w:bCs/>
        </w:rPr>
        <w:t>、文件的封面格式由投</w:t>
      </w:r>
      <w:r>
        <w:rPr>
          <w:rFonts w:hint="eastAsia" w:hAnsi="宋体"/>
          <w:bCs/>
          <w:szCs w:val="21"/>
        </w:rPr>
        <w:t>标人自拟</w:t>
      </w:r>
      <w:r>
        <w:rPr>
          <w:rFonts w:hint="eastAsia" w:hAnsi="宋体"/>
          <w:bCs/>
        </w:rPr>
        <w:t>，并应注明“投标文件、项目编号、项目名称、投标人名称及地址、法定代表人（负责人）或授权代理人、联系电话、传真、邮编，并加盖投标人公章。</w:t>
      </w: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spacing w:line="440" w:lineRule="exact"/>
        <w:jc w:val="center"/>
        <w:rPr>
          <w:rFonts w:hAnsi="宋体"/>
          <w:bCs/>
        </w:rPr>
      </w:pPr>
    </w:p>
    <w:p>
      <w:pPr>
        <w:pStyle w:val="7"/>
        <w:spacing w:line="440" w:lineRule="exact"/>
        <w:jc w:val="center"/>
        <w:rPr>
          <w:rFonts w:hAnsi="宋体"/>
          <w:bCs/>
        </w:rPr>
      </w:pPr>
    </w:p>
    <w:p>
      <w:pPr>
        <w:pStyle w:val="7"/>
        <w:spacing w:line="440" w:lineRule="exact"/>
        <w:jc w:val="center"/>
        <w:rPr>
          <w:rFonts w:hAnsi="宋体"/>
          <w:bCs/>
        </w:rPr>
      </w:pPr>
    </w:p>
    <w:p/>
    <w:p/>
    <w:p>
      <w:pPr>
        <w:pStyle w:val="7"/>
        <w:spacing w:line="440" w:lineRule="exact"/>
        <w:jc w:val="center"/>
        <w:rPr>
          <w:rFonts w:hAnsi="宋体"/>
          <w:bCs/>
        </w:rPr>
      </w:pPr>
    </w:p>
    <w:p>
      <w:pPr>
        <w:pStyle w:val="7"/>
        <w:spacing w:line="360" w:lineRule="auto"/>
        <w:jc w:val="center"/>
        <w:rPr>
          <w:rFonts w:hAnsi="宋体"/>
          <w:bCs/>
          <w:sz w:val="52"/>
          <w:szCs w:val="52"/>
        </w:rPr>
      </w:pPr>
      <w:r>
        <w:rPr>
          <w:rFonts w:hint="eastAsia" w:hAnsi="宋体"/>
          <w:b/>
          <w:bCs/>
          <w:sz w:val="52"/>
          <w:szCs w:val="52"/>
        </w:rPr>
        <w:t>投标文件（□正本、□副本</w:t>
      </w:r>
      <w:r>
        <w:rPr>
          <w:rFonts w:hint="eastAsia" w:hAnsi="宋体"/>
          <w:bCs/>
          <w:sz w:val="52"/>
          <w:szCs w:val="52"/>
        </w:rPr>
        <w:t>）</w:t>
      </w:r>
    </w:p>
    <w:p>
      <w:pPr>
        <w:pStyle w:val="7"/>
        <w:spacing w:line="360" w:lineRule="auto"/>
        <w:jc w:val="center"/>
        <w:rPr>
          <w:rFonts w:hAnsi="宋体"/>
          <w:bCs/>
          <w:sz w:val="52"/>
          <w:szCs w:val="52"/>
        </w:rPr>
      </w:pPr>
      <w:r>
        <w:rPr>
          <w:rFonts w:hint="eastAsia" w:hAnsi="宋体"/>
          <w:b/>
          <w:sz w:val="44"/>
          <w:szCs w:val="44"/>
        </w:rPr>
        <w:t>（资格审查文件）</w:t>
      </w:r>
    </w:p>
    <w:p>
      <w:pPr>
        <w:pStyle w:val="7"/>
        <w:spacing w:line="360" w:lineRule="auto"/>
        <w:jc w:val="center"/>
        <w:rPr>
          <w:rFonts w:hAnsi="宋体"/>
          <w:bCs/>
          <w:sz w:val="52"/>
          <w:szCs w:val="52"/>
        </w:rPr>
      </w:pPr>
    </w:p>
    <w:p>
      <w:pPr>
        <w:pStyle w:val="7"/>
        <w:spacing w:line="360" w:lineRule="auto"/>
        <w:jc w:val="center"/>
        <w:rPr>
          <w:rFonts w:hAnsi="宋体"/>
          <w:bCs/>
          <w:sz w:val="52"/>
          <w:szCs w:val="52"/>
        </w:rPr>
      </w:pPr>
    </w:p>
    <w:p>
      <w:pPr>
        <w:rPr>
          <w:rFonts w:hAnsi="宋体"/>
          <w:bCs/>
          <w:sz w:val="52"/>
          <w:szCs w:val="52"/>
        </w:rPr>
      </w:pPr>
    </w:p>
    <w:p>
      <w:pPr>
        <w:rPr>
          <w:rFonts w:hAnsi="宋体"/>
          <w:bCs/>
          <w:sz w:val="52"/>
          <w:szCs w:val="52"/>
        </w:rPr>
      </w:pPr>
    </w:p>
    <w:p>
      <w:pPr>
        <w:rPr>
          <w:rFonts w:hAnsi="宋体"/>
          <w:bCs/>
          <w:sz w:val="52"/>
          <w:szCs w:val="52"/>
        </w:rPr>
      </w:pPr>
    </w:p>
    <w:p/>
    <w:p/>
    <w:p>
      <w:pPr>
        <w:pStyle w:val="7"/>
        <w:spacing w:line="440" w:lineRule="exact"/>
        <w:jc w:val="center"/>
        <w:rPr>
          <w:rFonts w:hAnsi="宋体"/>
          <w:bCs/>
        </w:rPr>
      </w:pPr>
    </w:p>
    <w:p>
      <w:pPr>
        <w:pStyle w:val="7"/>
        <w:spacing w:line="440" w:lineRule="exact"/>
        <w:rPr>
          <w:rFonts w:hAnsi="宋体"/>
          <w:bCs/>
        </w:rPr>
      </w:pPr>
      <w:r>
        <w:rPr>
          <w:rFonts w:hint="eastAsia" w:hAnsi="宋体"/>
          <w:bCs/>
        </w:rPr>
        <w:t>项目编号：</w:t>
      </w:r>
    </w:p>
    <w:p>
      <w:pPr>
        <w:pStyle w:val="7"/>
        <w:spacing w:line="440" w:lineRule="exact"/>
        <w:rPr>
          <w:rFonts w:hAnsi="宋体"/>
          <w:bCs/>
          <w:u w:val="single"/>
        </w:rPr>
      </w:pPr>
      <w:r>
        <w:rPr>
          <w:rFonts w:hint="eastAsia" w:hAnsi="宋体"/>
          <w:bCs/>
        </w:rPr>
        <w:t>项目名称：</w:t>
      </w:r>
      <w:r>
        <w:rPr>
          <w:rFonts w:hint="eastAsia" w:hAnsi="宋体" w:cs="宋体"/>
          <w:szCs w:val="21"/>
          <w:u w:val="single"/>
        </w:rPr>
        <w:t>采购项目名称，由投标人填写</w:t>
      </w:r>
    </w:p>
    <w:p>
      <w:pPr>
        <w:pStyle w:val="7"/>
        <w:spacing w:line="440" w:lineRule="exact"/>
        <w:rPr>
          <w:rFonts w:hAnsi="宋体"/>
          <w:bCs/>
          <w:u w:val="single"/>
        </w:rPr>
      </w:pPr>
      <w:r>
        <w:rPr>
          <w:rFonts w:hint="eastAsia" w:hAnsi="宋体"/>
          <w:bCs/>
        </w:rPr>
        <w:t>投标人名称（公章）：</w:t>
      </w:r>
    </w:p>
    <w:p>
      <w:pPr>
        <w:pStyle w:val="7"/>
        <w:spacing w:line="440" w:lineRule="exact"/>
        <w:rPr>
          <w:rFonts w:hAnsi="宋体"/>
          <w:bCs/>
          <w:u w:val="single"/>
        </w:rPr>
      </w:pPr>
      <w:r>
        <w:rPr>
          <w:rFonts w:hint="eastAsia" w:hAnsi="宋体"/>
          <w:bCs/>
        </w:rPr>
        <w:t>投标人地址：</w:t>
      </w:r>
    </w:p>
    <w:p>
      <w:pPr>
        <w:pStyle w:val="7"/>
        <w:spacing w:line="440" w:lineRule="exact"/>
        <w:rPr>
          <w:rFonts w:hAnsi="宋体"/>
          <w:bCs/>
          <w:u w:val="single"/>
        </w:rPr>
      </w:pPr>
      <w:r>
        <w:rPr>
          <w:rFonts w:hint="eastAsia" w:hAnsi="宋体"/>
          <w:bCs/>
        </w:rPr>
        <w:t>法定代表人（负责人）或授权代理人（签字）</w:t>
      </w:r>
      <w:r>
        <w:rPr>
          <w:rFonts w:hAnsi="宋体"/>
          <w:bCs/>
        </w:rPr>
        <w:t>：</w:t>
      </w:r>
    </w:p>
    <w:p>
      <w:pPr>
        <w:pStyle w:val="7"/>
        <w:spacing w:line="440" w:lineRule="exact"/>
        <w:rPr>
          <w:rFonts w:hAnsi="宋体"/>
          <w:bCs/>
          <w:u w:val="single"/>
        </w:rPr>
      </w:pPr>
      <w:r>
        <w:rPr>
          <w:rFonts w:hint="eastAsia" w:hAnsi="宋体"/>
          <w:bCs/>
        </w:rPr>
        <w:t>联系</w:t>
      </w:r>
      <w:r>
        <w:rPr>
          <w:rFonts w:hAnsi="宋体"/>
          <w:bCs/>
        </w:rPr>
        <w:t>电话：</w:t>
      </w:r>
      <w:r>
        <w:rPr>
          <w:rFonts w:hint="eastAsia" w:hAnsi="宋体"/>
          <w:bCs/>
        </w:rPr>
        <w:t>传真：</w:t>
      </w:r>
    </w:p>
    <w:p>
      <w:pPr>
        <w:pStyle w:val="7"/>
        <w:spacing w:line="440" w:lineRule="exact"/>
        <w:rPr>
          <w:rFonts w:hAnsi="宋体"/>
          <w:bCs/>
          <w:u w:val="single"/>
        </w:rPr>
      </w:pPr>
      <w:r>
        <w:rPr>
          <w:rFonts w:hAnsi="宋体"/>
          <w:bCs/>
        </w:rPr>
        <w:t>邮编：</w:t>
      </w:r>
    </w:p>
    <w:p>
      <w:pPr>
        <w:pStyle w:val="7"/>
        <w:spacing w:line="440" w:lineRule="exact"/>
      </w:pPr>
      <w:r>
        <w:rPr>
          <w:rFonts w:hint="eastAsia" w:hAnsi="宋体"/>
          <w:bCs/>
        </w:rPr>
        <w:t>编制日期：年月日</w:t>
      </w:r>
    </w:p>
    <w:p>
      <w:pPr>
        <w:rPr>
          <w:sz w:val="44"/>
        </w:rPr>
      </w:pPr>
    </w:p>
    <w:p>
      <w:pPr>
        <w:rPr>
          <w:sz w:val="44"/>
        </w:rPr>
      </w:pPr>
    </w:p>
    <w:p>
      <w:pPr>
        <w:rPr>
          <w:sz w:val="44"/>
        </w:rPr>
      </w:pPr>
    </w:p>
    <w:p>
      <w:pPr>
        <w:pStyle w:val="4"/>
        <w:numPr>
          <w:ilvl w:val="7"/>
          <w:numId w:val="14"/>
        </w:numPr>
        <w:spacing w:before="62" w:after="62" w:line="360" w:lineRule="exact"/>
        <w:ind w:left="0" w:firstLine="0"/>
        <w:jc w:val="center"/>
        <w:rPr>
          <w:sz w:val="24"/>
        </w:rPr>
      </w:pPr>
      <w:bookmarkStart w:id="85" w:name="_Toc31809"/>
      <w:bookmarkStart w:id="86" w:name="_Toc32139"/>
      <w:r>
        <w:rPr>
          <w:rFonts w:hint="eastAsia"/>
          <w:sz w:val="24"/>
        </w:rPr>
        <w:t>自查表</w:t>
      </w:r>
      <w:bookmarkEnd w:id="85"/>
      <w:bookmarkEnd w:id="86"/>
    </w:p>
    <w:p>
      <w:pPr>
        <w:pStyle w:val="4"/>
        <w:keepLines w:val="0"/>
        <w:tabs>
          <w:tab w:val="left" w:pos="4320"/>
        </w:tabs>
        <w:spacing w:before="62" w:after="62" w:line="360" w:lineRule="exact"/>
        <w:jc w:val="center"/>
        <w:rPr>
          <w:szCs w:val="21"/>
        </w:rPr>
      </w:pPr>
      <w:bookmarkStart w:id="87" w:name="_Toc30794"/>
      <w:bookmarkStart w:id="88" w:name="_Toc15898"/>
      <w:r>
        <w:rPr>
          <w:rFonts w:hint="eastAsia"/>
          <w:szCs w:val="21"/>
        </w:rPr>
        <w:t>资格性自查表</w:t>
      </w:r>
      <w:bookmarkEnd w:id="87"/>
      <w:bookmarkEnd w:id="88"/>
    </w:p>
    <w:p>
      <w:pPr>
        <w:jc w:val="center"/>
        <w:rPr>
          <w:rFonts w:ascii="宋体" w:hAnsi="宋体"/>
          <w:b/>
          <w:bCs/>
          <w:szCs w:val="21"/>
        </w:rPr>
      </w:pPr>
    </w:p>
    <w:tbl>
      <w:tblPr>
        <w:tblStyle w:val="21"/>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19"/>
        <w:gridCol w:w="3465"/>
        <w:gridCol w:w="1770"/>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9" w:type="dxa"/>
            <w:gridSpan w:val="2"/>
            <w:vAlign w:val="center"/>
          </w:tcPr>
          <w:p>
            <w:pPr>
              <w:tabs>
                <w:tab w:val="left" w:pos="480"/>
              </w:tabs>
              <w:spacing w:line="360" w:lineRule="exact"/>
              <w:ind w:left="480" w:hanging="480"/>
              <w:jc w:val="center"/>
              <w:rPr>
                <w:rFonts w:ascii="宋体" w:hAnsi="宋体"/>
                <w:b/>
                <w:bCs/>
                <w:szCs w:val="21"/>
              </w:rPr>
            </w:pPr>
            <w:r>
              <w:rPr>
                <w:rFonts w:hint="eastAsia" w:ascii="宋体" w:hAnsi="宋体"/>
                <w:b/>
                <w:bCs/>
                <w:szCs w:val="21"/>
              </w:rPr>
              <w:t>评审内容</w:t>
            </w:r>
          </w:p>
        </w:tc>
        <w:tc>
          <w:tcPr>
            <w:tcW w:w="3465" w:type="dxa"/>
            <w:vAlign w:val="center"/>
          </w:tcPr>
          <w:p>
            <w:pPr>
              <w:tabs>
                <w:tab w:val="left" w:pos="480"/>
              </w:tabs>
              <w:spacing w:line="360" w:lineRule="exact"/>
              <w:ind w:left="480" w:hanging="480"/>
              <w:jc w:val="center"/>
              <w:rPr>
                <w:rFonts w:ascii="宋体" w:hAnsi="宋体"/>
                <w:b/>
                <w:bCs/>
                <w:szCs w:val="21"/>
              </w:rPr>
            </w:pPr>
            <w:r>
              <w:rPr>
                <w:rFonts w:hint="eastAsia" w:ascii="宋体" w:hAnsi="宋体"/>
                <w:b/>
                <w:bCs/>
                <w:szCs w:val="21"/>
              </w:rPr>
              <w:t>招标文件要求</w:t>
            </w:r>
          </w:p>
        </w:tc>
        <w:tc>
          <w:tcPr>
            <w:tcW w:w="1770" w:type="dxa"/>
            <w:vAlign w:val="center"/>
          </w:tcPr>
          <w:p>
            <w:pPr>
              <w:tabs>
                <w:tab w:val="left" w:pos="480"/>
              </w:tabs>
              <w:spacing w:line="360" w:lineRule="exact"/>
              <w:ind w:left="480" w:hanging="480"/>
              <w:jc w:val="center"/>
              <w:rPr>
                <w:rFonts w:ascii="宋体" w:hAnsi="宋体"/>
                <w:b/>
                <w:bCs/>
                <w:szCs w:val="21"/>
              </w:rPr>
            </w:pPr>
            <w:r>
              <w:rPr>
                <w:rFonts w:hint="eastAsia" w:ascii="宋体" w:hAnsi="宋体"/>
                <w:b/>
                <w:bCs/>
                <w:szCs w:val="21"/>
              </w:rPr>
              <w:t>自查结论</w:t>
            </w:r>
          </w:p>
          <w:p>
            <w:pPr>
              <w:tabs>
                <w:tab w:val="left" w:pos="480"/>
              </w:tabs>
              <w:spacing w:line="360" w:lineRule="exact"/>
              <w:ind w:left="480" w:hanging="480"/>
              <w:jc w:val="center"/>
              <w:rPr>
                <w:rFonts w:ascii="宋体" w:hAnsi="宋体"/>
                <w:bCs/>
                <w:szCs w:val="21"/>
              </w:rPr>
            </w:pPr>
            <w:r>
              <w:rPr>
                <w:rFonts w:hint="eastAsia" w:ascii="宋体" w:hAnsi="宋体"/>
                <w:bCs/>
                <w:szCs w:val="21"/>
              </w:rPr>
              <w:t>（通过/不通过）</w:t>
            </w:r>
          </w:p>
        </w:tc>
        <w:tc>
          <w:tcPr>
            <w:tcW w:w="2827" w:type="dxa"/>
            <w:vAlign w:val="center"/>
          </w:tcPr>
          <w:p>
            <w:pPr>
              <w:tabs>
                <w:tab w:val="left" w:pos="480"/>
              </w:tabs>
              <w:spacing w:line="360" w:lineRule="exact"/>
              <w:ind w:left="480" w:hanging="480"/>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810" w:type="dxa"/>
            <w:vMerge w:val="restart"/>
            <w:vAlign w:val="center"/>
          </w:tcPr>
          <w:p>
            <w:pPr>
              <w:tabs>
                <w:tab w:val="left" w:pos="480"/>
              </w:tabs>
              <w:spacing w:line="360" w:lineRule="exact"/>
              <w:ind w:left="480" w:hanging="480"/>
              <w:jc w:val="center"/>
              <w:rPr>
                <w:rFonts w:ascii="宋体" w:hAnsi="宋体"/>
                <w:szCs w:val="21"/>
              </w:rPr>
            </w:pPr>
            <w:r>
              <w:rPr>
                <w:rFonts w:hint="eastAsia" w:ascii="宋体" w:hAnsi="宋体"/>
                <w:szCs w:val="21"/>
              </w:rPr>
              <w:t>资</w:t>
            </w:r>
          </w:p>
          <w:p>
            <w:pPr>
              <w:tabs>
                <w:tab w:val="left" w:pos="480"/>
              </w:tabs>
              <w:spacing w:line="360" w:lineRule="exact"/>
              <w:ind w:left="480" w:hanging="480"/>
              <w:jc w:val="center"/>
              <w:rPr>
                <w:rFonts w:ascii="宋体" w:hAnsi="宋体"/>
                <w:szCs w:val="21"/>
              </w:rPr>
            </w:pPr>
            <w:r>
              <w:rPr>
                <w:rFonts w:hint="eastAsia" w:ascii="宋体" w:hAnsi="宋体"/>
                <w:szCs w:val="21"/>
              </w:rPr>
              <w:t>格</w:t>
            </w:r>
          </w:p>
          <w:p>
            <w:pPr>
              <w:tabs>
                <w:tab w:val="left" w:pos="480"/>
              </w:tabs>
              <w:spacing w:line="360" w:lineRule="exact"/>
              <w:ind w:left="480" w:hanging="480"/>
              <w:jc w:val="center"/>
              <w:rPr>
                <w:rFonts w:ascii="宋体" w:hAnsi="宋体"/>
                <w:szCs w:val="21"/>
              </w:rPr>
            </w:pPr>
            <w:r>
              <w:rPr>
                <w:rFonts w:hint="eastAsia" w:ascii="宋体" w:hAnsi="宋体"/>
                <w:szCs w:val="21"/>
              </w:rPr>
              <w:t>性</w:t>
            </w:r>
          </w:p>
          <w:p>
            <w:pPr>
              <w:tabs>
                <w:tab w:val="left" w:pos="480"/>
              </w:tabs>
              <w:spacing w:line="360" w:lineRule="exact"/>
              <w:ind w:left="480" w:hanging="480"/>
              <w:jc w:val="center"/>
              <w:rPr>
                <w:rFonts w:ascii="宋体" w:hAnsi="宋体"/>
                <w:szCs w:val="21"/>
              </w:rPr>
            </w:pPr>
            <w:r>
              <w:rPr>
                <w:rFonts w:hint="eastAsia" w:ascii="宋体" w:hAnsi="宋体"/>
                <w:szCs w:val="21"/>
              </w:rPr>
              <w:t>检</w:t>
            </w:r>
          </w:p>
          <w:p>
            <w:pPr>
              <w:tabs>
                <w:tab w:val="left" w:pos="480"/>
              </w:tabs>
              <w:spacing w:line="360" w:lineRule="exact"/>
              <w:ind w:left="480" w:hanging="480"/>
              <w:jc w:val="center"/>
              <w:rPr>
                <w:rFonts w:ascii="宋体" w:hAnsi="宋体"/>
                <w:b/>
                <w:bCs/>
                <w:szCs w:val="21"/>
              </w:rPr>
            </w:pPr>
            <w:r>
              <w:rPr>
                <w:rFonts w:hint="eastAsia" w:ascii="宋体" w:hAnsi="宋体"/>
                <w:szCs w:val="21"/>
              </w:rPr>
              <w:t>查</w:t>
            </w:r>
          </w:p>
        </w:tc>
        <w:tc>
          <w:tcPr>
            <w:tcW w:w="1219" w:type="dxa"/>
            <w:vMerge w:val="restart"/>
            <w:vAlign w:val="center"/>
          </w:tcPr>
          <w:p>
            <w:pPr>
              <w:tabs>
                <w:tab w:val="left" w:pos="146"/>
              </w:tabs>
              <w:spacing w:line="360" w:lineRule="exact"/>
              <w:ind w:left="146"/>
              <w:jc w:val="left"/>
              <w:rPr>
                <w:rFonts w:ascii="宋体" w:hAnsi="宋体"/>
                <w:szCs w:val="21"/>
              </w:rPr>
            </w:pPr>
            <w:r>
              <w:rPr>
                <w:rFonts w:hint="eastAsia" w:ascii="宋体" w:hAnsi="宋体"/>
                <w:szCs w:val="21"/>
              </w:rPr>
              <w:t>投标人资</w:t>
            </w:r>
          </w:p>
          <w:p>
            <w:pPr>
              <w:tabs>
                <w:tab w:val="left" w:pos="146"/>
              </w:tabs>
              <w:spacing w:line="360" w:lineRule="exact"/>
              <w:ind w:left="146"/>
              <w:jc w:val="left"/>
              <w:rPr>
                <w:rFonts w:ascii="宋体" w:hAnsi="宋体"/>
                <w:szCs w:val="21"/>
              </w:rPr>
            </w:pPr>
            <w:r>
              <w:rPr>
                <w:rFonts w:hint="eastAsia" w:ascii="宋体" w:hAnsi="宋体"/>
                <w:szCs w:val="21"/>
              </w:rPr>
              <w:t>格要求</w:t>
            </w:r>
          </w:p>
        </w:tc>
        <w:tc>
          <w:tcPr>
            <w:tcW w:w="3465" w:type="dxa"/>
            <w:vAlign w:val="center"/>
          </w:tcPr>
          <w:p>
            <w:pPr>
              <w:tabs>
                <w:tab w:val="left" w:pos="0"/>
              </w:tabs>
              <w:spacing w:line="360" w:lineRule="exact"/>
              <w:rPr>
                <w:rFonts w:ascii="宋体" w:hAnsi="宋体"/>
                <w:szCs w:val="21"/>
              </w:rPr>
            </w:pPr>
            <w:r>
              <w:rPr>
                <w:rFonts w:hint="eastAsia" w:ascii="宋体" w:hAnsi="宋体"/>
                <w:szCs w:val="21"/>
              </w:rPr>
              <w:t>投标人应具备《中华人民共和国政府采购法》第二十二条规定的条件</w:t>
            </w:r>
          </w:p>
          <w:p>
            <w:pPr>
              <w:tabs>
                <w:tab w:val="left" w:pos="0"/>
              </w:tabs>
              <w:spacing w:line="360" w:lineRule="exact"/>
              <w:rPr>
                <w:rFonts w:ascii="宋体" w:hAnsi="宋体"/>
                <w:b/>
                <w:bCs/>
                <w:szCs w:val="21"/>
              </w:rPr>
            </w:pPr>
          </w:p>
        </w:tc>
        <w:tc>
          <w:tcPr>
            <w:tcW w:w="1770" w:type="dxa"/>
            <w:vAlign w:val="center"/>
          </w:tcPr>
          <w:p>
            <w:pPr>
              <w:tabs>
                <w:tab w:val="left" w:pos="480"/>
              </w:tabs>
              <w:spacing w:line="360" w:lineRule="exact"/>
              <w:ind w:left="480" w:hanging="480"/>
              <w:rPr>
                <w:rFonts w:ascii="宋体" w:hAnsi="宋体"/>
                <w:b/>
                <w:bCs/>
                <w:szCs w:val="21"/>
              </w:rPr>
            </w:pPr>
          </w:p>
        </w:tc>
        <w:tc>
          <w:tcPr>
            <w:tcW w:w="2827" w:type="dxa"/>
            <w:vAlign w:val="center"/>
          </w:tcPr>
          <w:p>
            <w:pPr>
              <w:tabs>
                <w:tab w:val="left" w:pos="0"/>
              </w:tabs>
              <w:spacing w:line="360" w:lineRule="exact"/>
              <w:jc w:val="center"/>
              <w:rPr>
                <w:rFonts w:ascii="宋体" w:hAnsi="宋体"/>
                <w:b/>
                <w:szCs w:val="21"/>
              </w:rPr>
            </w:pPr>
            <w:r>
              <w:rPr>
                <w:rFonts w:hint="eastAsia" w:ascii="宋体" w:hAnsi="宋体"/>
                <w:b/>
                <w:szCs w:val="21"/>
              </w:rPr>
              <w:t>见投标文件</w:t>
            </w:r>
          </w:p>
          <w:p>
            <w:pPr>
              <w:tabs>
                <w:tab w:val="left" w:pos="0"/>
              </w:tabs>
              <w:spacing w:line="360" w:lineRule="exact"/>
              <w:jc w:val="center"/>
              <w:rPr>
                <w:rFonts w:ascii="宋体" w:hAnsi="宋体"/>
                <w:b/>
                <w:szCs w:val="21"/>
              </w:rPr>
            </w:pPr>
            <w:r>
              <w:rPr>
                <w:rFonts w:hint="eastAsia" w:ascii="宋体" w:hAnsi="宋体"/>
                <w:b/>
                <w:szCs w:val="21"/>
              </w:rPr>
              <w:t>第（  ）页</w:t>
            </w:r>
          </w:p>
          <w:p>
            <w:pPr>
              <w:tabs>
                <w:tab w:val="left" w:pos="0"/>
              </w:tabs>
              <w:spacing w:line="360" w:lineRule="exact"/>
              <w:jc w:val="center"/>
              <w:rPr>
                <w:rFonts w:ascii="宋体" w:hAnsi="宋体"/>
                <w:b/>
                <w:bCs/>
                <w:szCs w:val="21"/>
              </w:rPr>
            </w:pPr>
            <w:r>
              <w:rPr>
                <w:rFonts w:hint="eastAsia" w:ascii="宋体" w:hAnsi="宋体"/>
                <w:szCs w:val="21"/>
              </w:rPr>
              <w:t>要求：提交合法有效的营业执照复印件加盖公章、</w:t>
            </w:r>
            <w:r>
              <w:rPr>
                <w:rFonts w:ascii="宋体" w:hAnsi="宋体" w:cs="Futura-Heavy"/>
                <w:szCs w:val="21"/>
                <w:shd w:val="clear" w:color="auto" w:fill="FFFFFF"/>
              </w:rPr>
              <w:t>提供《关于资格的声明函》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810" w:type="dxa"/>
            <w:vMerge w:val="continue"/>
            <w:vAlign w:val="center"/>
          </w:tcPr>
          <w:p>
            <w:pPr>
              <w:tabs>
                <w:tab w:val="left" w:pos="480"/>
              </w:tabs>
              <w:spacing w:line="360" w:lineRule="exact"/>
              <w:ind w:left="480" w:hanging="480"/>
              <w:jc w:val="center"/>
              <w:rPr>
                <w:rFonts w:ascii="宋体" w:hAnsi="宋体"/>
                <w:szCs w:val="21"/>
              </w:rPr>
            </w:pPr>
          </w:p>
        </w:tc>
        <w:tc>
          <w:tcPr>
            <w:tcW w:w="1219" w:type="dxa"/>
            <w:vMerge w:val="continue"/>
            <w:vAlign w:val="center"/>
          </w:tcPr>
          <w:p>
            <w:pPr>
              <w:tabs>
                <w:tab w:val="left" w:pos="146"/>
              </w:tabs>
              <w:spacing w:line="360" w:lineRule="exact"/>
              <w:ind w:left="146"/>
              <w:rPr>
                <w:rFonts w:ascii="宋体" w:hAnsi="宋体"/>
                <w:szCs w:val="21"/>
              </w:rPr>
            </w:pPr>
          </w:p>
        </w:tc>
        <w:tc>
          <w:tcPr>
            <w:tcW w:w="3465" w:type="dxa"/>
            <w:vAlign w:val="center"/>
          </w:tcPr>
          <w:p>
            <w:pPr>
              <w:tabs>
                <w:tab w:val="left" w:pos="0"/>
              </w:tabs>
              <w:spacing w:line="360" w:lineRule="exact"/>
              <w:rPr>
                <w:rFonts w:ascii="宋体" w:hAnsi="宋体"/>
                <w:szCs w:val="21"/>
              </w:rPr>
            </w:pPr>
            <w:r>
              <w:rPr>
                <w:rFonts w:hint="eastAsia" w:ascii="宋体" w:hAnsi="宋体" w:cs="宋体"/>
              </w:rPr>
              <w:t>投标人</w:t>
            </w:r>
            <w:r>
              <w:rPr>
                <w:rFonts w:hint="eastAsia" w:ascii="宋体" w:hAnsi="宋体" w:cs="Tahoma"/>
              </w:rPr>
              <w:t>须是中华人民共和国境内合法注册，能独立承担民事责任的法人、其他组织或者自然人。</w:t>
            </w:r>
          </w:p>
        </w:tc>
        <w:tc>
          <w:tcPr>
            <w:tcW w:w="1770" w:type="dxa"/>
            <w:vAlign w:val="center"/>
          </w:tcPr>
          <w:p>
            <w:pPr>
              <w:tabs>
                <w:tab w:val="left" w:pos="480"/>
              </w:tabs>
              <w:spacing w:line="360" w:lineRule="exact"/>
              <w:ind w:left="480" w:hanging="480"/>
              <w:rPr>
                <w:rFonts w:ascii="宋体" w:hAnsi="宋体"/>
                <w:szCs w:val="21"/>
              </w:rPr>
            </w:pPr>
          </w:p>
        </w:tc>
        <w:tc>
          <w:tcPr>
            <w:tcW w:w="2827" w:type="dxa"/>
            <w:vAlign w:val="center"/>
          </w:tcPr>
          <w:p>
            <w:pPr>
              <w:tabs>
                <w:tab w:val="left" w:pos="0"/>
              </w:tabs>
              <w:spacing w:line="360" w:lineRule="exact"/>
              <w:jc w:val="center"/>
              <w:rPr>
                <w:rFonts w:ascii="宋体" w:hAnsi="宋体"/>
                <w:szCs w:val="21"/>
              </w:rPr>
            </w:pPr>
            <w:r>
              <w:rPr>
                <w:rFonts w:hint="eastAsia" w:ascii="宋体" w:hAnsi="宋体"/>
                <w:szCs w:val="21"/>
              </w:rPr>
              <w:t>见投标文件</w:t>
            </w:r>
          </w:p>
          <w:p>
            <w:pPr>
              <w:tabs>
                <w:tab w:val="left" w:pos="0"/>
              </w:tabs>
              <w:spacing w:line="360" w:lineRule="exact"/>
              <w:jc w:val="center"/>
              <w:rPr>
                <w:rFonts w:ascii="宋体" w:hAnsi="宋体"/>
                <w:szCs w:val="21"/>
              </w:rPr>
            </w:pPr>
            <w:r>
              <w:rPr>
                <w:rFonts w:hint="eastAsia" w:ascii="宋体" w:hAnsi="宋体"/>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810" w:type="dxa"/>
            <w:vMerge w:val="continue"/>
            <w:vAlign w:val="center"/>
          </w:tcPr>
          <w:p>
            <w:pPr>
              <w:tabs>
                <w:tab w:val="left" w:pos="480"/>
              </w:tabs>
              <w:spacing w:line="360" w:lineRule="exact"/>
              <w:ind w:left="480" w:hanging="480"/>
              <w:jc w:val="center"/>
              <w:rPr>
                <w:rFonts w:ascii="宋体" w:hAnsi="宋体"/>
                <w:szCs w:val="21"/>
              </w:rPr>
            </w:pPr>
          </w:p>
        </w:tc>
        <w:tc>
          <w:tcPr>
            <w:tcW w:w="1219" w:type="dxa"/>
            <w:vMerge w:val="continue"/>
            <w:vAlign w:val="center"/>
          </w:tcPr>
          <w:p>
            <w:pPr>
              <w:tabs>
                <w:tab w:val="left" w:pos="146"/>
              </w:tabs>
              <w:spacing w:line="360" w:lineRule="exact"/>
              <w:ind w:left="146"/>
              <w:rPr>
                <w:rFonts w:ascii="宋体" w:hAnsi="宋体"/>
                <w:szCs w:val="21"/>
              </w:rPr>
            </w:pPr>
          </w:p>
        </w:tc>
        <w:tc>
          <w:tcPr>
            <w:tcW w:w="3465" w:type="dxa"/>
            <w:vAlign w:val="center"/>
          </w:tcPr>
          <w:p>
            <w:pPr>
              <w:tabs>
                <w:tab w:val="left" w:pos="0"/>
              </w:tabs>
              <w:spacing w:line="360" w:lineRule="exact"/>
              <w:rPr>
                <w:rFonts w:ascii="宋体" w:hAnsi="宋体"/>
                <w:spacing w:val="-6"/>
                <w:szCs w:val="21"/>
              </w:rPr>
            </w:pPr>
            <w:r>
              <w:rPr>
                <w:rFonts w:hint="eastAsia" w:ascii="宋体" w:hAnsi="宋体" w:cs="Tahoma"/>
              </w:rPr>
              <w:t>为采购项目提供整体设计、规范编制或者项目管理、监理、检测等服务的供应商及其附属机构，不得再参加同一采购项目的其他采购活动；</w:t>
            </w:r>
            <w:r>
              <w:rPr>
                <w:rFonts w:hint="eastAsia" w:ascii="宋体" w:hAnsi="宋体"/>
                <w:spacing w:val="-6"/>
                <w:szCs w:val="21"/>
              </w:rPr>
              <w:t>（</w:t>
            </w:r>
            <w:r>
              <w:rPr>
                <w:rFonts w:ascii="宋体" w:hAnsi="宋体" w:cs="Futura-Heavy"/>
                <w:szCs w:val="21"/>
                <w:shd w:val="clear" w:color="auto" w:fill="FFFFFF"/>
              </w:rPr>
              <w:t>提供《关于资格的声明函》</w:t>
            </w:r>
            <w:r>
              <w:rPr>
                <w:rFonts w:hint="eastAsia" w:ascii="宋体" w:hAnsi="宋体"/>
                <w:spacing w:val="-6"/>
                <w:szCs w:val="21"/>
              </w:rPr>
              <w:t>）</w:t>
            </w:r>
          </w:p>
        </w:tc>
        <w:tc>
          <w:tcPr>
            <w:tcW w:w="1770" w:type="dxa"/>
            <w:vAlign w:val="center"/>
          </w:tcPr>
          <w:p>
            <w:pPr>
              <w:tabs>
                <w:tab w:val="left" w:pos="480"/>
              </w:tabs>
              <w:spacing w:line="360" w:lineRule="exact"/>
              <w:ind w:left="480" w:hanging="480"/>
              <w:rPr>
                <w:rFonts w:ascii="宋体" w:hAnsi="宋体"/>
                <w:szCs w:val="21"/>
              </w:rPr>
            </w:pPr>
          </w:p>
        </w:tc>
        <w:tc>
          <w:tcPr>
            <w:tcW w:w="2827" w:type="dxa"/>
            <w:vAlign w:val="center"/>
          </w:tcPr>
          <w:p>
            <w:pPr>
              <w:tabs>
                <w:tab w:val="left" w:pos="0"/>
              </w:tabs>
              <w:spacing w:line="360" w:lineRule="exact"/>
              <w:jc w:val="center"/>
              <w:rPr>
                <w:rFonts w:ascii="宋体" w:hAnsi="宋体"/>
                <w:szCs w:val="21"/>
              </w:rPr>
            </w:pPr>
            <w:r>
              <w:rPr>
                <w:rFonts w:hint="eastAsia" w:ascii="宋体" w:hAnsi="宋体"/>
                <w:szCs w:val="21"/>
              </w:rPr>
              <w:t>见投标文件</w:t>
            </w:r>
          </w:p>
          <w:p>
            <w:pPr>
              <w:tabs>
                <w:tab w:val="left" w:pos="0"/>
              </w:tabs>
              <w:spacing w:line="360" w:lineRule="exact"/>
              <w:jc w:val="center"/>
              <w:rPr>
                <w:rFonts w:ascii="宋体" w:hAnsi="宋体"/>
                <w:szCs w:val="21"/>
              </w:rPr>
            </w:pPr>
            <w:r>
              <w:rPr>
                <w:rFonts w:hint="eastAsia" w:ascii="宋体" w:hAnsi="宋体"/>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810" w:type="dxa"/>
            <w:vMerge w:val="continue"/>
            <w:vAlign w:val="center"/>
          </w:tcPr>
          <w:p>
            <w:pPr>
              <w:tabs>
                <w:tab w:val="left" w:pos="480"/>
              </w:tabs>
              <w:spacing w:line="360" w:lineRule="exact"/>
              <w:ind w:left="480" w:hanging="480"/>
              <w:jc w:val="center"/>
              <w:rPr>
                <w:rFonts w:ascii="宋体" w:hAnsi="宋体"/>
                <w:szCs w:val="21"/>
              </w:rPr>
            </w:pPr>
          </w:p>
        </w:tc>
        <w:tc>
          <w:tcPr>
            <w:tcW w:w="1219" w:type="dxa"/>
            <w:vMerge w:val="continue"/>
            <w:vAlign w:val="center"/>
          </w:tcPr>
          <w:p>
            <w:pPr>
              <w:tabs>
                <w:tab w:val="left" w:pos="146"/>
              </w:tabs>
              <w:spacing w:line="360" w:lineRule="exact"/>
              <w:ind w:left="146"/>
              <w:rPr>
                <w:rFonts w:ascii="宋体" w:hAnsi="宋体"/>
                <w:szCs w:val="21"/>
              </w:rPr>
            </w:pPr>
          </w:p>
        </w:tc>
        <w:tc>
          <w:tcPr>
            <w:tcW w:w="3465" w:type="dxa"/>
            <w:vAlign w:val="center"/>
          </w:tcPr>
          <w:p>
            <w:pPr>
              <w:tabs>
                <w:tab w:val="left" w:pos="0"/>
              </w:tabs>
              <w:spacing w:line="360" w:lineRule="exact"/>
              <w:rPr>
                <w:rFonts w:ascii="宋体" w:hAnsi="宋体"/>
                <w:spacing w:val="-6"/>
                <w:szCs w:val="21"/>
              </w:rPr>
            </w:pPr>
            <w:r>
              <w:rPr>
                <w:rFonts w:hint="eastAsia" w:ascii="宋体" w:hAnsi="宋体" w:cs="Tahoma"/>
              </w:rPr>
              <w:t>单位负责人为同一人或者存在直接控股、管理关系的不同供应商，不得参加同一合同项下的政府采购活动；</w:t>
            </w:r>
            <w:r>
              <w:rPr>
                <w:rFonts w:hint="eastAsia" w:ascii="宋体" w:hAnsi="宋体"/>
                <w:spacing w:val="-6"/>
                <w:szCs w:val="21"/>
              </w:rPr>
              <w:t>（</w:t>
            </w:r>
            <w:r>
              <w:rPr>
                <w:rFonts w:ascii="宋体" w:hAnsi="宋体" w:cs="Futura-Heavy"/>
                <w:szCs w:val="21"/>
                <w:shd w:val="clear" w:color="auto" w:fill="FFFFFF"/>
              </w:rPr>
              <w:t>提供《关于资格的声明函》</w:t>
            </w:r>
            <w:r>
              <w:rPr>
                <w:rFonts w:hint="eastAsia" w:ascii="宋体" w:hAnsi="宋体"/>
                <w:spacing w:val="-6"/>
                <w:szCs w:val="21"/>
              </w:rPr>
              <w:t>）</w:t>
            </w:r>
          </w:p>
        </w:tc>
        <w:tc>
          <w:tcPr>
            <w:tcW w:w="1770" w:type="dxa"/>
            <w:vAlign w:val="center"/>
          </w:tcPr>
          <w:p>
            <w:pPr>
              <w:tabs>
                <w:tab w:val="left" w:pos="480"/>
              </w:tabs>
              <w:spacing w:line="360" w:lineRule="exact"/>
              <w:ind w:left="480" w:hanging="480"/>
              <w:rPr>
                <w:rFonts w:ascii="宋体" w:hAnsi="宋体"/>
                <w:szCs w:val="21"/>
              </w:rPr>
            </w:pPr>
          </w:p>
        </w:tc>
        <w:tc>
          <w:tcPr>
            <w:tcW w:w="2827" w:type="dxa"/>
            <w:vAlign w:val="center"/>
          </w:tcPr>
          <w:p>
            <w:pPr>
              <w:tabs>
                <w:tab w:val="left" w:pos="0"/>
              </w:tabs>
              <w:spacing w:line="360" w:lineRule="exact"/>
              <w:jc w:val="center"/>
              <w:rPr>
                <w:rFonts w:ascii="宋体" w:hAnsi="宋体"/>
                <w:szCs w:val="21"/>
              </w:rPr>
            </w:pPr>
            <w:r>
              <w:rPr>
                <w:rFonts w:hint="eastAsia" w:ascii="宋体" w:hAnsi="宋体"/>
                <w:szCs w:val="21"/>
              </w:rPr>
              <w:t>见投标文件</w:t>
            </w:r>
          </w:p>
          <w:p>
            <w:pPr>
              <w:tabs>
                <w:tab w:val="left" w:pos="0"/>
              </w:tabs>
              <w:spacing w:line="360" w:lineRule="exact"/>
              <w:jc w:val="center"/>
              <w:rPr>
                <w:rFonts w:ascii="宋体" w:hAnsi="宋体"/>
                <w:szCs w:val="21"/>
              </w:rPr>
            </w:pPr>
            <w:r>
              <w:rPr>
                <w:rFonts w:hint="eastAsia" w:ascii="宋体" w:hAnsi="宋体"/>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10" w:type="dxa"/>
            <w:vMerge w:val="continue"/>
            <w:vAlign w:val="center"/>
          </w:tcPr>
          <w:p>
            <w:pPr>
              <w:tabs>
                <w:tab w:val="left" w:pos="480"/>
              </w:tabs>
              <w:spacing w:line="360" w:lineRule="exact"/>
              <w:ind w:left="480" w:hanging="480"/>
              <w:jc w:val="center"/>
              <w:rPr>
                <w:rFonts w:ascii="宋体" w:hAnsi="宋体"/>
                <w:szCs w:val="21"/>
              </w:rPr>
            </w:pPr>
          </w:p>
        </w:tc>
        <w:tc>
          <w:tcPr>
            <w:tcW w:w="1219" w:type="dxa"/>
            <w:vMerge w:val="continue"/>
            <w:vAlign w:val="center"/>
          </w:tcPr>
          <w:p>
            <w:pPr>
              <w:tabs>
                <w:tab w:val="left" w:pos="146"/>
              </w:tabs>
              <w:spacing w:line="360" w:lineRule="exact"/>
              <w:ind w:left="146"/>
              <w:rPr>
                <w:rFonts w:ascii="宋体" w:hAnsi="宋体"/>
                <w:szCs w:val="21"/>
              </w:rPr>
            </w:pPr>
          </w:p>
        </w:tc>
        <w:tc>
          <w:tcPr>
            <w:tcW w:w="3465" w:type="dxa"/>
            <w:vAlign w:val="center"/>
          </w:tcPr>
          <w:p>
            <w:pPr>
              <w:tabs>
                <w:tab w:val="left" w:pos="0"/>
              </w:tabs>
              <w:spacing w:line="360" w:lineRule="exact"/>
              <w:rPr>
                <w:rFonts w:ascii="宋体" w:hAnsi="宋体"/>
                <w:spacing w:val="-6"/>
                <w:szCs w:val="21"/>
              </w:rPr>
            </w:pPr>
            <w:r>
              <w:rPr>
                <w:rFonts w:hint="eastAsia" w:ascii="宋体" w:hAnsi="宋体" w:cs="Tahoma"/>
              </w:rPr>
              <w:t>采购代理机构根据评审时“信用中国”网站（www.creditchina.gov.cn）、中国政府采购网（http://www.gdgpo.gov.cn/）查询的主体信用记录信息，对列入失信被执行人、重大税收违法案件当事人、政府采购不良行为记录等严重失信行为的主体，依法拒绝其参与政府采购活动。如查询结果未显示存在失信记录，视为评审时未发现不良信用记录；（提供相关网页截图并加盖公章）</w:t>
            </w:r>
          </w:p>
        </w:tc>
        <w:tc>
          <w:tcPr>
            <w:tcW w:w="1770" w:type="dxa"/>
            <w:vAlign w:val="center"/>
          </w:tcPr>
          <w:p>
            <w:pPr>
              <w:tabs>
                <w:tab w:val="left" w:pos="480"/>
              </w:tabs>
              <w:spacing w:line="360" w:lineRule="exact"/>
              <w:ind w:left="480" w:hanging="480"/>
              <w:rPr>
                <w:rFonts w:ascii="宋体" w:hAnsi="宋体"/>
                <w:szCs w:val="21"/>
              </w:rPr>
            </w:pPr>
          </w:p>
        </w:tc>
        <w:tc>
          <w:tcPr>
            <w:tcW w:w="2827" w:type="dxa"/>
            <w:vAlign w:val="center"/>
          </w:tcPr>
          <w:p>
            <w:pPr>
              <w:tabs>
                <w:tab w:val="left" w:pos="0"/>
              </w:tabs>
              <w:spacing w:line="360" w:lineRule="exact"/>
              <w:jc w:val="center"/>
              <w:rPr>
                <w:rFonts w:ascii="宋体" w:hAnsi="宋体"/>
                <w:szCs w:val="21"/>
              </w:rPr>
            </w:pPr>
            <w:r>
              <w:rPr>
                <w:rFonts w:hint="eastAsia" w:ascii="宋体" w:hAnsi="宋体"/>
                <w:szCs w:val="21"/>
              </w:rPr>
              <w:t>见投标文件</w:t>
            </w:r>
          </w:p>
          <w:p>
            <w:pPr>
              <w:tabs>
                <w:tab w:val="left" w:pos="0"/>
              </w:tabs>
              <w:spacing w:line="360" w:lineRule="exact"/>
              <w:jc w:val="center"/>
              <w:rPr>
                <w:rFonts w:ascii="宋体" w:hAnsi="宋体"/>
                <w:szCs w:val="21"/>
              </w:rPr>
            </w:pPr>
            <w:r>
              <w:rPr>
                <w:rFonts w:hint="eastAsia" w:ascii="宋体" w:hAnsi="宋体"/>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0" w:type="dxa"/>
            <w:vMerge w:val="continue"/>
            <w:vAlign w:val="center"/>
          </w:tcPr>
          <w:p>
            <w:pPr>
              <w:tabs>
                <w:tab w:val="left" w:pos="480"/>
              </w:tabs>
              <w:spacing w:line="360" w:lineRule="exact"/>
              <w:ind w:left="480" w:hanging="480"/>
              <w:jc w:val="center"/>
              <w:rPr>
                <w:rFonts w:ascii="宋体" w:hAnsi="宋体"/>
                <w:szCs w:val="21"/>
              </w:rPr>
            </w:pPr>
          </w:p>
        </w:tc>
        <w:tc>
          <w:tcPr>
            <w:tcW w:w="1219" w:type="dxa"/>
            <w:vAlign w:val="center"/>
          </w:tcPr>
          <w:p>
            <w:pPr>
              <w:tabs>
                <w:tab w:val="left" w:pos="146"/>
              </w:tabs>
              <w:spacing w:line="360" w:lineRule="exact"/>
              <w:ind w:left="146"/>
              <w:rPr>
                <w:rFonts w:ascii="宋体" w:hAnsi="宋体"/>
                <w:b/>
                <w:bCs/>
                <w:szCs w:val="21"/>
              </w:rPr>
            </w:pPr>
            <w:r>
              <w:rPr>
                <w:rFonts w:hint="eastAsia" w:ascii="宋体" w:hAnsi="宋体"/>
                <w:szCs w:val="21"/>
              </w:rPr>
              <w:t>不接受联合体投标</w:t>
            </w:r>
          </w:p>
        </w:tc>
        <w:tc>
          <w:tcPr>
            <w:tcW w:w="3465" w:type="dxa"/>
            <w:vAlign w:val="center"/>
          </w:tcPr>
          <w:p>
            <w:pPr>
              <w:tabs>
                <w:tab w:val="left" w:pos="0"/>
              </w:tabs>
              <w:spacing w:line="360" w:lineRule="exact"/>
              <w:rPr>
                <w:rFonts w:ascii="宋体" w:hAnsi="宋体"/>
                <w:b/>
                <w:bCs/>
                <w:szCs w:val="21"/>
              </w:rPr>
            </w:pPr>
            <w:r>
              <w:rPr>
                <w:rFonts w:hint="eastAsia" w:ascii="宋体" w:hAnsi="宋体"/>
                <w:szCs w:val="21"/>
              </w:rPr>
              <w:t>按招标文件要求</w:t>
            </w:r>
          </w:p>
        </w:tc>
        <w:tc>
          <w:tcPr>
            <w:tcW w:w="1770" w:type="dxa"/>
            <w:vAlign w:val="center"/>
          </w:tcPr>
          <w:p>
            <w:pPr>
              <w:tabs>
                <w:tab w:val="left" w:pos="480"/>
              </w:tabs>
              <w:spacing w:line="360" w:lineRule="exact"/>
              <w:ind w:left="-107" w:leftChars="-51" w:firstLine="106"/>
              <w:rPr>
                <w:rFonts w:ascii="宋体" w:hAnsi="宋体"/>
                <w:b/>
                <w:bCs/>
                <w:szCs w:val="21"/>
              </w:rPr>
            </w:pPr>
          </w:p>
        </w:tc>
        <w:tc>
          <w:tcPr>
            <w:tcW w:w="2827" w:type="dxa"/>
            <w:vAlign w:val="center"/>
          </w:tcPr>
          <w:p>
            <w:pPr>
              <w:tabs>
                <w:tab w:val="left" w:pos="0"/>
              </w:tabs>
              <w:spacing w:line="360" w:lineRule="exact"/>
              <w:jc w:val="center"/>
              <w:rPr>
                <w:rFonts w:ascii="宋体" w:hAnsi="宋体"/>
                <w:szCs w:val="21"/>
              </w:rPr>
            </w:pPr>
            <w:r>
              <w:rPr>
                <w:rFonts w:hint="eastAsia" w:ascii="宋体" w:hAnsi="宋体"/>
                <w:szCs w:val="21"/>
              </w:rPr>
              <w:t>见投标文件</w:t>
            </w:r>
          </w:p>
          <w:p>
            <w:pPr>
              <w:tabs>
                <w:tab w:val="left" w:pos="0"/>
              </w:tabs>
              <w:spacing w:line="360" w:lineRule="exact"/>
              <w:jc w:val="center"/>
              <w:rPr>
                <w:rFonts w:ascii="宋体" w:hAnsi="宋体"/>
                <w:b/>
                <w:bCs/>
                <w:szCs w:val="21"/>
              </w:rPr>
            </w:pPr>
            <w:r>
              <w:rPr>
                <w:rFonts w:hint="eastAsia" w:ascii="宋体" w:hAnsi="宋体"/>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0" w:type="dxa"/>
            <w:vMerge w:val="continue"/>
            <w:vAlign w:val="center"/>
          </w:tcPr>
          <w:p>
            <w:pPr>
              <w:tabs>
                <w:tab w:val="left" w:pos="480"/>
              </w:tabs>
              <w:spacing w:line="360" w:lineRule="exact"/>
              <w:ind w:left="480" w:hanging="480"/>
              <w:jc w:val="center"/>
              <w:rPr>
                <w:rFonts w:ascii="宋体" w:hAnsi="宋体"/>
                <w:szCs w:val="21"/>
              </w:rPr>
            </w:pPr>
          </w:p>
        </w:tc>
        <w:tc>
          <w:tcPr>
            <w:tcW w:w="1219" w:type="dxa"/>
            <w:vAlign w:val="center"/>
          </w:tcPr>
          <w:p>
            <w:pPr>
              <w:tabs>
                <w:tab w:val="left" w:pos="146"/>
              </w:tabs>
              <w:spacing w:line="360" w:lineRule="exact"/>
              <w:ind w:left="146"/>
              <w:rPr>
                <w:rFonts w:ascii="宋体" w:hAnsi="宋体"/>
                <w:b/>
                <w:bCs/>
                <w:szCs w:val="21"/>
              </w:rPr>
            </w:pPr>
            <w:r>
              <w:rPr>
                <w:rFonts w:hint="eastAsia" w:ascii="宋体" w:hAnsi="宋体"/>
                <w:szCs w:val="21"/>
              </w:rPr>
              <w:t>投标人须在招标代理机构登记并报名登记</w:t>
            </w:r>
          </w:p>
        </w:tc>
        <w:tc>
          <w:tcPr>
            <w:tcW w:w="3465" w:type="dxa"/>
            <w:vAlign w:val="center"/>
          </w:tcPr>
          <w:p>
            <w:pPr>
              <w:tabs>
                <w:tab w:val="left" w:pos="0"/>
              </w:tabs>
              <w:spacing w:line="360" w:lineRule="exact"/>
              <w:rPr>
                <w:rFonts w:ascii="宋体" w:hAnsi="宋体"/>
                <w:b/>
                <w:bCs/>
                <w:szCs w:val="21"/>
              </w:rPr>
            </w:pPr>
            <w:r>
              <w:rPr>
                <w:rFonts w:hint="eastAsia" w:ascii="宋体" w:hAnsi="宋体"/>
                <w:szCs w:val="21"/>
              </w:rPr>
              <w:t>按招标文件要求</w:t>
            </w:r>
          </w:p>
        </w:tc>
        <w:tc>
          <w:tcPr>
            <w:tcW w:w="1770" w:type="dxa"/>
            <w:vAlign w:val="center"/>
          </w:tcPr>
          <w:p>
            <w:pPr>
              <w:tabs>
                <w:tab w:val="left" w:pos="480"/>
              </w:tabs>
              <w:spacing w:line="360" w:lineRule="exact"/>
              <w:ind w:left="-107" w:leftChars="-51" w:firstLine="106"/>
              <w:rPr>
                <w:rFonts w:ascii="宋体" w:hAnsi="宋体"/>
                <w:b/>
                <w:bCs/>
                <w:szCs w:val="21"/>
              </w:rPr>
            </w:pPr>
          </w:p>
        </w:tc>
        <w:tc>
          <w:tcPr>
            <w:tcW w:w="2827" w:type="dxa"/>
            <w:vAlign w:val="center"/>
          </w:tcPr>
          <w:p>
            <w:pPr>
              <w:tabs>
                <w:tab w:val="left" w:pos="0"/>
              </w:tabs>
              <w:spacing w:line="360" w:lineRule="exact"/>
              <w:jc w:val="center"/>
              <w:rPr>
                <w:rFonts w:ascii="宋体" w:hAnsi="宋体"/>
                <w:szCs w:val="21"/>
              </w:rPr>
            </w:pPr>
            <w:r>
              <w:rPr>
                <w:rFonts w:hint="eastAsia" w:ascii="宋体" w:hAnsi="宋体"/>
                <w:szCs w:val="21"/>
              </w:rPr>
              <w:t>见投标文件</w:t>
            </w:r>
          </w:p>
          <w:p>
            <w:pPr>
              <w:tabs>
                <w:tab w:val="left" w:pos="0"/>
              </w:tabs>
              <w:spacing w:line="360" w:lineRule="exact"/>
              <w:jc w:val="center"/>
              <w:rPr>
                <w:rFonts w:ascii="宋体" w:hAnsi="宋体"/>
                <w:b/>
                <w:bCs/>
                <w:szCs w:val="21"/>
              </w:rPr>
            </w:pPr>
            <w:r>
              <w:rPr>
                <w:rFonts w:hint="eastAsia" w:ascii="宋体" w:hAnsi="宋体"/>
                <w:szCs w:val="21"/>
              </w:rPr>
              <w:t>第（  ）页</w:t>
            </w:r>
          </w:p>
        </w:tc>
      </w:tr>
    </w:tbl>
    <w:p>
      <w:pPr>
        <w:tabs>
          <w:tab w:val="center" w:pos="4483"/>
        </w:tabs>
        <w:ind w:left="315" w:leftChars="50" w:hanging="210" w:hangingChars="100"/>
        <w:rPr>
          <w:rFonts w:ascii="宋体" w:hAnsi="宋体"/>
          <w:szCs w:val="21"/>
        </w:rPr>
      </w:pPr>
    </w:p>
    <w:p>
      <w:pPr>
        <w:tabs>
          <w:tab w:val="center" w:pos="4483"/>
        </w:tabs>
        <w:ind w:left="525" w:leftChars="50" w:hanging="420" w:hangingChars="200"/>
        <w:rPr>
          <w:rFonts w:ascii="宋体" w:hAnsi="宋体"/>
          <w:szCs w:val="21"/>
        </w:rPr>
      </w:pPr>
      <w:r>
        <w:rPr>
          <w:rFonts w:hint="eastAsia" w:ascii="宋体" w:hAnsi="宋体"/>
          <w:szCs w:val="21"/>
        </w:rPr>
        <w:t>注：以上材料将作为投标人资格性审核的重要内容之一，投标人必须严格按照其内容及序列要求在投标文件中对应如实提供，对缺漏和不符合项或</w:t>
      </w:r>
      <w:r>
        <w:rPr>
          <w:rFonts w:hint="eastAsia" w:ascii="宋体" w:hAnsi="宋体"/>
          <w:bCs/>
          <w:szCs w:val="21"/>
        </w:rPr>
        <w:t>提交的资料字迹模糊不清而现场无法提供原件核实的</w:t>
      </w:r>
      <w:r>
        <w:rPr>
          <w:rFonts w:hint="eastAsia" w:ascii="宋体" w:hAnsi="宋体"/>
          <w:szCs w:val="21"/>
        </w:rPr>
        <w:t>将会直接导致无效投标。</w:t>
      </w:r>
      <w:r>
        <w:rPr>
          <w:rFonts w:hint="eastAsia" w:ascii="宋体" w:hAnsi="宋体"/>
          <w:bCs/>
          <w:szCs w:val="21"/>
        </w:rPr>
        <w:t>不能继续参与后续评标，有效投标人少于3家的将导致废标。废标后，除采购任务取消情形外，应当重新组织采购。</w:t>
      </w:r>
      <w:r>
        <w:rPr>
          <w:rFonts w:hint="eastAsia" w:ascii="宋体" w:hAnsi="宋体"/>
          <w:szCs w:val="21"/>
        </w:rPr>
        <w:t>在对应的自查结论中填“通过”或“不通过”。</w:t>
      </w:r>
    </w:p>
    <w:p>
      <w:pPr>
        <w:tabs>
          <w:tab w:val="center" w:pos="4483"/>
        </w:tabs>
        <w:ind w:left="525" w:leftChars="50" w:hanging="420" w:hangingChars="200"/>
        <w:rPr>
          <w:rFonts w:ascii="宋体" w:hAnsi="宋体"/>
          <w:bCs/>
          <w:szCs w:val="21"/>
        </w:rPr>
      </w:pPr>
    </w:p>
    <w:p>
      <w:pPr>
        <w:adjustRightInd w:val="0"/>
        <w:snapToGrid w:val="0"/>
        <w:spacing w:line="300" w:lineRule="auto"/>
        <w:rPr>
          <w:szCs w:val="21"/>
        </w:rPr>
      </w:pPr>
    </w:p>
    <w:p>
      <w:pPr>
        <w:adjustRightInd w:val="0"/>
        <w:snapToGrid w:val="0"/>
        <w:spacing w:line="300" w:lineRule="auto"/>
        <w:rPr>
          <w:rFonts w:ascii="宋体" w:hAnsi="宋体"/>
          <w:szCs w:val="21"/>
          <w:u w:val="single"/>
        </w:rPr>
      </w:pPr>
      <w:r>
        <w:rPr>
          <w:rFonts w:hint="eastAsia"/>
          <w:szCs w:val="21"/>
        </w:rPr>
        <w:t>投标人法定代表人（负责人）或授权代理人（签字）：</w:t>
      </w:r>
    </w:p>
    <w:p>
      <w:pPr>
        <w:adjustRightInd w:val="0"/>
        <w:snapToGrid w:val="0"/>
        <w:spacing w:line="300" w:lineRule="auto"/>
        <w:rPr>
          <w:rFonts w:ascii="宋体" w:hAnsi="宋体"/>
          <w:szCs w:val="21"/>
          <w:u w:val="single"/>
        </w:rPr>
      </w:pPr>
      <w:r>
        <w:rPr>
          <w:rFonts w:hint="eastAsia" w:ascii="宋体" w:hAnsi="宋体"/>
          <w:szCs w:val="21"/>
        </w:rPr>
        <w:t>投标人名称（签章）：</w:t>
      </w:r>
    </w:p>
    <w:p>
      <w:pPr>
        <w:adjustRightInd w:val="0"/>
        <w:snapToGrid w:val="0"/>
        <w:spacing w:line="300" w:lineRule="auto"/>
        <w:rPr>
          <w:rFonts w:ascii="宋体" w:hAnsi="宋体"/>
          <w:szCs w:val="21"/>
        </w:rPr>
      </w:pPr>
      <w:r>
        <w:rPr>
          <w:rFonts w:hint="eastAsia" w:ascii="宋体" w:hAnsi="宋体"/>
          <w:szCs w:val="21"/>
        </w:rPr>
        <w:t>日期：   年   月   日</w:t>
      </w:r>
    </w:p>
    <w:p>
      <w:pPr>
        <w:sectPr>
          <w:headerReference r:id="rId13" w:type="first"/>
          <w:footerReference r:id="rId14" w:type="first"/>
          <w:pgSz w:w="11906" w:h="16838"/>
          <w:pgMar w:top="1440" w:right="1080" w:bottom="1440" w:left="1080" w:header="851" w:footer="850" w:gutter="0"/>
          <w:cols w:space="425" w:num="1"/>
          <w:titlePg/>
          <w:docGrid w:type="lines" w:linePitch="312" w:charSpace="0"/>
        </w:sectPr>
      </w:pPr>
    </w:p>
    <w:p/>
    <w:p>
      <w:pPr>
        <w:pStyle w:val="5"/>
      </w:pPr>
      <w:bookmarkStart w:id="89" w:name="_Toc21470"/>
      <w:bookmarkStart w:id="90" w:name="_Toc27223"/>
      <w:bookmarkStart w:id="91" w:name="_Toc11326"/>
      <w:r>
        <w:rPr>
          <w:rFonts w:hint="eastAsia"/>
        </w:rPr>
        <w:t>（一）资格审查文件要求提交的有效证明文件</w:t>
      </w:r>
      <w:bookmarkEnd w:id="89"/>
      <w:bookmarkEnd w:id="90"/>
      <w:bookmarkEnd w:id="91"/>
    </w:p>
    <w:p>
      <w:pPr>
        <w:pStyle w:val="7"/>
      </w:pPr>
    </w:p>
    <w:p>
      <w:pPr>
        <w:spacing w:line="440" w:lineRule="exact"/>
        <w:ind w:firstLine="420" w:firstLineChars="200"/>
        <w:rPr>
          <w:rFonts w:ascii="宋体" w:hAnsi="宋体"/>
          <w:szCs w:val="21"/>
        </w:rPr>
      </w:pPr>
      <w:r>
        <w:rPr>
          <w:rFonts w:hint="eastAsia" w:ascii="宋体" w:hAnsi="宋体"/>
          <w:szCs w:val="21"/>
        </w:rPr>
        <w:t>1、合法有效的营业执照复印件加盖公章；</w:t>
      </w:r>
    </w:p>
    <w:p>
      <w:pPr>
        <w:spacing w:line="440" w:lineRule="exact"/>
        <w:ind w:firstLine="420" w:firstLineChars="200"/>
        <w:rPr>
          <w:rFonts w:ascii="宋体" w:hAnsi="宋体" w:cs="Futura-Heavy"/>
          <w:szCs w:val="21"/>
          <w:shd w:val="clear" w:color="auto" w:fill="FFFFFF"/>
        </w:rPr>
      </w:pPr>
      <w:r>
        <w:rPr>
          <w:rFonts w:hint="eastAsia" w:ascii="宋体" w:hAnsi="宋体"/>
          <w:szCs w:val="21"/>
        </w:rPr>
        <w:t>2、</w:t>
      </w:r>
      <w:r>
        <w:rPr>
          <w:rFonts w:ascii="宋体" w:hAnsi="宋体" w:cs="Futura-Heavy"/>
          <w:szCs w:val="21"/>
          <w:shd w:val="clear" w:color="auto" w:fill="FFFFFF"/>
        </w:rPr>
        <w:t>提供《关于资格的声明函》</w:t>
      </w:r>
    </w:p>
    <w:p>
      <w:pPr>
        <w:spacing w:line="440" w:lineRule="exact"/>
        <w:ind w:firstLine="420" w:firstLineChars="200"/>
        <w:rPr>
          <w:rFonts w:ascii="宋体" w:hAnsi="宋体"/>
          <w:szCs w:val="21"/>
        </w:rPr>
      </w:pPr>
      <w:r>
        <w:rPr>
          <w:rFonts w:hint="eastAsia" w:ascii="宋体" w:hAnsi="宋体" w:cs="Futura-Heavy"/>
          <w:szCs w:val="21"/>
          <w:shd w:val="clear" w:color="auto" w:fill="FFFFFF"/>
        </w:rPr>
        <w:t>3、</w:t>
      </w:r>
      <w:r>
        <w:rPr>
          <w:rFonts w:ascii="宋体" w:hAnsi="宋体"/>
          <w:szCs w:val="21"/>
        </w:rPr>
        <w:t>………</w:t>
      </w:r>
    </w:p>
    <w:p>
      <w:pPr>
        <w:pStyle w:val="7"/>
        <w:rPr>
          <w:rFonts w:hAnsi="宋体"/>
          <w:bCs/>
          <w:szCs w:val="21"/>
        </w:rPr>
      </w:pPr>
    </w:p>
    <w:p>
      <w:pPr>
        <w:pStyle w:val="7"/>
        <w:rPr>
          <w:rFonts w:hAnsi="宋体"/>
          <w:bCs/>
          <w:szCs w:val="21"/>
        </w:rPr>
      </w:pPr>
    </w:p>
    <w:p>
      <w:pPr>
        <w:pStyle w:val="7"/>
        <w:rPr>
          <w:rFonts w:hAnsi="宋体"/>
          <w:bCs/>
          <w:szCs w:val="21"/>
        </w:rPr>
      </w:pPr>
    </w:p>
    <w:p>
      <w:pPr>
        <w:pStyle w:val="7"/>
        <w:rPr>
          <w:rFonts w:hAnsi="宋体"/>
          <w:bCs/>
          <w:szCs w:val="21"/>
        </w:rPr>
      </w:pPr>
    </w:p>
    <w:p>
      <w:pPr>
        <w:pStyle w:val="7"/>
        <w:rPr>
          <w:rFonts w:hAnsi="宋体"/>
          <w:szCs w:val="21"/>
        </w:rPr>
      </w:pPr>
      <w:r>
        <w:rPr>
          <w:rFonts w:hint="eastAsia" w:hAnsi="宋体"/>
          <w:bCs/>
          <w:szCs w:val="21"/>
        </w:rPr>
        <w:t>提供招标文件要求的资格</w:t>
      </w:r>
      <w:r>
        <w:rPr>
          <w:rFonts w:hint="eastAsia" w:hAnsi="宋体"/>
          <w:szCs w:val="21"/>
        </w:rPr>
        <w:t>证明文件复印件加盖公章。</w:t>
      </w:r>
    </w:p>
    <w:p/>
    <w:p/>
    <w:p/>
    <w:p/>
    <w:p/>
    <w:p/>
    <w:p/>
    <w:p/>
    <w:p/>
    <w:p/>
    <w:p/>
    <w:p/>
    <w:p>
      <w:pPr>
        <w:rPr>
          <w:rFonts w:hAnsi="黑体"/>
          <w:szCs w:val="21"/>
        </w:rPr>
      </w:pPr>
      <w:bookmarkStart w:id="92" w:name="_Toc16354"/>
      <w:bookmarkStart w:id="93" w:name="_Toc26194"/>
      <w:r>
        <w:rPr>
          <w:rFonts w:hint="eastAsia" w:hAnsi="黑体"/>
          <w:szCs w:val="21"/>
        </w:rPr>
        <w:br w:type="page"/>
      </w:r>
    </w:p>
    <w:p>
      <w:pPr>
        <w:pStyle w:val="5"/>
        <w:rPr>
          <w:rFonts w:hAnsi="黑体"/>
          <w:szCs w:val="21"/>
        </w:rPr>
      </w:pPr>
      <w:bookmarkStart w:id="94" w:name="_Toc29503"/>
      <w:r>
        <w:rPr>
          <w:rFonts w:hint="eastAsia" w:hAnsi="黑体"/>
          <w:szCs w:val="21"/>
        </w:rPr>
        <w:t>（二）无重大违法记录声明函</w:t>
      </w:r>
      <w:bookmarkEnd w:id="92"/>
      <w:bookmarkEnd w:id="93"/>
      <w:bookmarkEnd w:id="94"/>
    </w:p>
    <w:p>
      <w:pPr>
        <w:pStyle w:val="7"/>
        <w:spacing w:before="48" w:line="360" w:lineRule="auto"/>
        <w:ind w:left="420" w:firstLine="480"/>
      </w:pPr>
    </w:p>
    <w:p>
      <w:pPr>
        <w:spacing w:line="360" w:lineRule="auto"/>
        <w:rPr>
          <w:szCs w:val="21"/>
        </w:rPr>
      </w:pPr>
      <w:r>
        <w:rPr>
          <w:rFonts w:hint="eastAsia"/>
          <w:szCs w:val="21"/>
        </w:rPr>
        <w:t>致广东国达工程项目咨询有限公司：</w:t>
      </w:r>
    </w:p>
    <w:p>
      <w:pPr>
        <w:spacing w:line="360" w:lineRule="auto"/>
        <w:rPr>
          <w:rFonts w:ascii="宋体" w:hAnsi="宋体"/>
          <w:bCs/>
          <w:u w:val="single"/>
        </w:rPr>
      </w:pPr>
      <w:r>
        <w:rPr>
          <w:rFonts w:hint="eastAsia"/>
          <w:szCs w:val="21"/>
        </w:rPr>
        <w:t xml:space="preserve">    针对贵公司组织的</w:t>
      </w:r>
      <w:r>
        <w:rPr>
          <w:rFonts w:hint="eastAsia" w:ascii="宋体" w:hAnsi="宋体"/>
          <w:bCs/>
          <w:u w:val="single"/>
        </w:rPr>
        <w:t>（项目名称：                         ）（项目编号：            ）</w:t>
      </w:r>
      <w:r>
        <w:rPr>
          <w:rFonts w:hint="eastAsia"/>
          <w:szCs w:val="21"/>
        </w:rPr>
        <w:t>，我方郑重承诺：</w:t>
      </w:r>
    </w:p>
    <w:p>
      <w:pPr>
        <w:spacing w:line="360" w:lineRule="auto"/>
        <w:rPr>
          <w:szCs w:val="21"/>
        </w:rPr>
      </w:pPr>
      <w:r>
        <w:rPr>
          <w:rFonts w:hint="eastAsia"/>
          <w:szCs w:val="21"/>
        </w:rPr>
        <w:t xml:space="preserve">    参加本次政府采购活动前三年内，在经营活动中没有重大违法记录。</w:t>
      </w:r>
    </w:p>
    <w:p>
      <w:pPr>
        <w:spacing w:line="360" w:lineRule="auto"/>
        <w:rPr>
          <w:szCs w:val="21"/>
        </w:rPr>
      </w:pPr>
      <w:r>
        <w:rPr>
          <w:rFonts w:hint="eastAsia"/>
          <w:szCs w:val="21"/>
        </w:rPr>
        <w:t xml:space="preserve">    本公司对上述声明的真实性负责。如有虚假，将依法承担相关责任。</w:t>
      </w:r>
    </w:p>
    <w:p>
      <w:pPr>
        <w:spacing w:line="360" w:lineRule="auto"/>
        <w:rPr>
          <w:szCs w:val="21"/>
        </w:rPr>
      </w:pPr>
      <w:r>
        <w:rPr>
          <w:rFonts w:hint="eastAsia"/>
          <w:szCs w:val="21"/>
        </w:rPr>
        <w:t xml:space="preserve">    特此声明。</w:t>
      </w:r>
    </w:p>
    <w:p>
      <w:pPr>
        <w:spacing w:line="360" w:lineRule="auto"/>
        <w:ind w:firstLine="660"/>
        <w:rPr>
          <w:szCs w:val="21"/>
        </w:rPr>
      </w:pPr>
    </w:p>
    <w:p>
      <w:pPr>
        <w:spacing w:line="360" w:lineRule="auto"/>
        <w:ind w:firstLine="660"/>
        <w:rPr>
          <w:szCs w:val="21"/>
        </w:rPr>
      </w:pPr>
    </w:p>
    <w:p>
      <w:pPr>
        <w:spacing w:line="360" w:lineRule="auto"/>
        <w:ind w:firstLine="660"/>
        <w:rPr>
          <w:szCs w:val="21"/>
        </w:rPr>
      </w:pPr>
    </w:p>
    <w:p>
      <w:pPr>
        <w:spacing w:line="360" w:lineRule="auto"/>
        <w:ind w:firstLine="660"/>
        <w:rPr>
          <w:szCs w:val="21"/>
        </w:rPr>
      </w:pPr>
    </w:p>
    <w:p>
      <w:pPr>
        <w:spacing w:line="360" w:lineRule="auto"/>
        <w:ind w:firstLine="660"/>
        <w:rPr>
          <w:szCs w:val="21"/>
        </w:rPr>
      </w:pPr>
    </w:p>
    <w:p>
      <w:pPr>
        <w:spacing w:line="360" w:lineRule="auto"/>
        <w:ind w:firstLine="660"/>
        <w:rPr>
          <w:szCs w:val="21"/>
        </w:rPr>
      </w:pPr>
    </w:p>
    <w:p>
      <w:pPr>
        <w:spacing w:line="360" w:lineRule="auto"/>
        <w:ind w:firstLine="660"/>
        <w:rPr>
          <w:szCs w:val="21"/>
        </w:rPr>
      </w:pPr>
    </w:p>
    <w:p>
      <w:pPr>
        <w:spacing w:line="360" w:lineRule="auto"/>
        <w:ind w:firstLine="660"/>
        <w:rPr>
          <w:szCs w:val="21"/>
        </w:rPr>
      </w:pPr>
    </w:p>
    <w:p>
      <w:pPr>
        <w:spacing w:line="360" w:lineRule="auto"/>
        <w:ind w:firstLine="660"/>
        <w:rPr>
          <w:szCs w:val="21"/>
        </w:rPr>
      </w:pPr>
    </w:p>
    <w:p>
      <w:pPr>
        <w:adjustRightInd w:val="0"/>
        <w:snapToGrid w:val="0"/>
        <w:spacing w:line="300" w:lineRule="auto"/>
        <w:rPr>
          <w:rFonts w:ascii="宋体" w:hAnsi="宋体"/>
          <w:szCs w:val="21"/>
          <w:u w:val="single"/>
        </w:rPr>
      </w:pPr>
      <w:r>
        <w:rPr>
          <w:rFonts w:hint="eastAsia"/>
          <w:szCs w:val="21"/>
        </w:rPr>
        <w:t>投标人法定代表人（负责人）或授权代理人（签字）：</w:t>
      </w:r>
    </w:p>
    <w:p>
      <w:pPr>
        <w:adjustRightInd w:val="0"/>
        <w:snapToGrid w:val="0"/>
        <w:spacing w:line="300" w:lineRule="auto"/>
        <w:rPr>
          <w:rFonts w:ascii="宋体" w:hAnsi="宋体"/>
          <w:szCs w:val="21"/>
          <w:u w:val="single"/>
        </w:rPr>
      </w:pPr>
      <w:r>
        <w:rPr>
          <w:rFonts w:hint="eastAsia" w:ascii="宋体" w:hAnsi="宋体"/>
          <w:szCs w:val="21"/>
        </w:rPr>
        <w:t>投标人名称（签章）：</w:t>
      </w:r>
    </w:p>
    <w:p>
      <w:pPr>
        <w:spacing w:line="360" w:lineRule="auto"/>
        <w:rPr>
          <w:szCs w:val="21"/>
          <w:u w:val="single"/>
        </w:rPr>
      </w:pPr>
      <w:r>
        <w:rPr>
          <w:rFonts w:hint="eastAsia" w:ascii="宋体" w:hAnsi="宋体"/>
          <w:szCs w:val="21"/>
        </w:rPr>
        <w:t>日期：   年   月   日</w:t>
      </w:r>
    </w:p>
    <w:p/>
    <w:p/>
    <w:p/>
    <w:p/>
    <w:p/>
    <w:p/>
    <w:p/>
    <w:p/>
    <w:p>
      <w:pPr>
        <w:rPr>
          <w:rFonts w:ascii="宋体" w:hAnsi="黑体"/>
          <w:b/>
          <w:kern w:val="0"/>
          <w:sz w:val="28"/>
          <w:szCs w:val="21"/>
        </w:rPr>
      </w:pPr>
      <w:bookmarkStart w:id="95" w:name="_Toc382404103"/>
      <w:bookmarkStart w:id="96" w:name="_Toc3969071"/>
      <w:r>
        <w:rPr>
          <w:rFonts w:hint="eastAsia"/>
        </w:rPr>
        <w:br w:type="page"/>
      </w:r>
      <w:bookmarkEnd w:id="95"/>
      <w:bookmarkEnd w:id="96"/>
      <w:bookmarkStart w:id="97" w:name="_Toc275865606"/>
      <w:bookmarkStart w:id="98" w:name="_Toc435514855"/>
      <w:bookmarkStart w:id="99" w:name="_Toc435515295"/>
    </w:p>
    <w:p>
      <w:pPr>
        <w:tabs>
          <w:tab w:val="left" w:pos="426"/>
        </w:tabs>
        <w:autoSpaceDE w:val="0"/>
        <w:autoSpaceDN w:val="0"/>
        <w:adjustRightInd w:val="0"/>
        <w:spacing w:line="360" w:lineRule="auto"/>
        <w:textAlignment w:val="baseline"/>
        <w:outlineLvl w:val="2"/>
        <w:rPr>
          <w:rFonts w:ascii="黑体" w:hAnsi="黑体" w:eastAsia="黑体"/>
          <w:sz w:val="32"/>
          <w:szCs w:val="32"/>
        </w:rPr>
      </w:pPr>
      <w:r>
        <w:rPr>
          <w:rFonts w:hint="eastAsia" w:ascii="黑体" w:hAnsi="黑体" w:eastAsia="黑体"/>
          <w:sz w:val="32"/>
          <w:szCs w:val="32"/>
        </w:rPr>
        <w:t>（三）投标人资格声明函</w:t>
      </w:r>
      <w:bookmarkEnd w:id="97"/>
      <w:bookmarkEnd w:id="98"/>
      <w:bookmarkEnd w:id="99"/>
      <w:r>
        <w:rPr>
          <w:rFonts w:ascii="黑体" w:hAnsi="黑体" w:eastAsia="黑体"/>
          <w:sz w:val="32"/>
          <w:szCs w:val="32"/>
        </w:rPr>
        <w:t>（</w:t>
      </w:r>
      <w:r>
        <w:rPr>
          <w:rFonts w:hint="eastAsia" w:ascii="黑体" w:hAnsi="黑体" w:eastAsia="黑体"/>
          <w:sz w:val="32"/>
          <w:szCs w:val="32"/>
        </w:rPr>
        <w:t>范本</w:t>
      </w:r>
      <w:r>
        <w:rPr>
          <w:rFonts w:ascii="黑体" w:hAnsi="黑体" w:eastAsia="黑体"/>
          <w:sz w:val="32"/>
          <w:szCs w:val="32"/>
        </w:rPr>
        <w:t>）</w:t>
      </w:r>
    </w:p>
    <w:p>
      <w:pPr>
        <w:pStyle w:val="5"/>
        <w:keepLines w:val="0"/>
      </w:pPr>
    </w:p>
    <w:p>
      <w:pPr>
        <w:adjustRightInd w:val="0"/>
        <w:snapToGrid w:val="0"/>
        <w:spacing w:line="360" w:lineRule="auto"/>
        <w:textAlignment w:val="baseline"/>
        <w:rPr>
          <w:b/>
          <w:sz w:val="24"/>
        </w:rPr>
      </w:pPr>
      <w:r>
        <w:rPr>
          <w:rFonts w:hint="eastAsia"/>
          <w:b/>
          <w:color w:val="000000"/>
          <w:sz w:val="24"/>
        </w:rPr>
        <w:t>致广东国达工程项目咨询有限公司</w:t>
      </w:r>
      <w:r>
        <w:rPr>
          <w:rFonts w:hint="eastAsia"/>
          <w:b/>
          <w:sz w:val="24"/>
        </w:rPr>
        <w:t>：</w:t>
      </w:r>
    </w:p>
    <w:p>
      <w:pPr>
        <w:adjustRightInd w:val="0"/>
        <w:snapToGrid w:val="0"/>
        <w:spacing w:line="360" w:lineRule="auto"/>
        <w:ind w:firstLine="484" w:firstLineChars="202"/>
        <w:textAlignment w:val="baseline"/>
        <w:rPr>
          <w:rFonts w:ascii="宋体" w:hAnsi="宋体"/>
          <w:sz w:val="24"/>
        </w:rPr>
      </w:pPr>
      <w:r>
        <w:rPr>
          <w:rFonts w:hint="eastAsia" w:ascii="宋体" w:hAnsi="宋体"/>
          <w:sz w:val="24"/>
        </w:rPr>
        <w:t>关于贵公司年月日发布项目（项目编号：）的采购公告，本单位愿意参加投标，并声明：</w:t>
      </w:r>
    </w:p>
    <w:p>
      <w:pPr>
        <w:pStyle w:val="42"/>
        <w:numPr>
          <w:ilvl w:val="0"/>
          <w:numId w:val="15"/>
        </w:numPr>
        <w:tabs>
          <w:tab w:val="left" w:pos="851"/>
          <w:tab w:val="left" w:pos="993"/>
        </w:tabs>
        <w:adjustRightInd w:val="0"/>
        <w:snapToGrid w:val="0"/>
        <w:spacing w:line="360" w:lineRule="auto"/>
        <w:ind w:firstLineChars="0"/>
        <w:textAlignment w:val="baseline"/>
        <w:rPr>
          <w:rFonts w:ascii="宋体" w:hAnsi="宋体"/>
          <w:bCs/>
          <w:color w:val="0000FF"/>
          <w:sz w:val="24"/>
        </w:rPr>
      </w:pPr>
      <w:r>
        <w:rPr>
          <w:rFonts w:hint="eastAsia" w:ascii="宋体" w:hAnsi="宋体"/>
          <w:sz w:val="24"/>
        </w:rPr>
        <w:t>本单位</w:t>
      </w:r>
      <w:r>
        <w:rPr>
          <w:rFonts w:hint="eastAsia" w:ascii="宋体" w:hAnsi="宋体"/>
          <w:bCs/>
          <w:sz w:val="24"/>
        </w:rPr>
        <w:t>具备以下条件：</w:t>
      </w:r>
    </w:p>
    <w:p>
      <w:pPr>
        <w:pStyle w:val="42"/>
        <w:widowControl/>
        <w:numPr>
          <w:ilvl w:val="0"/>
          <w:numId w:val="16"/>
        </w:numPr>
        <w:adjustRightInd w:val="0"/>
        <w:snapToGrid w:val="0"/>
        <w:spacing w:line="360" w:lineRule="auto"/>
        <w:ind w:firstLineChars="0"/>
        <w:textAlignment w:val="baseline"/>
        <w:rPr>
          <w:rFonts w:ascii="宋体" w:hAnsi="宋体" w:cs="宋体"/>
          <w:sz w:val="24"/>
        </w:rPr>
      </w:pPr>
      <w:r>
        <w:rPr>
          <w:rFonts w:hint="eastAsia" w:ascii="宋体" w:hAnsi="宋体"/>
          <w:sz w:val="24"/>
        </w:rPr>
        <w:t>具有履行合同所必需的设备和专业技术能力；</w:t>
      </w:r>
    </w:p>
    <w:p>
      <w:pPr>
        <w:pStyle w:val="42"/>
        <w:widowControl/>
        <w:numPr>
          <w:ilvl w:val="0"/>
          <w:numId w:val="16"/>
        </w:numPr>
        <w:adjustRightInd w:val="0"/>
        <w:snapToGrid w:val="0"/>
        <w:spacing w:line="360" w:lineRule="auto"/>
        <w:ind w:firstLineChars="0"/>
        <w:textAlignment w:val="baseline"/>
        <w:rPr>
          <w:rFonts w:ascii="宋体" w:hAnsi="宋体" w:cs="宋体"/>
          <w:sz w:val="24"/>
        </w:rPr>
      </w:pPr>
      <w:r>
        <w:rPr>
          <w:rFonts w:ascii="宋体" w:hAnsi="宋体"/>
          <w:bCs/>
          <w:sz w:val="24"/>
        </w:rPr>
        <w:t>本单位（如前三年内有名称变更的，含变更前名称）参加政府采购活动前三年内，在经营活动中没有重大违法记录（重大违法记录是指因违法经营受到刑事处罚或责令停产停业、吊销许可证或者执照、较大数额罚款等行政处罚）</w:t>
      </w:r>
      <w:r>
        <w:rPr>
          <w:rFonts w:hint="eastAsia" w:ascii="宋体" w:hAnsi="宋体" w:cs="宋体"/>
          <w:sz w:val="24"/>
        </w:rPr>
        <w:t>；</w:t>
      </w:r>
    </w:p>
    <w:p>
      <w:pPr>
        <w:pStyle w:val="42"/>
        <w:widowControl/>
        <w:numPr>
          <w:ilvl w:val="0"/>
          <w:numId w:val="16"/>
        </w:numPr>
        <w:adjustRightInd w:val="0"/>
        <w:snapToGrid w:val="0"/>
        <w:spacing w:line="360" w:lineRule="auto"/>
        <w:ind w:firstLineChars="0"/>
        <w:textAlignment w:val="baseline"/>
        <w:rPr>
          <w:rFonts w:ascii="宋体" w:hAnsi="宋体" w:cs="宋体"/>
          <w:sz w:val="24"/>
        </w:rPr>
      </w:pPr>
      <w:r>
        <w:rPr>
          <w:rFonts w:hint="eastAsia" w:ascii="宋体" w:hAnsi="宋体" w:cs="宋体"/>
          <w:sz w:val="24"/>
        </w:rPr>
        <w:t>法律、行政法规规定的其他条件。</w:t>
      </w:r>
    </w:p>
    <w:p>
      <w:pPr>
        <w:pStyle w:val="42"/>
        <w:numPr>
          <w:ilvl w:val="0"/>
          <w:numId w:val="15"/>
        </w:numPr>
        <w:tabs>
          <w:tab w:val="left" w:pos="993"/>
        </w:tabs>
        <w:adjustRightInd w:val="0"/>
        <w:snapToGrid w:val="0"/>
        <w:spacing w:line="360" w:lineRule="auto"/>
        <w:ind w:left="0" w:firstLine="426" w:firstLineChars="0"/>
        <w:textAlignment w:val="baseline"/>
        <w:rPr>
          <w:rFonts w:ascii="宋体" w:hAnsi="宋体"/>
          <w:bCs/>
          <w:sz w:val="24"/>
        </w:rPr>
      </w:pPr>
      <w:r>
        <w:rPr>
          <w:rFonts w:hint="eastAsia" w:ascii="宋体" w:hAnsi="宋体"/>
          <w:bCs/>
          <w:sz w:val="24"/>
        </w:rPr>
        <w:t>本单位没有为采购项目同一合同项下提供整体设计、规范编制或者项目管理、监理、检测等服务。</w:t>
      </w:r>
    </w:p>
    <w:p>
      <w:pPr>
        <w:pStyle w:val="42"/>
        <w:numPr>
          <w:ilvl w:val="0"/>
          <w:numId w:val="15"/>
        </w:numPr>
        <w:tabs>
          <w:tab w:val="left" w:pos="993"/>
        </w:tabs>
        <w:adjustRightInd w:val="0"/>
        <w:snapToGrid w:val="0"/>
        <w:spacing w:line="360" w:lineRule="auto"/>
        <w:ind w:left="0" w:firstLine="426" w:firstLineChars="0"/>
        <w:textAlignment w:val="baseline"/>
        <w:rPr>
          <w:rFonts w:ascii="宋体" w:hAnsi="宋体"/>
          <w:bCs/>
          <w:sz w:val="24"/>
        </w:rPr>
      </w:pPr>
      <w:r>
        <w:rPr>
          <w:rFonts w:hint="eastAsia" w:ascii="宋体" w:hAnsi="宋体"/>
          <w:bCs/>
          <w:sz w:val="24"/>
        </w:rPr>
        <w:t>我方承诺如与本项目同一合同项下其他投标人的单位负责人为同一人或者存在直接控股、管理关系的情形，同意按投标无效处理。</w:t>
      </w:r>
    </w:p>
    <w:p>
      <w:pPr>
        <w:adjustRightInd w:val="0"/>
        <w:snapToGrid w:val="0"/>
        <w:spacing w:line="360" w:lineRule="auto"/>
        <w:ind w:firstLine="484" w:firstLineChars="202"/>
        <w:textAlignment w:val="baseline"/>
        <w:rPr>
          <w:rFonts w:ascii="宋体" w:hAnsi="宋体"/>
          <w:sz w:val="24"/>
        </w:rPr>
      </w:pPr>
      <w:r>
        <w:rPr>
          <w:rFonts w:hint="eastAsia" w:ascii="宋体" w:hAnsi="宋体"/>
          <w:sz w:val="24"/>
        </w:rPr>
        <w:t>本单位承诺在本次招标采购活动中，如有违法、违规</w:t>
      </w:r>
      <w:r>
        <w:rPr>
          <w:rFonts w:hint="eastAsia" w:ascii="宋体" w:hAnsi="宋体"/>
          <w:color w:val="000000"/>
          <w:sz w:val="24"/>
        </w:rPr>
        <w:t>、</w:t>
      </w:r>
      <w:r>
        <w:rPr>
          <w:rFonts w:hint="eastAsia" w:ascii="宋体" w:hAnsi="宋体"/>
          <w:sz w:val="24"/>
        </w:rPr>
        <w:t>弄虚作假行为，所造成的损失、不良后果及法律责任，一律由我单位承担。</w:t>
      </w:r>
    </w:p>
    <w:p>
      <w:pPr>
        <w:adjustRightInd w:val="0"/>
        <w:snapToGrid w:val="0"/>
        <w:spacing w:line="360" w:lineRule="auto"/>
        <w:ind w:firstLine="420"/>
        <w:textAlignment w:val="baseline"/>
        <w:rPr>
          <w:b/>
          <w:bCs/>
          <w:sz w:val="24"/>
        </w:rPr>
      </w:pPr>
      <w:r>
        <w:rPr>
          <w:rFonts w:hint="eastAsia"/>
          <w:b/>
          <w:bCs/>
          <w:sz w:val="24"/>
        </w:rPr>
        <w:t>特此声明！</w:t>
      </w:r>
    </w:p>
    <w:p>
      <w:pPr>
        <w:tabs>
          <w:tab w:val="left" w:pos="426"/>
        </w:tabs>
        <w:adjustRightInd w:val="0"/>
        <w:snapToGrid w:val="0"/>
        <w:spacing w:line="360" w:lineRule="auto"/>
        <w:textAlignment w:val="baseline"/>
        <w:rPr>
          <w:rFonts w:ascii="宋体" w:hAnsi="宋体"/>
          <w:color w:val="0000FF"/>
          <w:sz w:val="24"/>
        </w:rPr>
      </w:pPr>
    </w:p>
    <w:p>
      <w:pPr>
        <w:pStyle w:val="5"/>
        <w:keepLines w:val="0"/>
      </w:pPr>
    </w:p>
    <w:p>
      <w:pPr>
        <w:adjustRightInd w:val="0"/>
        <w:snapToGrid w:val="0"/>
        <w:spacing w:line="300" w:lineRule="auto"/>
        <w:rPr>
          <w:rFonts w:ascii="宋体" w:hAnsi="宋体"/>
          <w:szCs w:val="21"/>
          <w:u w:val="single"/>
        </w:rPr>
      </w:pPr>
      <w:r>
        <w:rPr>
          <w:rFonts w:hint="eastAsia"/>
          <w:szCs w:val="21"/>
        </w:rPr>
        <w:t>投标人法定代表人（负责人）或授权代理人（签字）：</w:t>
      </w:r>
    </w:p>
    <w:p>
      <w:pPr>
        <w:adjustRightInd w:val="0"/>
        <w:snapToGrid w:val="0"/>
        <w:spacing w:line="300" w:lineRule="auto"/>
        <w:rPr>
          <w:rFonts w:ascii="宋体" w:hAnsi="宋体"/>
          <w:szCs w:val="21"/>
          <w:u w:val="single"/>
        </w:rPr>
      </w:pPr>
      <w:r>
        <w:rPr>
          <w:rFonts w:hint="eastAsia" w:ascii="宋体" w:hAnsi="宋体"/>
          <w:szCs w:val="21"/>
        </w:rPr>
        <w:t>投标人名称（签章）：</w:t>
      </w:r>
    </w:p>
    <w:p>
      <w:pPr>
        <w:adjustRightInd w:val="0"/>
        <w:snapToGrid w:val="0"/>
        <w:spacing w:line="360" w:lineRule="auto"/>
        <w:textAlignment w:val="baseline"/>
        <w:rPr>
          <w:rFonts w:ascii="黑体" w:hAnsi="黑体" w:eastAsia="黑体"/>
          <w:sz w:val="32"/>
          <w:szCs w:val="32"/>
        </w:rPr>
      </w:pPr>
      <w:r>
        <w:rPr>
          <w:rFonts w:hint="eastAsia" w:ascii="宋体" w:hAnsi="宋体"/>
          <w:szCs w:val="21"/>
        </w:rPr>
        <w:t>日期：   年   月   日</w:t>
      </w:r>
    </w:p>
    <w:p>
      <w:pPr>
        <w:adjustRightInd w:val="0"/>
        <w:spacing w:line="360" w:lineRule="auto"/>
        <w:textAlignment w:val="baseline"/>
      </w:pPr>
    </w:p>
    <w:p>
      <w:r>
        <w:br w:type="page"/>
      </w:r>
    </w:p>
    <w:p/>
    <w:p>
      <w:pPr>
        <w:pStyle w:val="4"/>
        <w:spacing w:before="48" w:after="48"/>
        <w:jc w:val="center"/>
      </w:pPr>
      <w:bookmarkStart w:id="100" w:name="_Toc6574"/>
      <w:bookmarkStart w:id="101" w:name="_Toc5256"/>
      <w:bookmarkStart w:id="102" w:name="_Toc18093"/>
      <w:r>
        <w:rPr>
          <w:rFonts w:hint="eastAsia"/>
        </w:rPr>
        <w:t>投标文件商务及技术部分</w:t>
      </w:r>
      <w:bookmarkEnd w:id="100"/>
      <w:bookmarkEnd w:id="101"/>
      <w:bookmarkEnd w:id="102"/>
    </w:p>
    <w:p>
      <w:pPr>
        <w:jc w:val="center"/>
        <w:rPr>
          <w:b/>
          <w:bCs/>
          <w:sz w:val="24"/>
        </w:rPr>
      </w:pPr>
      <w:bookmarkStart w:id="103" w:name="_Toc2865"/>
      <w:r>
        <w:rPr>
          <w:rFonts w:hint="eastAsia"/>
          <w:b/>
          <w:bCs/>
          <w:sz w:val="24"/>
        </w:rPr>
        <w:t>商务及技术封面格式</w:t>
      </w:r>
      <w:bookmarkEnd w:id="103"/>
    </w:p>
    <w:p>
      <w:pPr>
        <w:pStyle w:val="7"/>
        <w:jc w:val="center"/>
        <w:rPr>
          <w:rFonts w:hAnsi="宋体"/>
          <w:bCs/>
        </w:rPr>
      </w:pPr>
    </w:p>
    <w:p>
      <w:pPr>
        <w:pStyle w:val="7"/>
        <w:spacing w:line="360" w:lineRule="auto"/>
        <w:rPr>
          <w:rFonts w:hAnsi="宋体"/>
          <w:bCs/>
        </w:rPr>
      </w:pPr>
      <w:r>
        <w:rPr>
          <w:rFonts w:hAnsi="宋体"/>
          <w:bCs/>
        </w:rPr>
        <w:t>1</w:t>
      </w:r>
      <w:r>
        <w:rPr>
          <w:rFonts w:hint="eastAsia" w:hAnsi="宋体"/>
          <w:bCs/>
        </w:rPr>
        <w:t xml:space="preserve">、投标内容应当编有目录、页码，按页码排序并胶装成册。   </w:t>
      </w:r>
    </w:p>
    <w:p>
      <w:pPr>
        <w:pStyle w:val="7"/>
        <w:spacing w:line="360" w:lineRule="auto"/>
        <w:rPr>
          <w:rFonts w:hAnsi="宋体"/>
          <w:b/>
          <w:szCs w:val="21"/>
        </w:rPr>
      </w:pPr>
      <w:r>
        <w:rPr>
          <w:rFonts w:hAnsi="宋体"/>
          <w:bCs/>
        </w:rPr>
        <w:t>2</w:t>
      </w:r>
      <w:r>
        <w:rPr>
          <w:rFonts w:hint="eastAsia" w:hAnsi="宋体"/>
          <w:bCs/>
        </w:rPr>
        <w:t>、文件的封面格式由投</w:t>
      </w:r>
      <w:r>
        <w:rPr>
          <w:rFonts w:hint="eastAsia" w:hAnsi="宋体"/>
          <w:bCs/>
          <w:szCs w:val="21"/>
        </w:rPr>
        <w:t>标人自拟</w:t>
      </w:r>
      <w:r>
        <w:rPr>
          <w:rFonts w:hint="eastAsia" w:hAnsi="宋体"/>
          <w:bCs/>
        </w:rPr>
        <w:t>，并应注明“投标文件、项目编号、项目名称、投标人名称及地址、法定代表人（负责人）或授权代理人、联系电话、传真、邮编，并加盖投标人公章。</w:t>
      </w: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rPr>
          <w:rFonts w:hAnsi="宋体"/>
          <w:bCs/>
        </w:rPr>
      </w:pPr>
    </w:p>
    <w:p>
      <w:pPr>
        <w:pStyle w:val="7"/>
        <w:spacing w:line="440" w:lineRule="exact"/>
        <w:jc w:val="center"/>
        <w:rPr>
          <w:rFonts w:hAnsi="宋体"/>
          <w:bCs/>
        </w:rPr>
      </w:pPr>
    </w:p>
    <w:p>
      <w:pPr>
        <w:rPr>
          <w:rFonts w:hAnsi="宋体"/>
          <w:bCs/>
        </w:rPr>
      </w:pPr>
    </w:p>
    <w:p>
      <w:pPr>
        <w:rPr>
          <w:rFonts w:hAnsi="宋体"/>
          <w:bCs/>
        </w:rPr>
      </w:pPr>
      <w:r>
        <w:rPr>
          <w:rFonts w:hAnsi="宋体"/>
          <w:bCs/>
        </w:rPr>
        <w:br w:type="page"/>
      </w:r>
    </w:p>
    <w:p>
      <w:pPr>
        <w:pStyle w:val="7"/>
        <w:spacing w:line="360" w:lineRule="auto"/>
        <w:jc w:val="center"/>
        <w:rPr>
          <w:rFonts w:hAnsi="宋体"/>
          <w:b/>
          <w:bCs/>
          <w:sz w:val="52"/>
          <w:szCs w:val="52"/>
        </w:rPr>
      </w:pPr>
    </w:p>
    <w:p>
      <w:pPr>
        <w:pStyle w:val="7"/>
        <w:spacing w:line="360" w:lineRule="auto"/>
        <w:jc w:val="center"/>
        <w:rPr>
          <w:rFonts w:hAnsi="宋体"/>
          <w:b/>
          <w:bCs/>
          <w:sz w:val="52"/>
          <w:szCs w:val="52"/>
        </w:rPr>
      </w:pPr>
    </w:p>
    <w:p>
      <w:pPr>
        <w:pStyle w:val="7"/>
        <w:spacing w:line="360" w:lineRule="auto"/>
        <w:jc w:val="center"/>
        <w:rPr>
          <w:rFonts w:hAnsi="宋体"/>
          <w:bCs/>
          <w:sz w:val="52"/>
          <w:szCs w:val="52"/>
        </w:rPr>
      </w:pPr>
      <w:r>
        <w:rPr>
          <w:rFonts w:hint="eastAsia" w:hAnsi="宋体"/>
          <w:b/>
          <w:bCs/>
          <w:sz w:val="52"/>
          <w:szCs w:val="52"/>
        </w:rPr>
        <w:t>投标文件（□正本、□副本</w:t>
      </w:r>
      <w:r>
        <w:rPr>
          <w:rFonts w:hint="eastAsia" w:hAnsi="宋体"/>
          <w:bCs/>
          <w:sz w:val="52"/>
          <w:szCs w:val="52"/>
        </w:rPr>
        <w:t>）</w:t>
      </w:r>
    </w:p>
    <w:p>
      <w:pPr>
        <w:pStyle w:val="7"/>
        <w:spacing w:line="360" w:lineRule="auto"/>
        <w:jc w:val="center"/>
        <w:rPr>
          <w:rFonts w:hAnsi="宋体"/>
          <w:bCs/>
          <w:sz w:val="52"/>
          <w:szCs w:val="52"/>
        </w:rPr>
      </w:pPr>
      <w:r>
        <w:rPr>
          <w:rFonts w:hint="eastAsia" w:hAnsi="宋体"/>
          <w:b/>
          <w:sz w:val="44"/>
          <w:szCs w:val="44"/>
        </w:rPr>
        <w:t>（商务及技术文件）</w:t>
      </w:r>
    </w:p>
    <w:p>
      <w:pPr>
        <w:pStyle w:val="7"/>
        <w:spacing w:line="360" w:lineRule="auto"/>
        <w:jc w:val="center"/>
        <w:rPr>
          <w:rFonts w:hAnsi="宋体"/>
          <w:bCs/>
          <w:sz w:val="52"/>
          <w:szCs w:val="52"/>
        </w:rPr>
      </w:pPr>
    </w:p>
    <w:p>
      <w:pPr>
        <w:pStyle w:val="7"/>
        <w:spacing w:line="360" w:lineRule="auto"/>
        <w:jc w:val="center"/>
        <w:rPr>
          <w:rFonts w:hAnsi="宋体"/>
          <w:bCs/>
          <w:sz w:val="52"/>
          <w:szCs w:val="52"/>
        </w:rPr>
      </w:pPr>
    </w:p>
    <w:p>
      <w:pPr>
        <w:pStyle w:val="7"/>
        <w:spacing w:line="360" w:lineRule="auto"/>
        <w:jc w:val="center"/>
        <w:rPr>
          <w:rFonts w:hAnsi="宋体"/>
          <w:bCs/>
          <w:sz w:val="52"/>
          <w:szCs w:val="52"/>
        </w:rPr>
      </w:pPr>
    </w:p>
    <w:p>
      <w:pPr>
        <w:pStyle w:val="7"/>
        <w:spacing w:line="360" w:lineRule="auto"/>
        <w:jc w:val="center"/>
        <w:rPr>
          <w:rFonts w:hAnsi="宋体"/>
          <w:bCs/>
          <w:sz w:val="52"/>
          <w:szCs w:val="52"/>
        </w:rPr>
      </w:pPr>
    </w:p>
    <w:p>
      <w:pPr>
        <w:pStyle w:val="7"/>
        <w:spacing w:line="360" w:lineRule="auto"/>
        <w:jc w:val="center"/>
        <w:rPr>
          <w:rFonts w:hAnsi="宋体"/>
          <w:bCs/>
          <w:sz w:val="52"/>
          <w:szCs w:val="52"/>
        </w:rPr>
      </w:pPr>
    </w:p>
    <w:p>
      <w:pPr>
        <w:pStyle w:val="7"/>
        <w:spacing w:line="440" w:lineRule="exact"/>
        <w:jc w:val="center"/>
        <w:rPr>
          <w:rFonts w:hAnsi="宋体"/>
          <w:bCs/>
        </w:rPr>
      </w:pPr>
    </w:p>
    <w:p>
      <w:pPr>
        <w:pStyle w:val="7"/>
        <w:spacing w:line="440" w:lineRule="exact"/>
        <w:rPr>
          <w:rFonts w:hAnsi="宋体"/>
          <w:bCs/>
        </w:rPr>
      </w:pPr>
      <w:r>
        <w:rPr>
          <w:rFonts w:hint="eastAsia" w:hAnsi="宋体"/>
          <w:bCs/>
        </w:rPr>
        <w:t>项目编号：</w:t>
      </w:r>
    </w:p>
    <w:p>
      <w:pPr>
        <w:pStyle w:val="7"/>
        <w:spacing w:line="440" w:lineRule="exact"/>
        <w:rPr>
          <w:rFonts w:hAnsi="宋体"/>
          <w:bCs/>
          <w:u w:val="single"/>
        </w:rPr>
      </w:pPr>
      <w:r>
        <w:rPr>
          <w:rFonts w:hint="eastAsia" w:hAnsi="宋体"/>
          <w:bCs/>
        </w:rPr>
        <w:t>项目名称：</w:t>
      </w:r>
      <w:r>
        <w:rPr>
          <w:rFonts w:hint="eastAsia" w:hAnsi="宋体" w:cs="宋体"/>
          <w:szCs w:val="21"/>
          <w:u w:val="single"/>
        </w:rPr>
        <w:t>采购项目名称，由投标人填写</w:t>
      </w:r>
    </w:p>
    <w:p>
      <w:pPr>
        <w:pStyle w:val="7"/>
        <w:spacing w:line="440" w:lineRule="exact"/>
        <w:rPr>
          <w:rFonts w:hAnsi="宋体"/>
          <w:bCs/>
          <w:u w:val="single"/>
        </w:rPr>
      </w:pPr>
      <w:r>
        <w:rPr>
          <w:rFonts w:hint="eastAsia" w:hAnsi="宋体"/>
          <w:bCs/>
        </w:rPr>
        <w:t>投标人名称（公章）：</w:t>
      </w:r>
    </w:p>
    <w:p>
      <w:pPr>
        <w:pStyle w:val="7"/>
        <w:spacing w:line="440" w:lineRule="exact"/>
        <w:rPr>
          <w:rFonts w:hAnsi="宋体"/>
          <w:bCs/>
          <w:u w:val="single"/>
        </w:rPr>
      </w:pPr>
      <w:r>
        <w:rPr>
          <w:rFonts w:hint="eastAsia" w:hAnsi="宋体"/>
          <w:bCs/>
        </w:rPr>
        <w:t>投标人地址：</w:t>
      </w:r>
    </w:p>
    <w:p>
      <w:pPr>
        <w:pStyle w:val="7"/>
        <w:spacing w:line="440" w:lineRule="exact"/>
        <w:rPr>
          <w:rFonts w:hAnsi="宋体"/>
          <w:bCs/>
          <w:u w:val="single"/>
        </w:rPr>
      </w:pPr>
      <w:r>
        <w:rPr>
          <w:rFonts w:hint="eastAsia" w:hAnsi="宋体"/>
          <w:bCs/>
        </w:rPr>
        <w:t>法定代表人（负责人）或授权代理人（签字）</w:t>
      </w:r>
      <w:r>
        <w:rPr>
          <w:rFonts w:hAnsi="宋体"/>
          <w:bCs/>
        </w:rPr>
        <w:t>：</w:t>
      </w:r>
    </w:p>
    <w:p>
      <w:pPr>
        <w:pStyle w:val="7"/>
        <w:spacing w:line="440" w:lineRule="exact"/>
        <w:rPr>
          <w:rFonts w:hAnsi="宋体"/>
          <w:bCs/>
          <w:u w:val="single"/>
        </w:rPr>
      </w:pPr>
      <w:r>
        <w:rPr>
          <w:rFonts w:hint="eastAsia" w:hAnsi="宋体"/>
          <w:bCs/>
        </w:rPr>
        <w:t>联系</w:t>
      </w:r>
      <w:r>
        <w:rPr>
          <w:rFonts w:hAnsi="宋体"/>
          <w:bCs/>
        </w:rPr>
        <w:t>电话：</w:t>
      </w:r>
      <w:r>
        <w:rPr>
          <w:rFonts w:hint="eastAsia" w:hAnsi="宋体"/>
          <w:bCs/>
        </w:rPr>
        <w:t>传真：</w:t>
      </w:r>
    </w:p>
    <w:p>
      <w:pPr>
        <w:pStyle w:val="7"/>
        <w:spacing w:line="440" w:lineRule="exact"/>
        <w:rPr>
          <w:rFonts w:hAnsi="宋体"/>
          <w:bCs/>
          <w:u w:val="single"/>
        </w:rPr>
      </w:pPr>
      <w:r>
        <w:rPr>
          <w:rFonts w:hAnsi="宋体"/>
          <w:bCs/>
        </w:rPr>
        <w:t>邮编：</w:t>
      </w:r>
    </w:p>
    <w:p>
      <w:pPr>
        <w:pStyle w:val="7"/>
        <w:spacing w:line="440" w:lineRule="exact"/>
      </w:pPr>
      <w:r>
        <w:rPr>
          <w:rFonts w:hint="eastAsia" w:hAnsi="宋体"/>
          <w:bCs/>
        </w:rPr>
        <w:t>编制日期：年月日</w:t>
      </w:r>
    </w:p>
    <w:p>
      <w:pPr>
        <w:pStyle w:val="3"/>
      </w:pPr>
    </w:p>
    <w:p>
      <w:pPr>
        <w:rPr>
          <w:rFonts w:hAnsi="宋体"/>
          <w:bCs/>
        </w:rPr>
      </w:pPr>
    </w:p>
    <w:p/>
    <w:p>
      <w:pPr>
        <w:pStyle w:val="4"/>
        <w:keepLines w:val="0"/>
        <w:tabs>
          <w:tab w:val="left" w:pos="4320"/>
        </w:tabs>
        <w:spacing w:before="48" w:after="48" w:line="360" w:lineRule="exact"/>
        <w:jc w:val="center"/>
        <w:rPr>
          <w:szCs w:val="21"/>
        </w:rPr>
      </w:pPr>
      <w:bookmarkStart w:id="104" w:name="_Toc12074"/>
      <w:r>
        <w:rPr>
          <w:rFonts w:hint="eastAsia"/>
          <w:szCs w:val="21"/>
        </w:rPr>
        <w:t>符合性自查表</w:t>
      </w:r>
      <w:bookmarkEnd w:id="104"/>
    </w:p>
    <w:p>
      <w:pPr>
        <w:jc w:val="center"/>
        <w:rPr>
          <w:rFonts w:ascii="宋体" w:hAnsi="宋体"/>
          <w:b/>
          <w:bCs/>
          <w:szCs w:val="21"/>
        </w:rPr>
      </w:pPr>
    </w:p>
    <w:tbl>
      <w:tblPr>
        <w:tblStyle w:val="21"/>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300"/>
        <w:gridCol w:w="1958"/>
        <w:gridCol w:w="1975"/>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4" w:type="dxa"/>
            <w:gridSpan w:val="2"/>
            <w:vAlign w:val="center"/>
          </w:tcPr>
          <w:p>
            <w:pPr>
              <w:tabs>
                <w:tab w:val="left" w:pos="480"/>
              </w:tabs>
              <w:ind w:left="480" w:hanging="480"/>
              <w:jc w:val="center"/>
              <w:rPr>
                <w:rFonts w:ascii="宋体" w:hAnsi="宋体"/>
                <w:b/>
                <w:bCs/>
                <w:szCs w:val="21"/>
              </w:rPr>
            </w:pPr>
            <w:r>
              <w:rPr>
                <w:rFonts w:hint="eastAsia" w:ascii="宋体" w:hAnsi="宋体"/>
                <w:b/>
                <w:bCs/>
                <w:szCs w:val="21"/>
              </w:rPr>
              <w:t>评审内容</w:t>
            </w:r>
          </w:p>
        </w:tc>
        <w:tc>
          <w:tcPr>
            <w:tcW w:w="1958" w:type="dxa"/>
            <w:vAlign w:val="center"/>
          </w:tcPr>
          <w:p>
            <w:pPr>
              <w:tabs>
                <w:tab w:val="left" w:pos="480"/>
              </w:tabs>
              <w:ind w:left="480" w:hanging="480"/>
              <w:jc w:val="center"/>
              <w:rPr>
                <w:rFonts w:ascii="宋体" w:hAnsi="宋体"/>
                <w:b/>
                <w:bCs/>
                <w:szCs w:val="21"/>
              </w:rPr>
            </w:pPr>
            <w:r>
              <w:rPr>
                <w:rFonts w:hint="eastAsia" w:ascii="宋体" w:hAnsi="宋体"/>
                <w:b/>
                <w:bCs/>
                <w:szCs w:val="21"/>
              </w:rPr>
              <w:t>招标文件要求</w:t>
            </w:r>
          </w:p>
        </w:tc>
        <w:tc>
          <w:tcPr>
            <w:tcW w:w="1975" w:type="dxa"/>
            <w:vAlign w:val="center"/>
          </w:tcPr>
          <w:p>
            <w:pPr>
              <w:tabs>
                <w:tab w:val="left" w:pos="480"/>
              </w:tabs>
              <w:ind w:left="480" w:hanging="480"/>
              <w:jc w:val="center"/>
              <w:rPr>
                <w:rFonts w:ascii="宋体" w:hAnsi="宋体"/>
                <w:b/>
                <w:bCs/>
                <w:szCs w:val="21"/>
              </w:rPr>
            </w:pPr>
            <w:r>
              <w:rPr>
                <w:rFonts w:hint="eastAsia" w:ascii="宋体" w:hAnsi="宋体"/>
                <w:b/>
                <w:bCs/>
                <w:szCs w:val="21"/>
              </w:rPr>
              <w:t>自查结论</w:t>
            </w:r>
          </w:p>
          <w:p>
            <w:pPr>
              <w:tabs>
                <w:tab w:val="left" w:pos="480"/>
              </w:tabs>
              <w:ind w:left="480" w:hanging="480"/>
              <w:jc w:val="center"/>
              <w:rPr>
                <w:rFonts w:ascii="宋体" w:hAnsi="宋体"/>
                <w:bCs/>
                <w:szCs w:val="21"/>
              </w:rPr>
            </w:pPr>
            <w:r>
              <w:rPr>
                <w:rFonts w:hint="eastAsia" w:ascii="宋体" w:hAnsi="宋体"/>
                <w:bCs/>
                <w:szCs w:val="21"/>
              </w:rPr>
              <w:t>（通过/不通过）</w:t>
            </w:r>
          </w:p>
        </w:tc>
        <w:tc>
          <w:tcPr>
            <w:tcW w:w="2484" w:type="dxa"/>
            <w:vAlign w:val="center"/>
          </w:tcPr>
          <w:p>
            <w:pPr>
              <w:tabs>
                <w:tab w:val="left" w:pos="480"/>
              </w:tabs>
              <w:ind w:left="480" w:hanging="480"/>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restart"/>
            <w:vAlign w:val="center"/>
          </w:tcPr>
          <w:p>
            <w:pPr>
              <w:tabs>
                <w:tab w:val="left" w:pos="480"/>
              </w:tabs>
              <w:ind w:left="480" w:hanging="480"/>
              <w:jc w:val="center"/>
              <w:rPr>
                <w:rFonts w:ascii="宋体" w:hAnsi="宋体"/>
                <w:b/>
                <w:bCs/>
                <w:szCs w:val="21"/>
              </w:rPr>
            </w:pPr>
            <w:r>
              <w:rPr>
                <w:rFonts w:hint="eastAsia" w:ascii="宋体" w:hAnsi="宋体"/>
                <w:szCs w:val="21"/>
              </w:rPr>
              <w:t>符合性审查</w:t>
            </w:r>
          </w:p>
        </w:tc>
        <w:tc>
          <w:tcPr>
            <w:tcW w:w="2300" w:type="dxa"/>
            <w:vAlign w:val="center"/>
          </w:tcPr>
          <w:p>
            <w:pPr>
              <w:tabs>
                <w:tab w:val="left" w:pos="146"/>
              </w:tabs>
              <w:ind w:left="146"/>
              <w:rPr>
                <w:rFonts w:ascii="宋体" w:hAnsi="宋体"/>
                <w:b/>
                <w:bCs/>
                <w:szCs w:val="21"/>
              </w:rPr>
            </w:pPr>
            <w:r>
              <w:rPr>
                <w:rFonts w:hint="eastAsia" w:ascii="宋体" w:hAnsi="宋体"/>
                <w:szCs w:val="21"/>
              </w:rPr>
              <w:t>服务期须满足要求</w:t>
            </w:r>
          </w:p>
        </w:tc>
        <w:tc>
          <w:tcPr>
            <w:tcW w:w="1958" w:type="dxa"/>
            <w:vAlign w:val="center"/>
          </w:tcPr>
          <w:p>
            <w:pPr>
              <w:tabs>
                <w:tab w:val="left" w:pos="0"/>
              </w:tabs>
              <w:rPr>
                <w:rFonts w:ascii="宋体" w:hAnsi="宋体"/>
                <w:b/>
                <w:bCs/>
                <w:szCs w:val="21"/>
              </w:rPr>
            </w:pPr>
            <w:r>
              <w:rPr>
                <w:rFonts w:hint="eastAsia" w:ascii="宋体" w:hAnsi="宋体"/>
                <w:szCs w:val="21"/>
              </w:rPr>
              <w:t>按招标文件要求</w:t>
            </w:r>
          </w:p>
        </w:tc>
        <w:tc>
          <w:tcPr>
            <w:tcW w:w="1975" w:type="dxa"/>
            <w:vAlign w:val="center"/>
          </w:tcPr>
          <w:p>
            <w:pPr>
              <w:tabs>
                <w:tab w:val="left" w:pos="480"/>
              </w:tabs>
              <w:ind w:left="480" w:hanging="480"/>
              <w:rPr>
                <w:rFonts w:ascii="宋体" w:hAnsi="宋体"/>
                <w:b/>
                <w:bCs/>
                <w:szCs w:val="21"/>
              </w:rPr>
            </w:pPr>
          </w:p>
        </w:tc>
        <w:tc>
          <w:tcPr>
            <w:tcW w:w="2484" w:type="dxa"/>
            <w:vAlign w:val="center"/>
          </w:tcPr>
          <w:p>
            <w:pPr>
              <w:tabs>
                <w:tab w:val="left" w:pos="0"/>
              </w:tabs>
              <w:jc w:val="center"/>
              <w:rPr>
                <w:rFonts w:ascii="宋体" w:hAnsi="宋体"/>
                <w:szCs w:val="21"/>
              </w:rPr>
            </w:pPr>
            <w:r>
              <w:rPr>
                <w:rFonts w:hint="eastAsia" w:ascii="宋体" w:hAnsi="宋体"/>
                <w:szCs w:val="21"/>
              </w:rPr>
              <w:t>见投标文件</w:t>
            </w:r>
          </w:p>
          <w:p>
            <w:pPr>
              <w:tabs>
                <w:tab w:val="left" w:pos="0"/>
              </w:tabs>
              <w:jc w:val="center"/>
              <w:rPr>
                <w:rFonts w:ascii="宋体" w:hAnsi="宋体"/>
                <w:b/>
                <w:bCs/>
                <w:szCs w:val="21"/>
              </w:rPr>
            </w:pPr>
            <w:r>
              <w:rPr>
                <w:rFonts w:hint="eastAsia" w:ascii="宋体" w:hAnsi="宋体"/>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pPr>
              <w:tabs>
                <w:tab w:val="left" w:pos="480"/>
              </w:tabs>
              <w:ind w:left="480" w:hanging="480"/>
              <w:jc w:val="center"/>
              <w:rPr>
                <w:rFonts w:ascii="宋体" w:hAnsi="宋体"/>
                <w:b/>
                <w:bCs/>
                <w:szCs w:val="21"/>
              </w:rPr>
            </w:pPr>
          </w:p>
        </w:tc>
        <w:tc>
          <w:tcPr>
            <w:tcW w:w="2300" w:type="dxa"/>
            <w:vAlign w:val="center"/>
          </w:tcPr>
          <w:p>
            <w:pPr>
              <w:tabs>
                <w:tab w:val="left" w:pos="146"/>
              </w:tabs>
              <w:ind w:left="146"/>
              <w:rPr>
                <w:rFonts w:ascii="宋体" w:hAnsi="宋体"/>
                <w:b/>
                <w:bCs/>
                <w:szCs w:val="21"/>
              </w:rPr>
            </w:pPr>
            <w:r>
              <w:rPr>
                <w:rFonts w:hint="eastAsia" w:ascii="宋体" w:hAnsi="宋体"/>
                <w:szCs w:val="21"/>
              </w:rPr>
              <w:t>投标报价未超出报价上限</w:t>
            </w:r>
          </w:p>
        </w:tc>
        <w:tc>
          <w:tcPr>
            <w:tcW w:w="1958" w:type="dxa"/>
            <w:vAlign w:val="center"/>
          </w:tcPr>
          <w:p>
            <w:pPr>
              <w:tabs>
                <w:tab w:val="left" w:pos="0"/>
              </w:tabs>
              <w:rPr>
                <w:rFonts w:ascii="宋体" w:hAnsi="宋体"/>
                <w:b/>
                <w:bCs/>
                <w:szCs w:val="21"/>
              </w:rPr>
            </w:pPr>
            <w:r>
              <w:rPr>
                <w:rFonts w:hint="eastAsia" w:ascii="宋体" w:hAnsi="宋体"/>
                <w:szCs w:val="21"/>
              </w:rPr>
              <w:t>按招标文件要求</w:t>
            </w:r>
          </w:p>
        </w:tc>
        <w:tc>
          <w:tcPr>
            <w:tcW w:w="1975" w:type="dxa"/>
            <w:vAlign w:val="center"/>
          </w:tcPr>
          <w:p>
            <w:pPr>
              <w:tabs>
                <w:tab w:val="left" w:pos="480"/>
              </w:tabs>
              <w:ind w:left="480" w:hanging="480"/>
              <w:rPr>
                <w:rFonts w:ascii="宋体" w:hAnsi="宋体"/>
                <w:b/>
                <w:bCs/>
                <w:szCs w:val="21"/>
              </w:rPr>
            </w:pPr>
          </w:p>
        </w:tc>
        <w:tc>
          <w:tcPr>
            <w:tcW w:w="2484" w:type="dxa"/>
            <w:vAlign w:val="center"/>
          </w:tcPr>
          <w:p>
            <w:pPr>
              <w:tabs>
                <w:tab w:val="left" w:pos="0"/>
              </w:tabs>
              <w:jc w:val="center"/>
              <w:rPr>
                <w:rFonts w:ascii="宋体" w:hAnsi="宋体"/>
                <w:szCs w:val="21"/>
              </w:rPr>
            </w:pPr>
            <w:r>
              <w:rPr>
                <w:rFonts w:hint="eastAsia" w:ascii="宋体" w:hAnsi="宋体"/>
                <w:szCs w:val="21"/>
              </w:rPr>
              <w:t>见投标文件</w:t>
            </w:r>
          </w:p>
          <w:p>
            <w:pPr>
              <w:tabs>
                <w:tab w:val="left" w:pos="0"/>
              </w:tabs>
              <w:jc w:val="center"/>
              <w:rPr>
                <w:rFonts w:ascii="宋体" w:hAnsi="宋体"/>
                <w:b/>
                <w:bCs/>
                <w:szCs w:val="21"/>
              </w:rPr>
            </w:pPr>
            <w:r>
              <w:rPr>
                <w:rFonts w:hint="eastAsia" w:ascii="宋体" w:hAnsi="宋体"/>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pPr>
              <w:tabs>
                <w:tab w:val="left" w:pos="480"/>
              </w:tabs>
              <w:ind w:left="480" w:hanging="480"/>
              <w:jc w:val="center"/>
              <w:rPr>
                <w:rFonts w:ascii="宋体" w:hAnsi="宋体"/>
                <w:b/>
                <w:bCs/>
                <w:szCs w:val="21"/>
              </w:rPr>
            </w:pPr>
          </w:p>
        </w:tc>
        <w:tc>
          <w:tcPr>
            <w:tcW w:w="2300" w:type="dxa"/>
            <w:vAlign w:val="center"/>
          </w:tcPr>
          <w:p>
            <w:pPr>
              <w:tabs>
                <w:tab w:val="left" w:pos="146"/>
              </w:tabs>
              <w:ind w:left="146"/>
              <w:rPr>
                <w:rFonts w:ascii="宋体" w:hAnsi="宋体"/>
                <w:szCs w:val="21"/>
              </w:rPr>
            </w:pPr>
            <w:r>
              <w:rPr>
                <w:rFonts w:hint="eastAsia" w:ascii="宋体" w:hAnsi="宋体"/>
                <w:szCs w:val="21"/>
              </w:rPr>
              <w:t>法定代表人/负责人资格证明书及授权委托书</w:t>
            </w:r>
          </w:p>
        </w:tc>
        <w:tc>
          <w:tcPr>
            <w:tcW w:w="1958" w:type="dxa"/>
            <w:vAlign w:val="center"/>
          </w:tcPr>
          <w:p>
            <w:pPr>
              <w:tabs>
                <w:tab w:val="left" w:pos="0"/>
              </w:tabs>
              <w:rPr>
                <w:rFonts w:ascii="宋体" w:hAnsi="宋体"/>
                <w:szCs w:val="21"/>
              </w:rPr>
            </w:pPr>
            <w:r>
              <w:rPr>
                <w:rFonts w:hint="eastAsia" w:ascii="宋体" w:hAnsi="宋体"/>
                <w:szCs w:val="21"/>
              </w:rPr>
              <w:t>按对应格式文件签署、盖章(原件)</w:t>
            </w:r>
          </w:p>
        </w:tc>
        <w:tc>
          <w:tcPr>
            <w:tcW w:w="1975" w:type="dxa"/>
            <w:vAlign w:val="center"/>
          </w:tcPr>
          <w:p>
            <w:pPr>
              <w:pStyle w:val="6"/>
              <w:rPr>
                <w:rFonts w:ascii="宋体" w:hAnsi="宋体"/>
                <w:bCs/>
                <w:szCs w:val="21"/>
              </w:rPr>
            </w:pPr>
          </w:p>
        </w:tc>
        <w:tc>
          <w:tcPr>
            <w:tcW w:w="2484" w:type="dxa"/>
            <w:vAlign w:val="center"/>
          </w:tcPr>
          <w:p>
            <w:pPr>
              <w:tabs>
                <w:tab w:val="left" w:pos="0"/>
              </w:tabs>
              <w:jc w:val="center"/>
              <w:rPr>
                <w:rFonts w:ascii="宋体" w:hAnsi="宋体"/>
                <w:szCs w:val="21"/>
              </w:rPr>
            </w:pPr>
            <w:r>
              <w:rPr>
                <w:rFonts w:hint="eastAsia" w:ascii="宋体" w:hAnsi="宋体"/>
                <w:szCs w:val="21"/>
              </w:rPr>
              <w:t>见投标文件</w:t>
            </w:r>
          </w:p>
          <w:p>
            <w:pPr>
              <w:tabs>
                <w:tab w:val="left" w:pos="0"/>
              </w:tabs>
              <w:jc w:val="center"/>
              <w:rPr>
                <w:rFonts w:ascii="宋体" w:hAnsi="宋体"/>
                <w:szCs w:val="21"/>
              </w:rPr>
            </w:pPr>
            <w:r>
              <w:rPr>
                <w:rFonts w:hint="eastAsia" w:ascii="宋体" w:hAnsi="宋体"/>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pPr>
              <w:tabs>
                <w:tab w:val="left" w:pos="480"/>
              </w:tabs>
              <w:ind w:left="480" w:hanging="480"/>
              <w:jc w:val="center"/>
              <w:rPr>
                <w:rFonts w:ascii="宋体" w:hAnsi="宋体"/>
                <w:b/>
                <w:bCs/>
                <w:szCs w:val="21"/>
              </w:rPr>
            </w:pPr>
          </w:p>
        </w:tc>
        <w:tc>
          <w:tcPr>
            <w:tcW w:w="2300" w:type="dxa"/>
            <w:vAlign w:val="center"/>
          </w:tcPr>
          <w:p>
            <w:pPr>
              <w:tabs>
                <w:tab w:val="left" w:pos="146"/>
              </w:tabs>
              <w:ind w:left="146"/>
              <w:rPr>
                <w:rFonts w:ascii="宋体" w:hAnsi="宋体"/>
                <w:szCs w:val="21"/>
              </w:rPr>
            </w:pPr>
            <w:r>
              <w:rPr>
                <w:rFonts w:hint="eastAsia" w:ascii="宋体" w:hAnsi="宋体"/>
                <w:szCs w:val="21"/>
              </w:rPr>
              <w:t>其他要求</w:t>
            </w:r>
          </w:p>
        </w:tc>
        <w:tc>
          <w:tcPr>
            <w:tcW w:w="1958" w:type="dxa"/>
            <w:vAlign w:val="center"/>
          </w:tcPr>
          <w:p>
            <w:pPr>
              <w:tabs>
                <w:tab w:val="left" w:pos="0"/>
              </w:tabs>
              <w:rPr>
                <w:rFonts w:ascii="宋体" w:hAnsi="宋体"/>
                <w:szCs w:val="21"/>
              </w:rPr>
            </w:pPr>
            <w:r>
              <w:rPr>
                <w:rFonts w:hint="eastAsia" w:ascii="宋体" w:hAnsi="宋体"/>
                <w:szCs w:val="21"/>
              </w:rPr>
              <w:t>按投标资料清单中规定必须提交的“★”号条款文件资料（如有）</w:t>
            </w:r>
          </w:p>
        </w:tc>
        <w:tc>
          <w:tcPr>
            <w:tcW w:w="1975" w:type="dxa"/>
            <w:vAlign w:val="center"/>
          </w:tcPr>
          <w:p>
            <w:pPr>
              <w:tabs>
                <w:tab w:val="left" w:pos="480"/>
              </w:tabs>
              <w:ind w:left="480" w:hanging="480"/>
            </w:pPr>
          </w:p>
        </w:tc>
        <w:tc>
          <w:tcPr>
            <w:tcW w:w="2484" w:type="dxa"/>
            <w:vAlign w:val="center"/>
          </w:tcPr>
          <w:p>
            <w:pPr>
              <w:tabs>
                <w:tab w:val="left" w:pos="0"/>
              </w:tabs>
              <w:jc w:val="center"/>
              <w:rPr>
                <w:rFonts w:ascii="宋体" w:hAnsi="宋体"/>
                <w:szCs w:val="21"/>
              </w:rPr>
            </w:pPr>
            <w:r>
              <w:rPr>
                <w:rFonts w:hint="eastAsia" w:ascii="宋体" w:hAnsi="宋体"/>
                <w:szCs w:val="21"/>
              </w:rPr>
              <w:t>见投标文件</w:t>
            </w:r>
          </w:p>
          <w:p>
            <w:pPr>
              <w:tabs>
                <w:tab w:val="left" w:pos="0"/>
              </w:tabs>
              <w:jc w:val="center"/>
              <w:rPr>
                <w:rFonts w:ascii="宋体" w:hAnsi="宋体"/>
                <w:szCs w:val="21"/>
              </w:rPr>
            </w:pPr>
            <w:r>
              <w:rPr>
                <w:rFonts w:hint="eastAsia" w:ascii="宋体" w:hAnsi="宋体"/>
                <w:szCs w:val="21"/>
              </w:rPr>
              <w:t>第（  ）页</w:t>
            </w:r>
          </w:p>
        </w:tc>
      </w:tr>
    </w:tbl>
    <w:p>
      <w:pPr>
        <w:tabs>
          <w:tab w:val="center" w:pos="4483"/>
        </w:tabs>
        <w:ind w:left="315" w:leftChars="50" w:hanging="210" w:hangingChars="100"/>
        <w:rPr>
          <w:rFonts w:ascii="宋体" w:hAnsi="宋体"/>
          <w:szCs w:val="21"/>
        </w:rPr>
      </w:pPr>
    </w:p>
    <w:p>
      <w:pPr>
        <w:tabs>
          <w:tab w:val="center" w:pos="4483"/>
        </w:tabs>
        <w:ind w:left="525" w:leftChars="50" w:hanging="420" w:hangingChars="200"/>
        <w:rPr>
          <w:rFonts w:ascii="宋体" w:hAnsi="宋体"/>
          <w:szCs w:val="21"/>
        </w:rPr>
      </w:pPr>
      <w:r>
        <w:rPr>
          <w:rFonts w:hint="eastAsia" w:ascii="宋体" w:hAnsi="宋体"/>
          <w:szCs w:val="21"/>
        </w:rPr>
        <w:t>注：1.以上材料将作为投标人符合性审核的重要内容之一，投标人必须严格按照其内容及序列要求在投标文件中对应如实提供，对缺漏和不符合项或</w:t>
      </w:r>
      <w:r>
        <w:rPr>
          <w:rFonts w:hint="eastAsia" w:ascii="宋体" w:hAnsi="宋体"/>
          <w:bCs/>
          <w:szCs w:val="21"/>
        </w:rPr>
        <w:t>提交的资料字迹模糊不清而现场无法提供原件核实的</w:t>
      </w:r>
      <w:r>
        <w:rPr>
          <w:rFonts w:hint="eastAsia" w:ascii="宋体" w:hAnsi="宋体"/>
          <w:szCs w:val="21"/>
        </w:rPr>
        <w:t>将会直接导致无效投标。</w:t>
      </w:r>
      <w:r>
        <w:rPr>
          <w:rFonts w:hint="eastAsia" w:ascii="宋体" w:hAnsi="宋体"/>
          <w:bCs/>
          <w:szCs w:val="21"/>
        </w:rPr>
        <w:t>不能继续参与后续评标，有效投标人少于3家的将导致废标。废标后，除采购任务取消情形外，应当重新组织采购。</w:t>
      </w:r>
      <w:r>
        <w:rPr>
          <w:rFonts w:hint="eastAsia" w:ascii="宋体" w:hAnsi="宋体"/>
          <w:szCs w:val="21"/>
        </w:rPr>
        <w:t>在对应的自查结论中填“通过”或“不通过”。</w:t>
      </w:r>
    </w:p>
    <w:p>
      <w:pPr>
        <w:tabs>
          <w:tab w:val="center" w:pos="4483"/>
        </w:tabs>
        <w:ind w:left="525" w:leftChars="50" w:hanging="420" w:hangingChars="200"/>
        <w:rPr>
          <w:rFonts w:ascii="宋体" w:hAnsi="宋体"/>
          <w:szCs w:val="21"/>
        </w:rPr>
      </w:pPr>
      <w:r>
        <w:rPr>
          <w:rFonts w:hint="eastAsia" w:ascii="宋体" w:hAnsi="宋体"/>
          <w:szCs w:val="21"/>
        </w:rPr>
        <w:t xml:space="preserve">    2.</w:t>
      </w:r>
      <w:r>
        <w:rPr>
          <w:rFonts w:hint="eastAsia" w:ascii="宋体" w:hAnsi="宋体"/>
          <w:bCs/>
          <w:szCs w:val="21"/>
        </w:rPr>
        <w:t>投标人的投标文件为法定代表人（负责人）签署并由法定代表人（负责人）亲自递交投标文件和参加开标会的，可不提供“法定代表人（负责人）授权书”及“代理人身份证”。</w:t>
      </w:r>
    </w:p>
    <w:p>
      <w:pPr>
        <w:tabs>
          <w:tab w:val="center" w:pos="4483"/>
        </w:tabs>
        <w:ind w:left="525" w:leftChars="50" w:hanging="420" w:hangingChars="200"/>
        <w:rPr>
          <w:rFonts w:ascii="宋体" w:hAnsi="宋体"/>
          <w:bCs/>
          <w:szCs w:val="21"/>
        </w:rPr>
      </w:pPr>
    </w:p>
    <w:p>
      <w:pPr>
        <w:adjustRightInd w:val="0"/>
        <w:snapToGrid w:val="0"/>
        <w:spacing w:line="300" w:lineRule="auto"/>
        <w:rPr>
          <w:szCs w:val="21"/>
        </w:rPr>
      </w:pPr>
    </w:p>
    <w:p>
      <w:pPr>
        <w:adjustRightInd w:val="0"/>
        <w:snapToGrid w:val="0"/>
        <w:spacing w:line="300" w:lineRule="auto"/>
        <w:rPr>
          <w:rFonts w:ascii="宋体" w:hAnsi="宋体"/>
          <w:szCs w:val="21"/>
          <w:u w:val="single"/>
        </w:rPr>
      </w:pPr>
      <w:r>
        <w:rPr>
          <w:rFonts w:hint="eastAsia"/>
          <w:szCs w:val="21"/>
        </w:rPr>
        <w:t>投标人法定代表人（负责人）或授权代理人（签字）：</w:t>
      </w:r>
    </w:p>
    <w:p>
      <w:pPr>
        <w:adjustRightInd w:val="0"/>
        <w:snapToGrid w:val="0"/>
        <w:spacing w:line="300" w:lineRule="auto"/>
        <w:rPr>
          <w:rFonts w:ascii="宋体" w:hAnsi="宋体"/>
          <w:szCs w:val="21"/>
          <w:u w:val="single"/>
        </w:rPr>
      </w:pPr>
      <w:r>
        <w:rPr>
          <w:rFonts w:hint="eastAsia" w:ascii="宋体" w:hAnsi="宋体"/>
          <w:szCs w:val="21"/>
        </w:rPr>
        <w:t>投标人名称（签章）：</w:t>
      </w:r>
    </w:p>
    <w:p>
      <w:pPr>
        <w:adjustRightInd w:val="0"/>
        <w:snapToGrid w:val="0"/>
        <w:spacing w:line="300" w:lineRule="auto"/>
        <w:rPr>
          <w:rFonts w:ascii="宋体" w:hAnsi="宋体"/>
          <w:szCs w:val="21"/>
        </w:rPr>
      </w:pPr>
      <w:r>
        <w:rPr>
          <w:rFonts w:hint="eastAsia" w:ascii="宋体" w:hAnsi="宋体"/>
          <w:szCs w:val="21"/>
        </w:rPr>
        <w:t>日期：   年   月   日</w:t>
      </w:r>
    </w:p>
    <w:p>
      <w:pPr>
        <w:rPr>
          <w:sz w:val="24"/>
        </w:rPr>
      </w:pPr>
      <w:r>
        <w:rPr>
          <w:sz w:val="24"/>
        </w:rPr>
        <w:br w:type="page"/>
      </w:r>
    </w:p>
    <w:p>
      <w:pPr>
        <w:pStyle w:val="2"/>
      </w:pPr>
    </w:p>
    <w:p>
      <w:pPr>
        <w:pStyle w:val="4"/>
        <w:keepLines w:val="0"/>
        <w:tabs>
          <w:tab w:val="left" w:pos="4320"/>
        </w:tabs>
        <w:spacing w:before="48" w:after="48" w:line="480" w:lineRule="exact"/>
        <w:jc w:val="center"/>
        <w:rPr>
          <w:szCs w:val="21"/>
        </w:rPr>
      </w:pPr>
      <w:bookmarkStart w:id="105" w:name="_Toc24045"/>
      <w:bookmarkStart w:id="106" w:name="_Toc26704"/>
      <w:r>
        <w:rPr>
          <w:rFonts w:hint="eastAsia"/>
          <w:szCs w:val="21"/>
        </w:rPr>
        <w:t>评审项目投标资料表</w:t>
      </w:r>
      <w:bookmarkEnd w:id="105"/>
      <w:bookmarkEnd w:id="106"/>
    </w:p>
    <w:p>
      <w:pPr>
        <w:jc w:val="center"/>
        <w:rPr>
          <w:rFonts w:ascii="宋体" w:hAnsi="宋体" w:eastAsia="黑体"/>
          <w:b/>
          <w:kern w:val="44"/>
          <w:szCs w:val="21"/>
        </w:rPr>
      </w:pPr>
    </w:p>
    <w:tbl>
      <w:tblPr>
        <w:tblStyle w:val="21"/>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02"/>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vAlign w:val="center"/>
          </w:tcPr>
          <w:p>
            <w:pPr>
              <w:pStyle w:val="44"/>
              <w:keepNext w:val="0"/>
              <w:adjustRightInd/>
              <w:spacing w:before="0" w:after="0" w:line="240" w:lineRule="auto"/>
              <w:textAlignment w:val="auto"/>
              <w:rPr>
                <w:rFonts w:ascii="宋体" w:hAnsi="宋体"/>
                <w:snapToGrid/>
                <w:spacing w:val="0"/>
                <w:kern w:val="2"/>
                <w:sz w:val="21"/>
                <w:szCs w:val="21"/>
              </w:rPr>
            </w:pPr>
            <w:r>
              <w:rPr>
                <w:rFonts w:hint="eastAsia" w:ascii="宋体" w:hAnsi="宋体"/>
                <w:snapToGrid/>
                <w:spacing w:val="0"/>
                <w:kern w:val="2"/>
                <w:sz w:val="21"/>
                <w:szCs w:val="21"/>
              </w:rPr>
              <w:t>评审分项</w:t>
            </w:r>
          </w:p>
        </w:tc>
        <w:tc>
          <w:tcPr>
            <w:tcW w:w="5202" w:type="dxa"/>
            <w:vAlign w:val="center"/>
          </w:tcPr>
          <w:p>
            <w:pPr>
              <w:pStyle w:val="44"/>
              <w:keepNext w:val="0"/>
              <w:adjustRightInd/>
              <w:spacing w:before="0" w:after="0" w:line="240" w:lineRule="auto"/>
              <w:textAlignment w:val="auto"/>
              <w:rPr>
                <w:rFonts w:ascii="宋体" w:hAnsi="宋体"/>
                <w:snapToGrid/>
                <w:spacing w:val="0"/>
                <w:kern w:val="2"/>
                <w:sz w:val="21"/>
                <w:szCs w:val="21"/>
              </w:rPr>
            </w:pPr>
            <w:r>
              <w:rPr>
                <w:rFonts w:hint="eastAsia" w:ascii="宋体" w:hAnsi="宋体"/>
                <w:snapToGrid/>
                <w:spacing w:val="0"/>
                <w:kern w:val="2"/>
                <w:sz w:val="21"/>
                <w:szCs w:val="21"/>
              </w:rPr>
              <w:t>评审细则</w:t>
            </w:r>
          </w:p>
        </w:tc>
        <w:tc>
          <w:tcPr>
            <w:tcW w:w="2300" w:type="dxa"/>
            <w:vAlign w:val="center"/>
          </w:tcPr>
          <w:p>
            <w:pPr>
              <w:pStyle w:val="44"/>
              <w:keepNext w:val="0"/>
              <w:adjustRightInd/>
              <w:spacing w:before="0" w:after="0" w:line="240" w:lineRule="auto"/>
              <w:textAlignment w:val="auto"/>
              <w:rPr>
                <w:rFonts w:ascii="宋体" w:hAnsi="宋体"/>
                <w:snapToGrid/>
                <w:spacing w:val="0"/>
                <w:kern w:val="2"/>
                <w:sz w:val="21"/>
                <w:szCs w:val="21"/>
              </w:rPr>
            </w:pPr>
            <w:r>
              <w:rPr>
                <w:rFonts w:hint="eastAsia" w:ascii="宋体" w:hAnsi="宋体"/>
                <w:snapToGrid/>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dxa"/>
            <w:vAlign w:val="center"/>
          </w:tcPr>
          <w:p>
            <w:pPr>
              <w:pStyle w:val="45"/>
              <w:jc w:val="both"/>
              <w:rPr>
                <w:rFonts w:ascii="宋体" w:hAnsi="宋体" w:eastAsia="宋体" w:cs="Times New Roman"/>
                <w:sz w:val="21"/>
                <w:szCs w:val="21"/>
              </w:rPr>
            </w:pPr>
          </w:p>
        </w:tc>
        <w:tc>
          <w:tcPr>
            <w:tcW w:w="5202" w:type="dxa"/>
            <w:vAlign w:val="center"/>
          </w:tcPr>
          <w:p>
            <w:pPr>
              <w:pStyle w:val="15"/>
              <w:ind w:left="420" w:firstLine="420"/>
              <w:rPr>
                <w:rFonts w:ascii="宋体" w:hAnsi="宋体"/>
                <w:szCs w:val="21"/>
              </w:rPr>
            </w:pPr>
          </w:p>
        </w:tc>
        <w:tc>
          <w:tcPr>
            <w:tcW w:w="2300" w:type="dxa"/>
            <w:vAlign w:val="center"/>
          </w:tcPr>
          <w:p>
            <w:pPr>
              <w:pStyle w:val="15"/>
              <w:rPr>
                <w:rFonts w:ascii="宋体" w:hAnsi="宋体"/>
                <w:szCs w:val="21"/>
              </w:rPr>
            </w:pPr>
            <w:r>
              <w:rPr>
                <w:rFonts w:hint="eastAsia"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vAlign w:val="center"/>
          </w:tcPr>
          <w:p>
            <w:pPr>
              <w:rPr>
                <w:rFonts w:ascii="宋体" w:hAnsi="宋体"/>
                <w:szCs w:val="21"/>
              </w:rPr>
            </w:pPr>
          </w:p>
        </w:tc>
        <w:tc>
          <w:tcPr>
            <w:tcW w:w="5202" w:type="dxa"/>
            <w:vAlign w:val="center"/>
          </w:tcPr>
          <w:p>
            <w:pPr>
              <w:pStyle w:val="15"/>
              <w:ind w:left="420" w:firstLine="420"/>
              <w:rPr>
                <w:rFonts w:ascii="宋体" w:hAnsi="宋体"/>
                <w:szCs w:val="21"/>
              </w:rPr>
            </w:pPr>
          </w:p>
        </w:tc>
        <w:tc>
          <w:tcPr>
            <w:tcW w:w="2300" w:type="dxa"/>
            <w:vAlign w:val="center"/>
          </w:tcPr>
          <w:p>
            <w:pPr>
              <w:pStyle w:val="15"/>
              <w:rPr>
                <w:rFonts w:ascii="宋体" w:hAnsi="宋体"/>
                <w:szCs w:val="21"/>
              </w:rPr>
            </w:pPr>
            <w:r>
              <w:rPr>
                <w:rFonts w:hint="eastAsia"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48" w:type="dxa"/>
            <w:vAlign w:val="center"/>
          </w:tcPr>
          <w:p>
            <w:pPr>
              <w:rPr>
                <w:rFonts w:ascii="宋体" w:hAnsi="宋体"/>
                <w:szCs w:val="21"/>
              </w:rPr>
            </w:pPr>
          </w:p>
        </w:tc>
        <w:tc>
          <w:tcPr>
            <w:tcW w:w="5202" w:type="dxa"/>
            <w:vAlign w:val="center"/>
          </w:tcPr>
          <w:p>
            <w:pPr>
              <w:pStyle w:val="15"/>
              <w:ind w:left="420" w:firstLine="420"/>
              <w:rPr>
                <w:rFonts w:ascii="宋体" w:hAnsi="宋体"/>
                <w:szCs w:val="21"/>
              </w:rPr>
            </w:pPr>
          </w:p>
        </w:tc>
        <w:tc>
          <w:tcPr>
            <w:tcW w:w="2300" w:type="dxa"/>
            <w:vAlign w:val="center"/>
          </w:tcPr>
          <w:p>
            <w:pPr>
              <w:pStyle w:val="15"/>
              <w:rPr>
                <w:rFonts w:ascii="宋体" w:hAnsi="宋体"/>
                <w:szCs w:val="21"/>
              </w:rPr>
            </w:pPr>
            <w:r>
              <w:rPr>
                <w:rFonts w:hint="eastAsia"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8" w:type="dxa"/>
            <w:vAlign w:val="center"/>
          </w:tcPr>
          <w:p>
            <w:pPr>
              <w:rPr>
                <w:rFonts w:ascii="宋体" w:hAnsi="宋体"/>
                <w:szCs w:val="21"/>
              </w:rPr>
            </w:pPr>
          </w:p>
        </w:tc>
        <w:tc>
          <w:tcPr>
            <w:tcW w:w="5202" w:type="dxa"/>
            <w:vAlign w:val="center"/>
          </w:tcPr>
          <w:p>
            <w:pPr>
              <w:pStyle w:val="15"/>
              <w:ind w:left="420" w:firstLine="420"/>
              <w:rPr>
                <w:rFonts w:ascii="宋体" w:hAnsi="宋体"/>
                <w:szCs w:val="21"/>
              </w:rPr>
            </w:pPr>
          </w:p>
        </w:tc>
        <w:tc>
          <w:tcPr>
            <w:tcW w:w="2300" w:type="dxa"/>
            <w:vAlign w:val="center"/>
          </w:tcPr>
          <w:p>
            <w:pPr>
              <w:pStyle w:val="15"/>
              <w:rPr>
                <w:rFonts w:ascii="宋体" w:hAnsi="宋体"/>
                <w:szCs w:val="21"/>
              </w:rPr>
            </w:pPr>
            <w:r>
              <w:rPr>
                <w:rFonts w:hint="eastAsia"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8" w:type="dxa"/>
            <w:vAlign w:val="center"/>
          </w:tcPr>
          <w:p>
            <w:pPr>
              <w:rPr>
                <w:rFonts w:ascii="宋体" w:hAnsi="宋体"/>
                <w:szCs w:val="21"/>
              </w:rPr>
            </w:pPr>
          </w:p>
        </w:tc>
        <w:tc>
          <w:tcPr>
            <w:tcW w:w="5202" w:type="dxa"/>
            <w:vAlign w:val="center"/>
          </w:tcPr>
          <w:p>
            <w:pPr>
              <w:pStyle w:val="15"/>
              <w:ind w:left="420" w:firstLine="420"/>
              <w:rPr>
                <w:rFonts w:ascii="宋体" w:hAnsi="宋体"/>
                <w:szCs w:val="21"/>
              </w:rPr>
            </w:pPr>
          </w:p>
        </w:tc>
        <w:tc>
          <w:tcPr>
            <w:tcW w:w="2300" w:type="dxa"/>
            <w:vAlign w:val="center"/>
          </w:tcPr>
          <w:p>
            <w:pPr>
              <w:pStyle w:val="15"/>
              <w:rPr>
                <w:rFonts w:ascii="宋体" w:hAnsi="宋体"/>
                <w:szCs w:val="21"/>
              </w:rPr>
            </w:pPr>
            <w:r>
              <w:rPr>
                <w:rFonts w:hint="eastAsia"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vAlign w:val="center"/>
          </w:tcPr>
          <w:p>
            <w:pPr>
              <w:rPr>
                <w:rFonts w:ascii="宋体" w:hAnsi="宋体"/>
                <w:szCs w:val="21"/>
              </w:rPr>
            </w:pPr>
          </w:p>
        </w:tc>
        <w:tc>
          <w:tcPr>
            <w:tcW w:w="5202" w:type="dxa"/>
            <w:vAlign w:val="center"/>
          </w:tcPr>
          <w:p>
            <w:pPr>
              <w:pStyle w:val="15"/>
              <w:ind w:left="420" w:firstLine="420"/>
              <w:rPr>
                <w:rFonts w:ascii="宋体" w:hAnsi="宋体"/>
                <w:szCs w:val="21"/>
              </w:rPr>
            </w:pPr>
          </w:p>
        </w:tc>
        <w:tc>
          <w:tcPr>
            <w:tcW w:w="2300" w:type="dxa"/>
            <w:vAlign w:val="center"/>
          </w:tcPr>
          <w:p>
            <w:pPr>
              <w:pStyle w:val="15"/>
              <w:rPr>
                <w:rFonts w:ascii="宋体" w:hAnsi="宋体"/>
                <w:szCs w:val="21"/>
              </w:rPr>
            </w:pPr>
            <w:r>
              <w:rPr>
                <w:rFonts w:hint="eastAsia"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8" w:type="dxa"/>
            <w:vAlign w:val="center"/>
          </w:tcPr>
          <w:p>
            <w:pPr>
              <w:rPr>
                <w:rFonts w:ascii="宋体" w:hAnsi="宋体"/>
                <w:szCs w:val="21"/>
              </w:rPr>
            </w:pPr>
          </w:p>
        </w:tc>
        <w:tc>
          <w:tcPr>
            <w:tcW w:w="5202" w:type="dxa"/>
            <w:vAlign w:val="center"/>
          </w:tcPr>
          <w:p>
            <w:pPr>
              <w:pStyle w:val="15"/>
              <w:ind w:left="420" w:firstLine="420"/>
              <w:rPr>
                <w:rFonts w:ascii="宋体" w:hAnsi="宋体"/>
                <w:szCs w:val="21"/>
              </w:rPr>
            </w:pPr>
          </w:p>
        </w:tc>
        <w:tc>
          <w:tcPr>
            <w:tcW w:w="2300" w:type="dxa"/>
            <w:vAlign w:val="center"/>
          </w:tcPr>
          <w:p>
            <w:pPr>
              <w:pStyle w:val="15"/>
              <w:rPr>
                <w:rFonts w:ascii="宋体" w:hAnsi="宋体"/>
                <w:szCs w:val="21"/>
              </w:rPr>
            </w:pPr>
            <w:r>
              <w:rPr>
                <w:rFonts w:hint="eastAsia"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8" w:type="dxa"/>
            <w:vAlign w:val="center"/>
          </w:tcPr>
          <w:p>
            <w:pPr>
              <w:jc w:val="center"/>
              <w:rPr>
                <w:rFonts w:ascii="宋体" w:hAnsi="宋体"/>
                <w:szCs w:val="21"/>
              </w:rPr>
            </w:pPr>
          </w:p>
        </w:tc>
        <w:tc>
          <w:tcPr>
            <w:tcW w:w="5202" w:type="dxa"/>
            <w:vAlign w:val="center"/>
          </w:tcPr>
          <w:p>
            <w:pPr>
              <w:pStyle w:val="15"/>
              <w:ind w:left="420" w:firstLine="420"/>
              <w:rPr>
                <w:rFonts w:ascii="宋体" w:hAnsi="宋体"/>
                <w:szCs w:val="21"/>
              </w:rPr>
            </w:pPr>
          </w:p>
        </w:tc>
        <w:tc>
          <w:tcPr>
            <w:tcW w:w="2300" w:type="dxa"/>
            <w:vAlign w:val="center"/>
          </w:tcPr>
          <w:p>
            <w:pPr>
              <w:pStyle w:val="15"/>
              <w:rPr>
                <w:rFonts w:ascii="宋体" w:hAnsi="宋体"/>
                <w:szCs w:val="21"/>
              </w:rPr>
            </w:pPr>
            <w:r>
              <w:rPr>
                <w:rFonts w:hint="eastAsia"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48" w:type="dxa"/>
            <w:vAlign w:val="center"/>
          </w:tcPr>
          <w:p>
            <w:pPr>
              <w:rPr>
                <w:rFonts w:ascii="宋体" w:hAnsi="宋体"/>
                <w:szCs w:val="21"/>
              </w:rPr>
            </w:pPr>
          </w:p>
        </w:tc>
        <w:tc>
          <w:tcPr>
            <w:tcW w:w="5202" w:type="dxa"/>
            <w:vAlign w:val="center"/>
          </w:tcPr>
          <w:p>
            <w:pPr>
              <w:rPr>
                <w:rFonts w:ascii="宋体" w:hAnsi="宋体"/>
                <w:szCs w:val="21"/>
              </w:rPr>
            </w:pPr>
          </w:p>
        </w:tc>
        <w:tc>
          <w:tcPr>
            <w:tcW w:w="2300" w:type="dxa"/>
            <w:vAlign w:val="center"/>
          </w:tcPr>
          <w:p>
            <w:pPr>
              <w:rPr>
                <w:rFonts w:ascii="宋体" w:hAnsi="宋体"/>
                <w:szCs w:val="21"/>
              </w:rPr>
            </w:pPr>
            <w:r>
              <w:rPr>
                <w:rFonts w:hint="eastAsia"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8" w:type="dxa"/>
            <w:vAlign w:val="center"/>
          </w:tcPr>
          <w:p>
            <w:pPr>
              <w:pStyle w:val="15"/>
              <w:ind w:left="420" w:firstLine="420"/>
              <w:jc w:val="center"/>
              <w:rPr>
                <w:rFonts w:ascii="宋体" w:hAnsi="宋体"/>
                <w:szCs w:val="21"/>
              </w:rPr>
            </w:pPr>
          </w:p>
        </w:tc>
        <w:tc>
          <w:tcPr>
            <w:tcW w:w="5202" w:type="dxa"/>
            <w:vAlign w:val="center"/>
          </w:tcPr>
          <w:p>
            <w:pPr>
              <w:rPr>
                <w:rFonts w:ascii="宋体" w:hAnsi="宋体"/>
                <w:szCs w:val="21"/>
              </w:rPr>
            </w:pPr>
          </w:p>
        </w:tc>
        <w:tc>
          <w:tcPr>
            <w:tcW w:w="2300" w:type="dxa"/>
            <w:vAlign w:val="center"/>
          </w:tcPr>
          <w:p>
            <w:pPr>
              <w:rPr>
                <w:rFonts w:ascii="宋体" w:hAnsi="宋体"/>
                <w:szCs w:val="21"/>
              </w:rPr>
            </w:pPr>
            <w:r>
              <w:rPr>
                <w:rFonts w:hint="eastAsia"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8" w:type="dxa"/>
            <w:vAlign w:val="center"/>
          </w:tcPr>
          <w:p>
            <w:pPr>
              <w:jc w:val="center"/>
              <w:rPr>
                <w:rFonts w:ascii="宋体" w:hAnsi="宋体"/>
                <w:szCs w:val="21"/>
              </w:rPr>
            </w:pPr>
          </w:p>
        </w:tc>
        <w:tc>
          <w:tcPr>
            <w:tcW w:w="5202" w:type="dxa"/>
            <w:vAlign w:val="center"/>
          </w:tcPr>
          <w:p>
            <w:pPr>
              <w:rPr>
                <w:rFonts w:ascii="宋体" w:hAnsi="宋体"/>
                <w:szCs w:val="21"/>
              </w:rPr>
            </w:pPr>
          </w:p>
        </w:tc>
        <w:tc>
          <w:tcPr>
            <w:tcW w:w="2300" w:type="dxa"/>
            <w:vAlign w:val="center"/>
          </w:tcPr>
          <w:p>
            <w:pPr>
              <w:rPr>
                <w:rFonts w:ascii="宋体" w:hAnsi="宋体"/>
                <w:szCs w:val="21"/>
              </w:rPr>
            </w:pPr>
            <w:r>
              <w:rPr>
                <w:rFonts w:hint="eastAsia"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48" w:type="dxa"/>
            <w:vAlign w:val="center"/>
          </w:tcPr>
          <w:p>
            <w:pPr>
              <w:jc w:val="center"/>
              <w:rPr>
                <w:rFonts w:ascii="宋体" w:hAnsi="宋体"/>
                <w:szCs w:val="21"/>
              </w:rPr>
            </w:pPr>
          </w:p>
        </w:tc>
        <w:tc>
          <w:tcPr>
            <w:tcW w:w="5202" w:type="dxa"/>
            <w:vAlign w:val="center"/>
          </w:tcPr>
          <w:p>
            <w:pPr>
              <w:rPr>
                <w:rFonts w:ascii="宋体" w:hAnsi="宋体"/>
                <w:szCs w:val="21"/>
              </w:rPr>
            </w:pPr>
          </w:p>
        </w:tc>
        <w:tc>
          <w:tcPr>
            <w:tcW w:w="2300" w:type="dxa"/>
            <w:vAlign w:val="center"/>
          </w:tcPr>
          <w:p>
            <w:pPr>
              <w:rPr>
                <w:rFonts w:ascii="宋体" w:hAnsi="宋体"/>
                <w:szCs w:val="21"/>
              </w:rPr>
            </w:pPr>
            <w:r>
              <w:rPr>
                <w:rFonts w:hint="eastAsia"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8" w:type="dxa"/>
            <w:vAlign w:val="center"/>
          </w:tcPr>
          <w:p>
            <w:pPr>
              <w:jc w:val="center"/>
              <w:rPr>
                <w:rFonts w:ascii="宋体" w:hAnsi="宋体"/>
                <w:szCs w:val="21"/>
              </w:rPr>
            </w:pPr>
          </w:p>
        </w:tc>
        <w:tc>
          <w:tcPr>
            <w:tcW w:w="5202" w:type="dxa"/>
            <w:vAlign w:val="center"/>
          </w:tcPr>
          <w:p>
            <w:pPr>
              <w:rPr>
                <w:rFonts w:ascii="宋体" w:hAnsi="宋体"/>
                <w:szCs w:val="21"/>
              </w:rPr>
            </w:pPr>
          </w:p>
        </w:tc>
        <w:tc>
          <w:tcPr>
            <w:tcW w:w="2300" w:type="dxa"/>
            <w:vAlign w:val="center"/>
          </w:tcPr>
          <w:p>
            <w:pPr>
              <w:rPr>
                <w:rFonts w:ascii="宋体" w:hAnsi="宋体"/>
                <w:szCs w:val="21"/>
              </w:rPr>
            </w:pPr>
            <w:r>
              <w:rPr>
                <w:rFonts w:hint="eastAsia" w:ascii="宋体" w:hAnsi="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48" w:type="dxa"/>
            <w:vAlign w:val="center"/>
          </w:tcPr>
          <w:p>
            <w:pPr>
              <w:jc w:val="center"/>
              <w:rPr>
                <w:rFonts w:ascii="宋体" w:hAnsi="宋体"/>
                <w:szCs w:val="21"/>
              </w:rPr>
            </w:pPr>
          </w:p>
        </w:tc>
        <w:tc>
          <w:tcPr>
            <w:tcW w:w="5202" w:type="dxa"/>
            <w:vAlign w:val="center"/>
          </w:tcPr>
          <w:p>
            <w:pPr>
              <w:pStyle w:val="15"/>
              <w:ind w:left="420" w:firstLine="420"/>
              <w:rPr>
                <w:rFonts w:ascii="宋体" w:hAnsi="宋体"/>
                <w:szCs w:val="21"/>
              </w:rPr>
            </w:pPr>
          </w:p>
        </w:tc>
        <w:tc>
          <w:tcPr>
            <w:tcW w:w="2300" w:type="dxa"/>
            <w:vAlign w:val="center"/>
          </w:tcPr>
          <w:p>
            <w:pPr>
              <w:pStyle w:val="15"/>
              <w:rPr>
                <w:rFonts w:ascii="宋体" w:hAnsi="宋体"/>
                <w:szCs w:val="21"/>
              </w:rPr>
            </w:pPr>
            <w:r>
              <w:rPr>
                <w:rFonts w:hint="eastAsia" w:ascii="宋体" w:hAnsi="宋体"/>
                <w:szCs w:val="21"/>
              </w:rPr>
              <w:t>见投标文件第（）页</w:t>
            </w:r>
          </w:p>
        </w:tc>
      </w:tr>
    </w:tbl>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spacing w:line="360" w:lineRule="auto"/>
        <w:rPr>
          <w:rFonts w:ascii="宋体" w:hAnsi="宋体"/>
          <w:szCs w:val="21"/>
          <w:u w:val="single"/>
        </w:rPr>
      </w:pPr>
      <w:r>
        <w:rPr>
          <w:rFonts w:hint="eastAsia"/>
          <w:szCs w:val="21"/>
        </w:rPr>
        <w:t>投标人法定代表人（负责人）或授权代理人（签字）：</w:t>
      </w:r>
    </w:p>
    <w:p>
      <w:pPr>
        <w:adjustRightInd w:val="0"/>
        <w:snapToGrid w:val="0"/>
        <w:spacing w:line="300" w:lineRule="auto"/>
        <w:rPr>
          <w:rFonts w:ascii="宋体" w:hAnsi="宋体"/>
          <w:szCs w:val="21"/>
          <w:u w:val="single"/>
        </w:rPr>
      </w:pPr>
      <w:r>
        <w:rPr>
          <w:rFonts w:hint="eastAsia" w:ascii="宋体" w:hAnsi="宋体"/>
          <w:szCs w:val="21"/>
        </w:rPr>
        <w:t>投标人名称（签章）：</w:t>
      </w:r>
    </w:p>
    <w:p>
      <w:pPr>
        <w:adjustRightInd w:val="0"/>
        <w:snapToGrid w:val="0"/>
        <w:spacing w:line="300" w:lineRule="auto"/>
        <w:rPr>
          <w:rFonts w:ascii="宋体" w:hAnsi="宋体"/>
          <w:szCs w:val="21"/>
        </w:rPr>
      </w:pPr>
      <w:r>
        <w:rPr>
          <w:rFonts w:hint="eastAsia" w:ascii="宋体" w:hAnsi="宋体"/>
          <w:szCs w:val="21"/>
        </w:rPr>
        <w:t>日期：   年   月   日</w:t>
      </w:r>
    </w:p>
    <w:p>
      <w:pPr>
        <w:pStyle w:val="7"/>
        <w:spacing w:line="440" w:lineRule="exact"/>
        <w:ind w:firstLine="0"/>
        <w:jc w:val="both"/>
        <w:rPr>
          <w:rFonts w:hAnsi="宋体"/>
          <w:bCs/>
        </w:rPr>
        <w:sectPr>
          <w:footerReference r:id="rId16" w:type="first"/>
          <w:footerReference r:id="rId15" w:type="default"/>
          <w:pgSz w:w="11906" w:h="16838"/>
          <w:pgMar w:top="1418" w:right="1474" w:bottom="1418" w:left="1474" w:header="851" w:footer="851" w:gutter="0"/>
          <w:cols w:space="720" w:num="1"/>
          <w:titlePg/>
          <w:docGrid w:linePitch="312" w:charSpace="0"/>
        </w:sectPr>
      </w:pPr>
    </w:p>
    <w:p>
      <w:pPr>
        <w:pStyle w:val="7"/>
        <w:spacing w:before="48"/>
        <w:ind w:firstLine="0"/>
        <w:jc w:val="both"/>
        <w:rPr>
          <w:b/>
          <w:szCs w:val="21"/>
        </w:rPr>
      </w:pPr>
    </w:p>
    <w:p>
      <w:pPr>
        <w:pStyle w:val="5"/>
        <w:spacing w:before="48" w:after="48"/>
      </w:pPr>
      <w:bookmarkStart w:id="107" w:name="_Toc10301"/>
      <w:r>
        <w:rPr>
          <w:rFonts w:hint="eastAsia"/>
        </w:rPr>
        <w:t>（三）法定代表人证明书</w:t>
      </w:r>
      <w:bookmarkEnd w:id="107"/>
    </w:p>
    <w:p>
      <w:pPr>
        <w:pStyle w:val="7"/>
        <w:spacing w:before="48"/>
        <w:ind w:firstLine="480"/>
      </w:pPr>
    </w:p>
    <w:p>
      <w:pPr>
        <w:spacing w:line="560" w:lineRule="exact"/>
        <w:ind w:firstLine="420" w:firstLineChars="200"/>
        <w:rPr>
          <w:rFonts w:ascii="宋体" w:hAnsi="宋体"/>
        </w:rPr>
      </w:pPr>
      <w:r>
        <w:rPr>
          <w:rFonts w:hint="eastAsia" w:ascii="宋体" w:hAnsi="宋体"/>
          <w:u w:val="single"/>
        </w:rPr>
        <w:t xml:space="preserve">      单位法定代表人姓名     </w:t>
      </w:r>
      <w:r>
        <w:rPr>
          <w:rFonts w:hint="eastAsia" w:ascii="宋体" w:hAnsi="宋体"/>
        </w:rPr>
        <w:t>同志，现任</w:t>
      </w:r>
      <w:r>
        <w:rPr>
          <w:rFonts w:hint="eastAsia" w:ascii="宋体" w:hAnsi="宋体"/>
          <w:u w:val="single"/>
        </w:rPr>
        <w:t xml:space="preserve">       投标人名称                  </w:t>
      </w:r>
      <w:r>
        <w:rPr>
          <w:rFonts w:hint="eastAsia" w:ascii="宋体" w:hAnsi="宋体"/>
        </w:rPr>
        <w:t>的</w:t>
      </w:r>
      <w:r>
        <w:rPr>
          <w:rFonts w:hint="eastAsia" w:ascii="宋体" w:hAnsi="宋体"/>
          <w:u w:val="single"/>
        </w:rPr>
        <w:t xml:space="preserve">   职务    </w:t>
      </w:r>
      <w:r>
        <w:rPr>
          <w:rFonts w:hint="eastAsia" w:ascii="宋体" w:hAnsi="宋体"/>
        </w:rPr>
        <w:t>，为法定代表人，特此证明。</w:t>
      </w:r>
    </w:p>
    <w:p>
      <w:pPr>
        <w:spacing w:line="560" w:lineRule="exact"/>
        <w:ind w:firstLine="420" w:firstLineChars="200"/>
        <w:rPr>
          <w:rFonts w:ascii="宋体" w:hAnsi="宋体"/>
        </w:rPr>
      </w:pPr>
    </w:p>
    <w:p>
      <w:pPr>
        <w:spacing w:line="560" w:lineRule="exact"/>
        <w:ind w:firstLine="420" w:firstLineChars="200"/>
        <w:rPr>
          <w:rFonts w:ascii="宋体" w:hAnsi="宋体"/>
          <w:u w:val="single"/>
        </w:rPr>
      </w:pPr>
      <w:r>
        <w:rPr>
          <w:rFonts w:hint="eastAsia" w:ascii="宋体" w:hAnsi="宋体"/>
        </w:rPr>
        <w:t>签发单位：</w:t>
      </w:r>
      <w:r>
        <w:rPr>
          <w:rFonts w:hint="eastAsia" w:ascii="宋体" w:hAnsi="宋体"/>
          <w:u w:val="single"/>
        </w:rPr>
        <w:t xml:space="preserve">（名称并加盖公章）                      </w:t>
      </w:r>
    </w:p>
    <w:p>
      <w:pPr>
        <w:spacing w:line="560" w:lineRule="exact"/>
        <w:ind w:firstLine="420" w:firstLineChars="200"/>
        <w:rPr>
          <w:rFonts w:ascii="宋体" w:hAnsi="宋体"/>
        </w:rPr>
      </w:pPr>
      <w:r>
        <w:rPr>
          <w:rFonts w:hint="eastAsia" w:ascii="宋体" w:hAnsi="宋体"/>
        </w:rPr>
        <w:t>签发日期：  有效日期至：年月日</w:t>
      </w:r>
    </w:p>
    <w:p>
      <w:pPr>
        <w:spacing w:line="560" w:lineRule="exact"/>
        <w:ind w:firstLine="420" w:firstLineChars="200"/>
        <w:rPr>
          <w:rFonts w:ascii="宋体" w:hAnsi="宋体"/>
        </w:rPr>
      </w:pPr>
    </w:p>
    <w:p>
      <w:pPr>
        <w:spacing w:line="560" w:lineRule="exact"/>
        <w:ind w:firstLine="420" w:firstLineChars="200"/>
        <w:rPr>
          <w:rFonts w:ascii="宋体" w:hAnsi="宋体"/>
        </w:rPr>
      </w:pPr>
      <w:r>
        <w:rPr>
          <w:rFonts w:hint="eastAsia" w:ascii="宋体" w:hAnsi="宋体"/>
        </w:rPr>
        <w:t xml:space="preserve">附：代表人性别：    年龄：岁    </w:t>
      </w:r>
    </w:p>
    <w:p>
      <w:pPr>
        <w:spacing w:line="480" w:lineRule="exact"/>
        <w:ind w:firstLine="420" w:firstLineChars="200"/>
        <w:rPr>
          <w:rFonts w:ascii="宋体" w:hAnsi="宋体"/>
        </w:rPr>
      </w:pPr>
    </w:p>
    <w:p>
      <w:pPr>
        <w:spacing w:line="480" w:lineRule="exact"/>
        <w:ind w:firstLine="420" w:firstLineChars="200"/>
        <w:rPr>
          <w:rFonts w:ascii="宋体" w:hAnsi="宋体"/>
        </w:rPr>
      </w:pPr>
      <w:r>
        <w:rPr>
          <w:rFonts w:hint="eastAsia" w:ascii="宋体" w:hAnsi="宋体"/>
        </w:rPr>
        <w:t>说明： 内容必须填写真实、清楚，涂改无效，不得转让、买卖。</w:t>
      </w:r>
    </w:p>
    <w:p>
      <w:pPr>
        <w:spacing w:line="480" w:lineRule="exact"/>
        <w:ind w:firstLine="420" w:firstLineChars="200"/>
        <w:rPr>
          <w:rFonts w:ascii="宋体" w:hAnsi="宋体"/>
        </w:rPr>
      </w:pPr>
    </w:p>
    <w:p>
      <w:pPr>
        <w:pStyle w:val="7"/>
        <w:spacing w:before="48"/>
        <w:ind w:firstLine="480"/>
        <w:rPr>
          <w:rFonts w:hAnsi="宋体"/>
          <w:szCs w:val="24"/>
        </w:rPr>
      </w:pPr>
    </w:p>
    <w:p>
      <w:pPr>
        <w:pStyle w:val="7"/>
        <w:spacing w:before="48"/>
        <w:ind w:firstLine="480"/>
        <w:sectPr>
          <w:footerReference r:id="rId18" w:type="first"/>
          <w:footerReference r:id="rId17" w:type="default"/>
          <w:pgSz w:w="11906" w:h="16838"/>
          <w:pgMar w:top="1418" w:right="1474" w:bottom="1418" w:left="1474" w:header="851" w:footer="851" w:gutter="0"/>
          <w:cols w:space="720" w:num="1"/>
          <w:titlePg/>
          <w:docGrid w:linePitch="312" w:charSpace="0"/>
        </w:sectPr>
      </w:pPr>
      <w:r>
        <w:pict>
          <v:shape id="_x0000_s2051" o:spid="_x0000_s2051" o:spt="176" type="#_x0000_t176" style="position:absolute;left:0pt;margin-left:68.25pt;margin-top:27.3pt;height:135.65pt;width:273.55pt;z-index:251680768;mso-width-relative:page;mso-height-relative:page;" coordsize="21600,21600" o:gfxdata="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phPRLYAAAACgEAAA8AAAAAAAAAAQAgAAAAIgAAAGRycy9kb3ducmV2LnhtbFBLAQIUABQA&#10;AAAIAIdO4kBynlvyKQIAAFAEAAAOAAAAAAAAAAEAIAAAACcBAABkcnMvZTJvRG9jLnhtbFBLBQYA&#10;AAAABgAGAFkBAADCBQAAAAA=&#10;">
            <v:path/>
            <v:fill focussize="0,0"/>
            <v:stroke joinstyle="miter"/>
            <v:imagedata o:title=""/>
            <o:lock v:ext="edit"/>
            <v:textbox>
              <w:txbxContent>
                <w:p/>
                <w:p/>
                <w:p/>
                <w:p>
                  <w:pPr>
                    <w:jc w:val="center"/>
                  </w:pPr>
                  <w:r>
                    <w:rPr>
                      <w:rFonts w:hint="eastAsia"/>
                    </w:rPr>
                    <w:t>法定代表人身份证复印件</w:t>
                  </w:r>
                </w:p>
              </w:txbxContent>
            </v:textbox>
          </v:shape>
        </w:pict>
      </w:r>
    </w:p>
    <w:p>
      <w:pPr>
        <w:pStyle w:val="5"/>
        <w:spacing w:before="48" w:after="48"/>
      </w:pPr>
      <w:bookmarkStart w:id="108" w:name="_Toc343612934"/>
      <w:bookmarkStart w:id="109" w:name="_Toc336681594"/>
      <w:bookmarkStart w:id="110" w:name="_Toc339441101"/>
      <w:bookmarkStart w:id="111" w:name="_Toc345312611"/>
      <w:bookmarkStart w:id="112" w:name="_Toc343248432"/>
      <w:bookmarkStart w:id="113" w:name="_Toc333238648"/>
      <w:bookmarkStart w:id="114" w:name="_Toc333237803"/>
      <w:bookmarkStart w:id="115" w:name="_Toc333935701"/>
      <w:bookmarkStart w:id="116" w:name="_Toc350756464"/>
      <w:bookmarkStart w:id="117" w:name="_Toc382404104"/>
      <w:bookmarkStart w:id="118" w:name="_Toc333935360"/>
      <w:bookmarkStart w:id="119" w:name="_Toc340677084"/>
      <w:bookmarkStart w:id="120" w:name="_Toc332270361"/>
      <w:bookmarkStart w:id="121" w:name="_Toc10740"/>
      <w:bookmarkStart w:id="122" w:name="_Toc365967086"/>
      <w:bookmarkStart w:id="123" w:name="_Toc336681949"/>
      <w:bookmarkStart w:id="124" w:name="_Toc332206723"/>
      <w:bookmarkStart w:id="125" w:name="_Toc339020109"/>
      <w:bookmarkStart w:id="126" w:name="_Toc342312457"/>
      <w:bookmarkStart w:id="127" w:name="_Toc331684056"/>
      <w:bookmarkStart w:id="128" w:name="_Toc365985192"/>
      <w:bookmarkStart w:id="129" w:name="_Toc339362314"/>
      <w:bookmarkStart w:id="130" w:name="_Toc340507456"/>
      <w:bookmarkStart w:id="131" w:name="_Toc339020247"/>
      <w:bookmarkStart w:id="132" w:name="_Toc339020029"/>
      <w:bookmarkStart w:id="133" w:name="_Toc330460000"/>
      <w:bookmarkStart w:id="134" w:name="_Toc333237692"/>
      <w:bookmarkStart w:id="135" w:name="_Toc337632372"/>
      <w:bookmarkStart w:id="136" w:name="_Toc366072543"/>
      <w:bookmarkStart w:id="137" w:name="_Toc339019903"/>
      <w:bookmarkStart w:id="138" w:name="_Toc3969072"/>
      <w:bookmarkStart w:id="139" w:name="_Toc340672883"/>
      <w:bookmarkStart w:id="140" w:name="_Toc331512915"/>
      <w:bookmarkStart w:id="141" w:name="_Toc341348354"/>
      <w:bookmarkStart w:id="142" w:name="_Toc350438763"/>
      <w:bookmarkStart w:id="143" w:name="_Toc342060389"/>
      <w:bookmarkStart w:id="144" w:name="_Toc343247114"/>
      <w:bookmarkStart w:id="145" w:name="_Toc342296775"/>
      <w:bookmarkStart w:id="146" w:name="_Toc342398144"/>
      <w:r>
        <w:rPr>
          <w:rFonts w:hint="eastAsia"/>
        </w:rPr>
        <w:t>（四）法定代表人授权书</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spacing w:line="360" w:lineRule="auto"/>
        <w:ind w:firstLine="420" w:firstLineChars="200"/>
        <w:rPr>
          <w:rFonts w:ascii="宋体" w:hAnsi="宋体"/>
          <w:bCs/>
          <w:kern w:val="0"/>
        </w:rPr>
      </w:pPr>
    </w:p>
    <w:p>
      <w:pPr>
        <w:spacing w:line="360" w:lineRule="auto"/>
        <w:ind w:firstLine="420" w:firstLineChars="200"/>
        <w:jc w:val="left"/>
      </w:pPr>
      <w:r>
        <w:rPr>
          <w:rFonts w:hint="eastAsia" w:ascii="宋体" w:hAnsi="宋体"/>
          <w:bCs/>
          <w:kern w:val="0"/>
        </w:rPr>
        <w:t>本授权委托书声明：我</w:t>
      </w:r>
      <w:r>
        <w:rPr>
          <w:rFonts w:hint="eastAsia" w:ascii="宋体" w:hAnsi="宋体"/>
          <w:bCs/>
          <w:kern w:val="0"/>
          <w:u w:val="single"/>
        </w:rPr>
        <w:t xml:space="preserve">        （单位法定代表人姓名）</w:t>
      </w:r>
      <w:r>
        <w:rPr>
          <w:rFonts w:hint="eastAsia" w:ascii="宋体" w:hAnsi="宋体"/>
          <w:bCs/>
          <w:kern w:val="0"/>
        </w:rPr>
        <w:t xml:space="preserve"> 系</w:t>
      </w:r>
      <w:r>
        <w:rPr>
          <w:rFonts w:hint="eastAsia" w:ascii="宋体" w:hAnsi="宋体"/>
          <w:bCs/>
          <w:kern w:val="0"/>
          <w:u w:val="single"/>
        </w:rPr>
        <w:t xml:space="preserve">       （投标人名称）</w:t>
      </w:r>
      <w:r>
        <w:rPr>
          <w:rFonts w:hint="eastAsia" w:ascii="宋体" w:hAnsi="宋体"/>
          <w:bCs/>
          <w:kern w:val="0"/>
        </w:rPr>
        <w:t>的法定代表人，现授权委托</w:t>
      </w:r>
      <w:r>
        <w:rPr>
          <w:rFonts w:hint="eastAsia" w:ascii="宋体" w:hAnsi="宋体"/>
          <w:bCs/>
          <w:kern w:val="0"/>
          <w:u w:val="single"/>
        </w:rPr>
        <w:t xml:space="preserve">             （投标人名称）</w:t>
      </w:r>
      <w:r>
        <w:rPr>
          <w:rFonts w:hint="eastAsia" w:ascii="宋体" w:hAnsi="宋体"/>
          <w:bCs/>
          <w:kern w:val="0"/>
        </w:rPr>
        <w:t>的</w:t>
      </w:r>
      <w:r>
        <w:rPr>
          <w:rFonts w:hint="eastAsia" w:ascii="宋体" w:hAnsi="宋体"/>
          <w:bCs/>
          <w:kern w:val="0"/>
          <w:u w:val="single"/>
        </w:rPr>
        <w:t xml:space="preserve">                 （代理人姓名）</w:t>
      </w:r>
      <w:r>
        <w:rPr>
          <w:rFonts w:hint="eastAsia" w:ascii="宋体" w:hAnsi="宋体"/>
          <w:bCs/>
          <w:kern w:val="0"/>
        </w:rPr>
        <w:t>为我公司代理人，以本公司的名义参加广东国达工程项目咨询有限公司组织的</w:t>
      </w:r>
      <w:r>
        <w:rPr>
          <w:rFonts w:hint="eastAsia" w:ascii="宋体" w:hAnsi="宋体"/>
          <w:bCs/>
        </w:rPr>
        <w:t>招标项目（项目编号: ）</w:t>
      </w:r>
      <w:r>
        <w:rPr>
          <w:rFonts w:hint="eastAsia" w:ascii="宋体" w:hAnsi="宋体"/>
          <w:bCs/>
          <w:kern w:val="0"/>
        </w:rPr>
        <w:t>的投标活动。代理人在开标、评标、合同谈判过程中所签署的一切文件和处理与之有关的一切事务，我均予以承认。本授权委托书自签署之日起生效，特此声明。</w:t>
      </w:r>
    </w:p>
    <w:p>
      <w:pPr>
        <w:spacing w:line="560" w:lineRule="exact"/>
        <w:ind w:firstLine="420" w:firstLineChars="200"/>
        <w:rPr>
          <w:rFonts w:ascii="宋体" w:hAnsi="宋体"/>
          <w:bCs/>
          <w:kern w:val="0"/>
        </w:rPr>
      </w:pPr>
      <w:r>
        <w:rPr>
          <w:rFonts w:hint="eastAsia" w:ascii="宋体" w:hAnsi="宋体"/>
          <w:bCs/>
          <w:kern w:val="0"/>
        </w:rPr>
        <w:t>代理人无转移委托权。</w:t>
      </w:r>
    </w:p>
    <w:p>
      <w:pPr>
        <w:spacing w:line="560" w:lineRule="exact"/>
        <w:ind w:firstLine="420" w:firstLineChars="200"/>
        <w:rPr>
          <w:rFonts w:ascii="宋体" w:hAnsi="宋体"/>
          <w:bCs/>
          <w:kern w:val="0"/>
        </w:rPr>
      </w:pPr>
      <w:r>
        <w:rPr>
          <w:rFonts w:hint="eastAsia" w:ascii="宋体" w:hAnsi="宋体"/>
          <w:bCs/>
          <w:kern w:val="0"/>
        </w:rPr>
        <w:t>特此委托。</w:t>
      </w:r>
    </w:p>
    <w:p>
      <w:pPr>
        <w:autoSpaceDE w:val="0"/>
        <w:autoSpaceDN w:val="0"/>
        <w:adjustRightInd w:val="0"/>
        <w:snapToGrid w:val="0"/>
        <w:spacing w:line="440" w:lineRule="exact"/>
        <w:ind w:firstLine="600"/>
        <w:jc w:val="left"/>
        <w:rPr>
          <w:rFonts w:ascii="宋体" w:hAnsi="宋体"/>
          <w:bCs/>
          <w:kern w:val="0"/>
        </w:rPr>
      </w:pPr>
    </w:p>
    <w:p>
      <w:pPr>
        <w:spacing w:line="560" w:lineRule="exact"/>
        <w:ind w:firstLine="420" w:firstLineChars="200"/>
        <w:rPr>
          <w:rFonts w:ascii="宋体" w:hAnsi="宋体"/>
          <w:bCs/>
          <w:kern w:val="0"/>
          <w:u w:val="single"/>
        </w:rPr>
      </w:pPr>
      <w:r>
        <w:rPr>
          <w:rFonts w:hint="eastAsia" w:ascii="宋体" w:hAnsi="宋体"/>
          <w:bCs/>
          <w:kern w:val="0"/>
        </w:rPr>
        <w:t>代理人：    性别：   年龄：   职务：</w:t>
      </w:r>
    </w:p>
    <w:p>
      <w:pPr>
        <w:spacing w:line="560" w:lineRule="exact"/>
        <w:ind w:firstLine="420" w:firstLineChars="200"/>
        <w:rPr>
          <w:rFonts w:ascii="宋体" w:hAnsi="宋体"/>
          <w:bCs/>
          <w:kern w:val="0"/>
          <w:u w:val="single"/>
        </w:rPr>
      </w:pPr>
      <w:r>
        <w:rPr>
          <w:rFonts w:hint="eastAsia" w:ascii="宋体" w:hAnsi="宋体"/>
          <w:bCs/>
          <w:kern w:val="0"/>
        </w:rPr>
        <w:t>投标人：</w:t>
      </w:r>
      <w:r>
        <w:rPr>
          <w:rFonts w:hint="eastAsia" w:ascii="宋体" w:hAnsi="宋体"/>
          <w:bCs/>
          <w:kern w:val="0"/>
          <w:u w:val="single"/>
        </w:rPr>
        <w:t xml:space="preserve">          （名称并加盖公章）                                         </w:t>
      </w:r>
    </w:p>
    <w:p>
      <w:pPr>
        <w:spacing w:line="560" w:lineRule="exact"/>
        <w:ind w:firstLine="420" w:firstLineChars="200"/>
        <w:rPr>
          <w:rFonts w:ascii="宋体" w:hAnsi="宋体"/>
          <w:bCs/>
          <w:kern w:val="0"/>
          <w:u w:val="single"/>
        </w:rPr>
      </w:pPr>
      <w:r>
        <w:rPr>
          <w:rFonts w:hint="eastAsia" w:ascii="宋体" w:hAnsi="宋体"/>
          <w:bCs/>
          <w:kern w:val="0"/>
        </w:rPr>
        <w:t>法定代表人：</w:t>
      </w:r>
      <w:r>
        <w:rPr>
          <w:rFonts w:hint="eastAsia" w:ascii="宋体" w:hAnsi="宋体"/>
          <w:bCs/>
          <w:kern w:val="0"/>
          <w:u w:val="single"/>
        </w:rPr>
        <w:t xml:space="preserve">    （签字）         </w:t>
      </w:r>
    </w:p>
    <w:p>
      <w:pPr>
        <w:spacing w:line="560" w:lineRule="exact"/>
        <w:ind w:firstLine="420" w:firstLineChars="200"/>
        <w:rPr>
          <w:rFonts w:ascii="宋体" w:hAnsi="宋体"/>
        </w:rPr>
      </w:pPr>
      <w:r>
        <w:rPr>
          <w:rFonts w:hint="eastAsia" w:ascii="宋体" w:hAnsi="宋体"/>
        </w:rPr>
        <w:t>签发日期：  有效日期至：年月日</w:t>
      </w:r>
    </w:p>
    <w:p>
      <w:pPr>
        <w:autoSpaceDE w:val="0"/>
        <w:autoSpaceDN w:val="0"/>
        <w:adjustRightInd w:val="0"/>
        <w:snapToGrid w:val="0"/>
        <w:spacing w:line="360" w:lineRule="auto"/>
        <w:ind w:firstLine="630"/>
        <w:rPr>
          <w:rFonts w:ascii="宋体" w:hAnsi="宋体"/>
          <w:bCs/>
          <w:kern w:val="0"/>
        </w:rPr>
      </w:pPr>
    </w:p>
    <w:p>
      <w:pPr>
        <w:rPr>
          <w:rFonts w:ascii="宋体" w:hAnsi="宋体"/>
          <w:b/>
          <w:szCs w:val="21"/>
        </w:rPr>
      </w:pPr>
      <w:r>
        <w:rPr>
          <w:rFonts w:hint="eastAsia" w:ascii="宋体" w:hAnsi="宋体"/>
          <w:b/>
          <w:szCs w:val="21"/>
        </w:rPr>
        <w:t>（注：必须同时提供</w:t>
      </w:r>
      <w:r>
        <w:rPr>
          <w:rFonts w:hint="eastAsia" w:ascii="宋体"/>
          <w:b/>
          <w:bCs/>
          <w:szCs w:val="21"/>
        </w:rPr>
        <w:t>授权人近3个月内任意1个月社保凭证，</w:t>
      </w:r>
      <w:r>
        <w:rPr>
          <w:rFonts w:hint="eastAsia" w:ascii="宋体" w:hAnsi="宋体"/>
          <w:b/>
          <w:szCs w:val="21"/>
        </w:rPr>
        <w:t>投标人的投标文件为法定代表人签署并由法定代表人亲自递交投标文件和参加开标会的，不须提供该委托书，但需提供法定代表人证明书及法定代表人的身份证复印件。）</w:t>
      </w:r>
    </w:p>
    <w:p/>
    <w:p/>
    <w:p>
      <w:r>
        <w:pict>
          <v:shape id="_x0000_s2050" o:spid="_x0000_s2050" o:spt="176" type="#_x0000_t176" style="position:absolute;left:0pt;margin-left:99.75pt;margin-top:-0.05pt;height:137.65pt;width:275.8pt;z-index:251679744;mso-width-relative:page;mso-height-relative:page;" coordsize="21600,21600" o:gfxdata="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PYCpDXAAAACQEAAA8AAAAAAAAAAQAgAAAAIgAAAGRycy9kb3ducmV2LnhtbFBLAQIUABQA&#10;AAAIAIdO4kDYAO8aKgIAAFAEAAAOAAAAAAAAAAEAIAAAACYBAABkcnMvZTJvRG9jLnhtbFBLBQYA&#10;AAAABgAGAFkBAADCBQAAAAA=&#10;">
            <v:path/>
            <v:fill focussize="0,0"/>
            <v:stroke joinstyle="miter"/>
            <v:imagedata o:title=""/>
            <o:lock v:ext="edit"/>
            <v:textbox>
              <w:txbxContent>
                <w:p/>
                <w:p/>
                <w:p/>
                <w:p>
                  <w:pPr>
                    <w:jc w:val="center"/>
                  </w:pPr>
                  <w:r>
                    <w:rPr>
                      <w:rFonts w:hint="eastAsia"/>
                    </w:rPr>
                    <w:t>代理人身份证复印件</w:t>
                  </w:r>
                </w:p>
              </w:txbxContent>
            </v:textbox>
          </v:shape>
        </w:pict>
      </w:r>
    </w:p>
    <w:p/>
    <w:p/>
    <w:p/>
    <w:p>
      <w:pPr>
        <w:pStyle w:val="3"/>
        <w:sectPr>
          <w:footerReference r:id="rId20" w:type="first"/>
          <w:footerReference r:id="rId19" w:type="default"/>
          <w:pgSz w:w="11906" w:h="16838"/>
          <w:pgMar w:top="1418" w:right="1474" w:bottom="1418" w:left="1474" w:header="851" w:footer="851" w:gutter="0"/>
          <w:cols w:space="720" w:num="1"/>
          <w:titlePg/>
          <w:docGrid w:linePitch="312" w:charSpace="0"/>
        </w:sectPr>
      </w:pPr>
    </w:p>
    <w:p>
      <w:pPr>
        <w:pStyle w:val="5"/>
        <w:jc w:val="center"/>
        <w:rPr>
          <w:rFonts w:cs="宋体"/>
        </w:rPr>
      </w:pPr>
      <w:bookmarkStart w:id="147" w:name="_Toc3480"/>
      <w:bookmarkStart w:id="148" w:name="_Toc16714"/>
      <w:r>
        <w:rPr>
          <w:rFonts w:hint="eastAsia" w:cs="宋体"/>
        </w:rPr>
        <w:t>附件一：投标函</w:t>
      </w:r>
      <w:bookmarkEnd w:id="147"/>
      <w:bookmarkEnd w:id="148"/>
    </w:p>
    <w:p>
      <w:pPr>
        <w:widowControl/>
        <w:spacing w:line="400" w:lineRule="exact"/>
        <w:jc w:val="left"/>
        <w:rPr>
          <w:rFonts w:ascii="宋体" w:hAnsi="宋体" w:cs="宋体"/>
          <w:b/>
          <w:kern w:val="0"/>
          <w:sz w:val="24"/>
          <w:u w:val="single"/>
        </w:rPr>
      </w:pPr>
      <w:r>
        <w:rPr>
          <w:rFonts w:ascii="宋体" w:hAnsi="宋体"/>
          <w:b/>
          <w:bCs/>
        </w:rPr>
        <w:t>致</w:t>
      </w:r>
      <w:r>
        <w:rPr>
          <w:rFonts w:ascii="宋体" w:hAnsi="宋体"/>
          <w:b/>
          <w:bCs/>
          <w:u w:val="single"/>
        </w:rPr>
        <w:t>（</w:t>
      </w:r>
      <w:r>
        <w:rPr>
          <w:rFonts w:hint="eastAsia" w:ascii="宋体" w:hAnsi="宋体"/>
          <w:b/>
          <w:bCs/>
          <w:u w:val="single"/>
        </w:rPr>
        <w:t>招标人名称</w:t>
      </w:r>
      <w:r>
        <w:rPr>
          <w:rFonts w:ascii="宋体" w:hAnsi="宋体"/>
          <w:b/>
          <w:bCs/>
          <w:u w:val="single"/>
        </w:rPr>
        <w:t>）            </w:t>
      </w:r>
      <w:r>
        <w:rPr>
          <w:rFonts w:ascii="宋体" w:hAnsi="宋体" w:cs="宋体"/>
          <w:b/>
          <w:kern w:val="0"/>
          <w:sz w:val="24"/>
        </w:rPr>
        <w:t xml:space="preserve">： </w:t>
      </w:r>
    </w:p>
    <w:p>
      <w:pPr>
        <w:adjustRightInd w:val="0"/>
        <w:snapToGrid w:val="0"/>
        <w:spacing w:line="400" w:lineRule="exact"/>
        <w:ind w:firstLine="420"/>
        <w:rPr>
          <w:rFonts w:ascii="宋体" w:hAnsi="宋体"/>
          <w:b/>
          <w:bCs/>
        </w:rPr>
      </w:pPr>
      <w:r>
        <w:rPr>
          <w:rFonts w:hint="eastAsia" w:ascii="宋体" w:hAnsi="宋体"/>
          <w:b/>
          <w:bCs/>
        </w:rPr>
        <w:t>根据贵方就</w:t>
      </w:r>
      <w:r>
        <w:rPr>
          <w:rFonts w:hint="eastAsia" w:hAnsi="宋体" w:cs="宋体"/>
          <w:b/>
          <w:szCs w:val="21"/>
          <w:u w:val="single"/>
        </w:rPr>
        <w:t>项目名称</w:t>
      </w:r>
      <w:r>
        <w:rPr>
          <w:rFonts w:hint="eastAsia" w:ascii="宋体" w:hAnsi="宋体" w:cs="宋体"/>
          <w:b/>
          <w:szCs w:val="21"/>
          <w:u w:val="single"/>
        </w:rPr>
        <w:t xml:space="preserve">，由投标人填写    </w:t>
      </w:r>
      <w:r>
        <w:rPr>
          <w:rFonts w:hint="eastAsia" w:ascii="宋体" w:hAnsi="宋体"/>
          <w:b/>
          <w:bCs/>
        </w:rPr>
        <w:t>的投标邀请（项目编号:），我方正式响应投标并提交投标文件份正本和份副本，</w:t>
      </w:r>
      <w:r>
        <w:rPr>
          <w:rFonts w:hint="eastAsia" w:ascii="宋体" w:hAnsi="宋体"/>
          <w:b/>
          <w:kern w:val="0"/>
          <w:szCs w:val="21"/>
        </w:rPr>
        <w:t>电子文件份</w:t>
      </w:r>
      <w:r>
        <w:rPr>
          <w:rFonts w:hint="eastAsia" w:ascii="宋体" w:hAnsi="宋体"/>
          <w:b/>
          <w:bCs/>
        </w:rPr>
        <w:t>。</w:t>
      </w:r>
    </w:p>
    <w:p>
      <w:pPr>
        <w:widowControl/>
        <w:tabs>
          <w:tab w:val="left" w:pos="840"/>
        </w:tabs>
        <w:adjustRightInd w:val="0"/>
        <w:snapToGrid w:val="0"/>
        <w:rPr>
          <w:rFonts w:ascii="宋体" w:hAnsi="宋体"/>
          <w:b/>
          <w:bCs/>
        </w:rPr>
      </w:pPr>
    </w:p>
    <w:p>
      <w:pPr>
        <w:widowControl/>
        <w:tabs>
          <w:tab w:val="left" w:pos="502"/>
        </w:tabs>
        <w:adjustRightInd w:val="0"/>
        <w:snapToGrid w:val="0"/>
        <w:spacing w:line="360" w:lineRule="auto"/>
        <w:ind w:left="374" w:leftChars="177" w:hanging="2" w:hangingChars="1"/>
        <w:rPr>
          <w:rFonts w:ascii="宋体" w:hAnsi="宋体"/>
          <w:b/>
          <w:bCs/>
        </w:rPr>
      </w:pPr>
      <w:r>
        <w:rPr>
          <w:rFonts w:hint="eastAsia" w:ascii="宋体" w:hAnsi="宋体"/>
          <w:b/>
          <w:bCs/>
        </w:rPr>
        <w:t>据此函，签字代表宣布同意如下：</w:t>
      </w:r>
    </w:p>
    <w:p>
      <w:pPr>
        <w:widowControl/>
        <w:numPr>
          <w:ilvl w:val="0"/>
          <w:numId w:val="17"/>
        </w:numPr>
        <w:tabs>
          <w:tab w:val="left" w:pos="840"/>
        </w:tabs>
        <w:adjustRightInd w:val="0"/>
        <w:snapToGrid w:val="0"/>
        <w:spacing w:line="360" w:lineRule="auto"/>
        <w:ind w:left="840" w:hanging="420"/>
        <w:rPr>
          <w:rFonts w:ascii="宋体" w:hAnsi="宋体"/>
          <w:bCs/>
        </w:rPr>
      </w:pPr>
      <w:r>
        <w:rPr>
          <w:rFonts w:hint="eastAsia" w:ascii="宋体" w:hAnsi="宋体"/>
        </w:rPr>
        <w:t>所附投标价格表中规定的应提交和交付的投标报价为：</w:t>
      </w:r>
      <w:r>
        <w:rPr>
          <w:rFonts w:hint="eastAsia" w:ascii="宋体" w:hAnsi="宋体"/>
          <w:u w:val="single"/>
        </w:rPr>
        <w:t xml:space="preserve"> （用文字和数字表示的投标</w:t>
      </w:r>
      <w:r>
        <w:rPr>
          <w:rFonts w:hint="eastAsia" w:ascii="宋体" w:hAnsi="宋体"/>
          <w:bCs/>
          <w:u w:val="single"/>
        </w:rPr>
        <w:t>报价</w:t>
      </w:r>
      <w:r>
        <w:rPr>
          <w:rFonts w:hint="eastAsia" w:ascii="宋体" w:hAnsi="宋体"/>
          <w:u w:val="single"/>
        </w:rPr>
        <w:t xml:space="preserve">） </w:t>
      </w:r>
      <w:r>
        <w:rPr>
          <w:rFonts w:hint="eastAsia" w:ascii="宋体" w:hAnsi="宋体"/>
        </w:rPr>
        <w:t>。</w:t>
      </w:r>
    </w:p>
    <w:p>
      <w:pPr>
        <w:widowControl/>
        <w:numPr>
          <w:ilvl w:val="0"/>
          <w:numId w:val="17"/>
        </w:numPr>
        <w:tabs>
          <w:tab w:val="left" w:pos="840"/>
        </w:tabs>
        <w:adjustRightInd w:val="0"/>
        <w:snapToGrid w:val="0"/>
        <w:spacing w:line="360" w:lineRule="auto"/>
        <w:ind w:left="840" w:hanging="420"/>
        <w:rPr>
          <w:rFonts w:ascii="宋体" w:hAnsi="宋体"/>
          <w:bCs/>
        </w:rPr>
      </w:pPr>
      <w:r>
        <w:rPr>
          <w:rFonts w:hint="eastAsia" w:ascii="宋体" w:hAnsi="宋体" w:cs="Tahoma"/>
        </w:rPr>
        <w:t>为采购项目提供整体设计、规范编制或者项目管理、监理、检测等服务的供应商及其附属机构，不得再参加同一采购项目的其他采购活动。</w:t>
      </w:r>
    </w:p>
    <w:p>
      <w:pPr>
        <w:widowControl/>
        <w:numPr>
          <w:ilvl w:val="0"/>
          <w:numId w:val="17"/>
        </w:numPr>
        <w:tabs>
          <w:tab w:val="left" w:pos="840"/>
        </w:tabs>
        <w:adjustRightInd w:val="0"/>
        <w:snapToGrid w:val="0"/>
        <w:spacing w:line="360" w:lineRule="auto"/>
        <w:ind w:left="840" w:hanging="420"/>
        <w:rPr>
          <w:rFonts w:ascii="宋体" w:hAnsi="宋体"/>
          <w:bCs/>
        </w:rPr>
      </w:pPr>
      <w:r>
        <w:rPr>
          <w:rFonts w:hint="eastAsia" w:ascii="宋体" w:hAnsi="宋体" w:cs="Tahoma"/>
        </w:rPr>
        <w:t>单位负责人为同一人或者存在直接控股、管理关系的不同供应商，不得参加同一合同项下的政府采购活动。</w:t>
      </w:r>
    </w:p>
    <w:p>
      <w:pPr>
        <w:widowControl/>
        <w:numPr>
          <w:ilvl w:val="0"/>
          <w:numId w:val="17"/>
        </w:numPr>
        <w:tabs>
          <w:tab w:val="left" w:pos="840"/>
        </w:tabs>
        <w:adjustRightInd w:val="0"/>
        <w:snapToGrid w:val="0"/>
        <w:spacing w:line="360" w:lineRule="auto"/>
        <w:ind w:left="840" w:hanging="420"/>
        <w:rPr>
          <w:rFonts w:ascii="宋体" w:hAnsi="宋体"/>
          <w:bCs/>
        </w:rPr>
      </w:pPr>
      <w:r>
        <w:rPr>
          <w:rFonts w:hint="eastAsia" w:ascii="宋体" w:hAnsi="宋体"/>
          <w:bCs/>
        </w:rPr>
        <w:t>本次投标所报内容完全按照招标文件要求填报，所有内容都是真实、准确的。</w:t>
      </w:r>
    </w:p>
    <w:p>
      <w:pPr>
        <w:widowControl/>
        <w:numPr>
          <w:ilvl w:val="0"/>
          <w:numId w:val="17"/>
        </w:numPr>
        <w:tabs>
          <w:tab w:val="left" w:pos="840"/>
        </w:tabs>
        <w:adjustRightInd w:val="0"/>
        <w:snapToGrid w:val="0"/>
        <w:spacing w:line="360" w:lineRule="auto"/>
        <w:ind w:left="840" w:hanging="420"/>
        <w:rPr>
          <w:rFonts w:ascii="宋体" w:hAnsi="宋体"/>
          <w:bCs/>
        </w:rPr>
      </w:pPr>
      <w:r>
        <w:rPr>
          <w:rFonts w:hint="eastAsia" w:ascii="宋体" w:hAnsi="宋体"/>
          <w:bCs/>
        </w:rPr>
        <w:t>投标人将按招标文件的规定履行全部合同责任和义务。</w:t>
      </w:r>
    </w:p>
    <w:p>
      <w:pPr>
        <w:widowControl/>
        <w:numPr>
          <w:ilvl w:val="0"/>
          <w:numId w:val="17"/>
        </w:numPr>
        <w:tabs>
          <w:tab w:val="left" w:pos="840"/>
        </w:tabs>
        <w:adjustRightInd w:val="0"/>
        <w:snapToGrid w:val="0"/>
        <w:spacing w:line="360" w:lineRule="auto"/>
        <w:ind w:left="840" w:hanging="420"/>
        <w:rPr>
          <w:rFonts w:ascii="宋体" w:hAnsi="宋体"/>
          <w:bCs/>
        </w:rPr>
      </w:pPr>
      <w:r>
        <w:rPr>
          <w:rFonts w:hint="eastAsia" w:ascii="宋体" w:hAnsi="宋体"/>
          <w:bCs/>
        </w:rPr>
        <w:t>投标人已详细审查全部招标文件，包括修改文件（如有的话）以及全部参考资料和有关附件。我们完全理解并同意放弃对这方面有不明及误解的权利。</w:t>
      </w:r>
    </w:p>
    <w:p>
      <w:pPr>
        <w:widowControl/>
        <w:numPr>
          <w:ilvl w:val="0"/>
          <w:numId w:val="17"/>
        </w:numPr>
        <w:tabs>
          <w:tab w:val="left" w:pos="840"/>
        </w:tabs>
        <w:adjustRightInd w:val="0"/>
        <w:snapToGrid w:val="0"/>
        <w:spacing w:line="360" w:lineRule="auto"/>
        <w:ind w:left="840" w:hanging="420"/>
        <w:rPr>
          <w:rFonts w:ascii="宋体" w:hAnsi="宋体"/>
          <w:bCs/>
        </w:rPr>
      </w:pPr>
      <w:r>
        <w:rPr>
          <w:rFonts w:hint="eastAsia" w:ascii="宋体" w:hAnsi="宋体"/>
          <w:bCs/>
        </w:rPr>
        <w:t>本次投标自开标日起有效期为90天。</w:t>
      </w:r>
    </w:p>
    <w:p>
      <w:pPr>
        <w:widowControl/>
        <w:numPr>
          <w:ilvl w:val="0"/>
          <w:numId w:val="17"/>
        </w:numPr>
        <w:tabs>
          <w:tab w:val="left" w:pos="840"/>
        </w:tabs>
        <w:adjustRightInd w:val="0"/>
        <w:snapToGrid w:val="0"/>
        <w:spacing w:line="360" w:lineRule="auto"/>
        <w:ind w:left="840" w:hanging="420"/>
        <w:rPr>
          <w:rFonts w:ascii="宋体" w:hAnsi="宋体"/>
          <w:bCs/>
        </w:rPr>
      </w:pPr>
      <w:r>
        <w:rPr>
          <w:rFonts w:hint="eastAsia" w:ascii="宋体" w:hAnsi="宋体"/>
          <w:bCs/>
        </w:rPr>
        <w:t>投标人同意提供按照贵方可能要求与其投标有关的一切数据或资料，完全理解贵方不一定接受最低价的投标或收到的任何投标。</w:t>
      </w:r>
    </w:p>
    <w:p>
      <w:pPr>
        <w:widowControl/>
        <w:numPr>
          <w:ilvl w:val="0"/>
          <w:numId w:val="17"/>
        </w:numPr>
        <w:tabs>
          <w:tab w:val="left" w:pos="840"/>
        </w:tabs>
        <w:adjustRightInd w:val="0"/>
        <w:snapToGrid w:val="0"/>
        <w:spacing w:line="360" w:lineRule="auto"/>
        <w:ind w:left="840" w:hanging="420"/>
        <w:rPr>
          <w:rFonts w:ascii="宋体" w:hAnsi="宋体"/>
          <w:bCs/>
        </w:rPr>
      </w:pPr>
      <w:r>
        <w:rPr>
          <w:rFonts w:hint="eastAsia" w:ascii="宋体" w:hAnsi="宋体"/>
          <w:bCs/>
        </w:rPr>
        <w:t>与本投标有关的一切正式往来通讯请寄至投标文件封面指定地址、联系方式。</w:t>
      </w:r>
    </w:p>
    <w:p>
      <w:pPr>
        <w:adjustRightInd w:val="0"/>
        <w:snapToGrid w:val="0"/>
        <w:spacing w:line="400" w:lineRule="exact"/>
        <w:rPr>
          <w:rFonts w:ascii="宋体" w:hAnsi="宋体"/>
          <w:bCs/>
        </w:rPr>
      </w:pPr>
    </w:p>
    <w:p>
      <w:pPr>
        <w:adjustRightInd w:val="0"/>
        <w:snapToGrid w:val="0"/>
        <w:spacing w:line="400" w:lineRule="exact"/>
        <w:rPr>
          <w:rFonts w:ascii="宋体" w:hAnsi="宋体"/>
          <w:bCs/>
        </w:rPr>
      </w:pPr>
    </w:p>
    <w:p>
      <w:pPr>
        <w:adjustRightInd w:val="0"/>
        <w:snapToGrid w:val="0"/>
        <w:spacing w:line="400" w:lineRule="exact"/>
        <w:rPr>
          <w:rFonts w:ascii="宋体" w:hAnsi="宋体"/>
          <w:bCs/>
        </w:rPr>
      </w:pPr>
    </w:p>
    <w:p>
      <w:pPr>
        <w:adjustRightInd w:val="0"/>
        <w:snapToGrid w:val="0"/>
        <w:spacing w:line="400" w:lineRule="exact"/>
        <w:rPr>
          <w:rFonts w:ascii="宋体" w:hAnsi="宋体"/>
          <w:bCs/>
        </w:rPr>
      </w:pPr>
    </w:p>
    <w:p>
      <w:pPr>
        <w:adjustRightInd w:val="0"/>
        <w:snapToGrid w:val="0"/>
        <w:spacing w:line="400" w:lineRule="exact"/>
        <w:rPr>
          <w:rFonts w:ascii="宋体" w:hAnsi="宋体"/>
          <w:bCs/>
        </w:rPr>
      </w:pPr>
    </w:p>
    <w:p>
      <w:pPr>
        <w:adjustRightInd w:val="0"/>
        <w:snapToGrid w:val="0"/>
        <w:spacing w:line="360" w:lineRule="auto"/>
        <w:rPr>
          <w:rFonts w:ascii="宋体" w:hAnsi="宋体"/>
          <w:bCs/>
        </w:rPr>
      </w:pPr>
      <w:r>
        <w:rPr>
          <w:rFonts w:hint="eastAsia" w:ascii="宋体" w:hAnsi="宋体"/>
          <w:bCs/>
        </w:rPr>
        <w:t>投标人法定代表人（负责人）或授权代理人（签字）：</w:t>
      </w:r>
    </w:p>
    <w:p>
      <w:pPr>
        <w:adjustRightInd w:val="0"/>
        <w:snapToGrid w:val="0"/>
        <w:spacing w:line="360" w:lineRule="auto"/>
        <w:rPr>
          <w:rFonts w:ascii="宋体" w:hAnsi="宋体"/>
          <w:bCs/>
          <w:u w:val="single"/>
        </w:rPr>
      </w:pPr>
      <w:r>
        <w:rPr>
          <w:rFonts w:hint="eastAsia" w:ascii="宋体" w:hAnsi="宋体"/>
          <w:bCs/>
        </w:rPr>
        <w:t>投标人名称（公章）：</w:t>
      </w:r>
    </w:p>
    <w:p>
      <w:pPr>
        <w:adjustRightInd w:val="0"/>
        <w:snapToGrid w:val="0"/>
        <w:spacing w:line="400" w:lineRule="exact"/>
        <w:rPr>
          <w:rFonts w:ascii="宋体" w:hAnsi="宋体"/>
          <w:bCs/>
        </w:rPr>
      </w:pPr>
      <w:r>
        <w:rPr>
          <w:rFonts w:hint="eastAsia" w:ascii="宋体" w:hAnsi="宋体"/>
          <w:bCs/>
          <w:szCs w:val="21"/>
        </w:rPr>
        <w:t>日期： 年月 日</w:t>
      </w:r>
    </w:p>
    <w:p>
      <w:pPr>
        <w:pStyle w:val="10"/>
        <w:spacing w:line="400" w:lineRule="exact"/>
        <w:rPr>
          <w:rFonts w:hAnsi="宋体"/>
        </w:rPr>
      </w:pPr>
      <w:r>
        <w:rPr>
          <w:rFonts w:hint="eastAsia" w:hAnsi="宋体"/>
        </w:rPr>
        <w:t>注：本投标函为投标人响应本次招标项目的郑重承诺，投标人不得改动且必须满足。</w:t>
      </w:r>
    </w:p>
    <w:p>
      <w:pPr>
        <w:adjustRightInd w:val="0"/>
        <w:snapToGrid w:val="0"/>
        <w:spacing w:line="360" w:lineRule="auto"/>
        <w:rPr>
          <w:rFonts w:ascii="宋体" w:cs="宋体"/>
        </w:rPr>
      </w:pPr>
      <w:r>
        <w:rPr>
          <w:rFonts w:hint="eastAsia" w:ascii="宋体" w:cs="宋体"/>
        </w:rPr>
        <w:br w:type="page"/>
      </w:r>
      <w:bookmarkStart w:id="149" w:name="_Hlt16935467"/>
      <w:bookmarkEnd w:id="149"/>
      <w:bookmarkStart w:id="150" w:name="_Toc28691"/>
      <w:bookmarkStart w:id="151" w:name="_Toc408126488"/>
      <w:bookmarkStart w:id="152" w:name="_Toc366072551"/>
      <w:bookmarkStart w:id="153" w:name="_Toc333238656"/>
      <w:bookmarkStart w:id="154" w:name="_Toc339362322"/>
      <w:bookmarkStart w:id="155" w:name="_Toc332206731"/>
      <w:bookmarkStart w:id="156" w:name="_Toc350756472"/>
      <w:bookmarkStart w:id="157" w:name="_Toc16449"/>
      <w:bookmarkStart w:id="158" w:name="_Toc339441109"/>
      <w:bookmarkStart w:id="159" w:name="_Toc339020255"/>
      <w:bookmarkStart w:id="160" w:name="_Toc78816017"/>
      <w:bookmarkStart w:id="161" w:name="_Toc340507464"/>
      <w:bookmarkStart w:id="162" w:name="_Toc9163"/>
      <w:bookmarkStart w:id="163" w:name="_Toc20625"/>
      <w:bookmarkStart w:id="164" w:name="_Toc8756"/>
      <w:bookmarkStart w:id="165" w:name="_Toc341348362"/>
      <w:bookmarkStart w:id="166" w:name="_Toc336681602"/>
      <w:bookmarkStart w:id="167" w:name="_Toc345312619"/>
      <w:bookmarkStart w:id="168" w:name="_Toc332270369"/>
      <w:bookmarkStart w:id="169" w:name="_Toc365967094"/>
      <w:bookmarkStart w:id="170" w:name="_Toc2649"/>
      <w:bookmarkStart w:id="171" w:name="_Toc333935368"/>
      <w:bookmarkStart w:id="172" w:name="_Toc342312465"/>
      <w:bookmarkStart w:id="173" w:name="_Toc343248440"/>
      <w:bookmarkStart w:id="174" w:name="_Toc333237811"/>
      <w:bookmarkStart w:id="175" w:name="_Toc365985200"/>
      <w:bookmarkStart w:id="176" w:name="_Toc343247122"/>
      <w:bookmarkStart w:id="177" w:name="_Toc350438771"/>
      <w:bookmarkStart w:id="178" w:name="_Toc333935709"/>
      <w:bookmarkStart w:id="179" w:name="_Toc331684064"/>
      <w:bookmarkStart w:id="180" w:name="_Toc342296783"/>
      <w:bookmarkStart w:id="181" w:name="_Toc331512923"/>
      <w:bookmarkStart w:id="182" w:name="_Toc339020117"/>
      <w:bookmarkStart w:id="183" w:name="_Toc342398152"/>
      <w:bookmarkStart w:id="184" w:name="_Toc6885"/>
      <w:bookmarkStart w:id="185" w:name="_Toc343612942"/>
      <w:bookmarkStart w:id="186" w:name="_Toc336681957"/>
      <w:bookmarkStart w:id="187" w:name="_Toc26679"/>
      <w:bookmarkStart w:id="188" w:name="_Toc340672891"/>
      <w:bookmarkStart w:id="189" w:name="_Toc342060397"/>
      <w:bookmarkStart w:id="190" w:name="_Toc340677092"/>
      <w:bookmarkStart w:id="191" w:name="_Toc536740442"/>
      <w:bookmarkStart w:id="192" w:name="_Toc339019911"/>
      <w:bookmarkStart w:id="193" w:name="_Toc339020037"/>
      <w:bookmarkStart w:id="194" w:name="_Toc337632380"/>
      <w:bookmarkStart w:id="195" w:name="_Toc333237700"/>
      <w:bookmarkStart w:id="196" w:name="_Toc330460008"/>
    </w:p>
    <w:p>
      <w:pPr>
        <w:pStyle w:val="10"/>
        <w:spacing w:line="360" w:lineRule="auto"/>
        <w:outlineLvl w:val="0"/>
        <w:rPr>
          <w:rFonts w:cs="宋体"/>
          <w:b/>
          <w:bCs/>
          <w:sz w:val="28"/>
          <w:szCs w:val="28"/>
        </w:rPr>
      </w:pPr>
      <w:bookmarkStart w:id="197" w:name="_Toc26446"/>
      <w:r>
        <w:rPr>
          <w:rFonts w:hint="eastAsia" w:cs="宋体"/>
          <w:b/>
          <w:bCs/>
          <w:sz w:val="28"/>
          <w:szCs w:val="28"/>
        </w:rPr>
        <w:t>附件二：投标一览表</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adjustRightInd w:val="0"/>
        <w:snapToGrid w:val="0"/>
        <w:spacing w:line="360" w:lineRule="auto"/>
        <w:jc w:val="left"/>
        <w:rPr>
          <w:szCs w:val="18"/>
        </w:rPr>
      </w:pPr>
      <w:r>
        <w:rPr>
          <w:rFonts w:hint="eastAsia" w:ascii="宋体" w:hAnsi="宋体"/>
          <w:bCs/>
        </w:rPr>
        <w:t>项目编号:</w:t>
      </w:r>
      <w:r>
        <w:rPr>
          <w:rFonts w:hint="eastAsia" w:ascii="宋体" w:hAnsi="宋体"/>
          <w:b/>
          <w:bCs/>
          <w:u w:val="single"/>
        </w:rPr>
        <w:t>YJGD-20231017-011</w:t>
      </w:r>
    </w:p>
    <w:p>
      <w:pPr>
        <w:adjustRightInd w:val="0"/>
        <w:snapToGrid w:val="0"/>
        <w:spacing w:line="360" w:lineRule="auto"/>
        <w:ind w:left="1050" w:hanging="1050" w:hangingChars="500"/>
        <w:jc w:val="left"/>
        <w:rPr>
          <w:rFonts w:ascii="宋体" w:hAnsi="宋体"/>
          <w:b/>
          <w:bCs/>
          <w:caps/>
        </w:rPr>
      </w:pPr>
      <w:r>
        <w:rPr>
          <w:rFonts w:hint="eastAsia" w:ascii="宋体" w:hAnsi="宋体"/>
          <w:bCs/>
        </w:rPr>
        <w:t>项目名称：</w:t>
      </w:r>
      <w:r>
        <w:rPr>
          <w:rFonts w:hint="eastAsia"/>
          <w:szCs w:val="21"/>
          <w:u w:val="single"/>
        </w:rPr>
        <w:t>国家税务总局阳江高新技术产业开发区税务局物业管理服务项目</w:t>
      </w:r>
    </w:p>
    <w:p>
      <w:pPr>
        <w:adjustRightInd w:val="0"/>
        <w:snapToGrid w:val="0"/>
        <w:spacing w:line="360" w:lineRule="auto"/>
        <w:ind w:left="1050" w:hanging="1050" w:hangingChars="500"/>
        <w:jc w:val="left"/>
        <w:rPr>
          <w:rFonts w:ascii="宋体" w:hAnsi="宋体" w:cs="宋体"/>
          <w:szCs w:val="21"/>
          <w:u w:val="single"/>
        </w:rPr>
      </w:pPr>
    </w:p>
    <w:tbl>
      <w:tblPr>
        <w:tblStyle w:val="21"/>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408"/>
        <w:gridCol w:w="3942"/>
        <w:gridCol w:w="1375"/>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179" w:type="dxa"/>
            <w:vAlign w:val="center"/>
          </w:tcPr>
          <w:p>
            <w:pPr>
              <w:spacing w:line="360" w:lineRule="auto"/>
              <w:jc w:val="center"/>
              <w:rPr>
                <w:rFonts w:ascii="宋体" w:hAnsi="宋体" w:cs="宋体"/>
                <w:bCs/>
              </w:rPr>
            </w:pPr>
            <w:r>
              <w:rPr>
                <w:rFonts w:hint="eastAsia" w:ascii="宋体" w:hAnsi="宋体" w:cs="宋体"/>
                <w:bCs/>
              </w:rPr>
              <w:t>项目编号</w:t>
            </w:r>
          </w:p>
        </w:tc>
        <w:tc>
          <w:tcPr>
            <w:tcW w:w="2408" w:type="dxa"/>
            <w:vAlign w:val="center"/>
          </w:tcPr>
          <w:p>
            <w:pPr>
              <w:spacing w:line="360" w:lineRule="auto"/>
              <w:jc w:val="center"/>
              <w:rPr>
                <w:rFonts w:ascii="宋体" w:hAnsi="宋体" w:cs="宋体"/>
                <w:bCs/>
              </w:rPr>
            </w:pPr>
            <w:r>
              <w:rPr>
                <w:rFonts w:hint="eastAsia" w:ascii="宋体" w:hAnsi="宋体" w:cs="宋体"/>
                <w:bCs/>
              </w:rPr>
              <w:t>项目名称</w:t>
            </w:r>
          </w:p>
        </w:tc>
        <w:tc>
          <w:tcPr>
            <w:tcW w:w="3942" w:type="dxa"/>
            <w:vAlign w:val="center"/>
          </w:tcPr>
          <w:p>
            <w:pPr>
              <w:spacing w:line="360" w:lineRule="auto"/>
              <w:jc w:val="center"/>
              <w:rPr>
                <w:rFonts w:ascii="宋体" w:hAnsi="宋体" w:cs="宋体"/>
                <w:bCs/>
              </w:rPr>
            </w:pPr>
            <w:r>
              <w:rPr>
                <w:rFonts w:hint="eastAsia"/>
                <w:bCs/>
              </w:rPr>
              <w:t>投标总价</w:t>
            </w:r>
          </w:p>
        </w:tc>
        <w:tc>
          <w:tcPr>
            <w:tcW w:w="1375" w:type="dxa"/>
            <w:vAlign w:val="center"/>
          </w:tcPr>
          <w:p>
            <w:pPr>
              <w:spacing w:line="360" w:lineRule="auto"/>
              <w:jc w:val="center"/>
              <w:rPr>
                <w:rFonts w:ascii="宋体" w:hAnsi="宋体" w:cs="宋体"/>
                <w:bCs/>
              </w:rPr>
            </w:pPr>
            <w:r>
              <w:rPr>
                <w:rFonts w:hint="eastAsia" w:ascii="宋体" w:hAnsi="宋体" w:cs="宋体"/>
                <w:bCs/>
              </w:rPr>
              <w:t>服务期</w:t>
            </w:r>
          </w:p>
        </w:tc>
        <w:tc>
          <w:tcPr>
            <w:tcW w:w="689" w:type="dxa"/>
            <w:vAlign w:val="center"/>
          </w:tcPr>
          <w:p>
            <w:pPr>
              <w:spacing w:line="360" w:lineRule="auto"/>
              <w:jc w:val="center"/>
              <w:rPr>
                <w:rFonts w:ascii="宋体" w:hAnsi="宋体" w:cs="宋体"/>
                <w:bCs/>
              </w:rPr>
            </w:pPr>
            <w:r>
              <w:rPr>
                <w:rFonts w:hint="eastAsia" w:ascii="宋体" w:hAnsi="宋体" w:cs="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8" w:hRule="atLeast"/>
          <w:jc w:val="center"/>
        </w:trPr>
        <w:tc>
          <w:tcPr>
            <w:tcW w:w="1179" w:type="dxa"/>
            <w:vAlign w:val="center"/>
          </w:tcPr>
          <w:p>
            <w:pPr>
              <w:adjustRightInd w:val="0"/>
              <w:snapToGrid w:val="0"/>
              <w:spacing w:line="360" w:lineRule="auto"/>
              <w:jc w:val="center"/>
              <w:rPr>
                <w:rFonts w:ascii="宋体" w:hAnsi="宋体" w:cs="宋体"/>
                <w:bCs/>
              </w:rPr>
            </w:pPr>
          </w:p>
        </w:tc>
        <w:tc>
          <w:tcPr>
            <w:tcW w:w="2408" w:type="dxa"/>
            <w:vAlign w:val="center"/>
          </w:tcPr>
          <w:p>
            <w:pPr>
              <w:adjustRightInd w:val="0"/>
              <w:snapToGrid w:val="0"/>
              <w:spacing w:line="360" w:lineRule="auto"/>
              <w:jc w:val="center"/>
              <w:rPr>
                <w:rFonts w:ascii="宋体" w:hAnsi="宋体" w:cs="宋体"/>
                <w:bCs/>
              </w:rPr>
            </w:pPr>
            <w:r>
              <w:rPr>
                <w:rFonts w:hint="eastAsia" w:ascii="宋体" w:hAnsi="宋体" w:cs="宋体"/>
                <w:bCs/>
              </w:rPr>
              <w:t>国家税务总局阳江高新技术产业开发区税务局物业管理服务项目</w:t>
            </w:r>
          </w:p>
        </w:tc>
        <w:tc>
          <w:tcPr>
            <w:tcW w:w="3942" w:type="dxa"/>
            <w:vAlign w:val="center"/>
          </w:tcPr>
          <w:p>
            <w:pPr>
              <w:pStyle w:val="7"/>
              <w:snapToGrid w:val="0"/>
              <w:spacing w:before="48"/>
              <w:ind w:firstLine="0"/>
            </w:pPr>
            <w:r>
              <w:rPr>
                <w:rFonts w:hint="eastAsia"/>
              </w:rPr>
              <w:t>投标总价：</w:t>
            </w:r>
          </w:p>
          <w:p>
            <w:pPr>
              <w:pStyle w:val="7"/>
              <w:snapToGrid w:val="0"/>
              <w:spacing w:before="48"/>
              <w:ind w:firstLine="0"/>
            </w:pPr>
            <w:r>
              <w:rPr>
                <w:rFonts w:hint="eastAsia"/>
              </w:rPr>
              <w:t>（大写）人民币</w:t>
            </w:r>
          </w:p>
          <w:p>
            <w:pPr>
              <w:spacing w:line="360" w:lineRule="auto"/>
              <w:rPr>
                <w:rFonts w:ascii="宋体" w:hAnsi="宋体" w:cs="宋体"/>
                <w:bCs/>
              </w:rPr>
            </w:pPr>
            <w:r>
              <w:rPr>
                <w:rFonts w:hint="eastAsia"/>
                <w:bCs/>
              </w:rPr>
              <w:t>（小写）￥</w:t>
            </w:r>
          </w:p>
          <w:p>
            <w:pPr>
              <w:spacing w:line="360" w:lineRule="auto"/>
              <w:rPr>
                <w:rFonts w:ascii="宋体" w:hAnsi="宋体" w:cs="宋体"/>
                <w:bCs/>
              </w:rPr>
            </w:pPr>
          </w:p>
        </w:tc>
        <w:tc>
          <w:tcPr>
            <w:tcW w:w="1375" w:type="dxa"/>
            <w:vAlign w:val="center"/>
          </w:tcPr>
          <w:p>
            <w:pPr>
              <w:topLinePunct/>
              <w:spacing w:line="360" w:lineRule="auto"/>
              <w:jc w:val="left"/>
              <w:rPr>
                <w:rFonts w:ascii="宋体" w:hAnsi="宋体" w:cs="宋体"/>
                <w:bCs/>
                <w:u w:val="single"/>
              </w:rPr>
            </w:pPr>
          </w:p>
        </w:tc>
        <w:tc>
          <w:tcPr>
            <w:tcW w:w="689" w:type="dxa"/>
            <w:vAlign w:val="center"/>
          </w:tcPr>
          <w:p>
            <w:pPr>
              <w:spacing w:line="360" w:lineRule="auto"/>
              <w:rPr>
                <w:rFonts w:ascii="宋体" w:hAnsi="宋体" w:cs="宋体"/>
                <w:bCs/>
              </w:rPr>
            </w:pPr>
          </w:p>
        </w:tc>
      </w:tr>
    </w:tbl>
    <w:p>
      <w:pPr>
        <w:spacing w:line="360" w:lineRule="auto"/>
        <w:rPr>
          <w:rFonts w:ascii="宋体" w:hAnsi="宋体" w:cs="宋体"/>
          <w:bCs/>
        </w:rPr>
      </w:pPr>
      <w:r>
        <w:rPr>
          <w:rFonts w:hint="eastAsia" w:ascii="宋体" w:hAnsi="宋体" w:cs="宋体"/>
          <w:bCs/>
        </w:rPr>
        <w:t>注：</w:t>
      </w:r>
    </w:p>
    <w:p>
      <w:pPr>
        <w:numPr>
          <w:ilvl w:val="0"/>
          <w:numId w:val="18"/>
        </w:numPr>
        <w:tabs>
          <w:tab w:val="left" w:pos="1365"/>
        </w:tabs>
        <w:rPr>
          <w:rFonts w:ascii="宋体" w:hAnsi="宋体" w:cs="宋体"/>
          <w:b/>
          <w:sz w:val="20"/>
          <w:szCs w:val="22"/>
        </w:rPr>
      </w:pPr>
      <w:r>
        <w:rPr>
          <w:rFonts w:hint="eastAsia" w:ascii="宋体" w:hAnsi="宋体" w:cs="宋体"/>
          <w:b/>
          <w:sz w:val="20"/>
          <w:szCs w:val="22"/>
        </w:rPr>
        <w:t>投标人应根据本企业的经营成本及风险评估自行决定报价，岗位配置表总数量及各项服务费用明细，需同时提交独立的详细的报价明细说明，包括但不限于项目的下述具体费用：（1）物业管理岗位服务人员的工资、社会保险、医保、体检费、培训、服装、住宿、餐饮、高温等恶劣环境作业费、因采购人原因造成中标人需与岗位服务人员解除劳动合同的补偿金或赔偿金、办公经费和差旅费等和按规定提取的福利费等费用；（2）劳保用具（品）、工（机）具；（3）隔油池、化油池、化粪池（排污）费及所有与环卫部门产生的本项目所涉及的费用（不含垃圾处理费）；（4）管理运行费用：包括但不限于用户需求中所列的保洁、工程、设备、安保等各项要求所产生的管理运行费用；（5）物业管理区域绿化采购和管理费，包括室内外植物供应、补种费、养护费、节日及重大活动临时陈列摆设；（6）企业投入本项目所需通讯器材配置和运行费；（7）企业投入本项目所需和配置的物资采购、租赁费及固定资产折旧费；（8）物业设施设备及公众责任保险费；（9）采购人重大活动或专项工作临时加强保障费用，包括但不限于临时增加保障人员、延长工作时间、调度其他专业人员支援以及协助楼内物资物品搬运等。投标人应充分考虑采购人日常工作中发生上述临时性工作的可能性并充分评估其所产生的相关投入成本；（10）房屋、设施设备维修费，投标人计算费用时应充分评估维修中发生的维修成本；（11）投保人预计投入防灾减灾预防和实施应急响应措施所产生的相关费用；（12）法定相关税费；（1</w:t>
      </w:r>
      <w:r>
        <w:rPr>
          <w:rFonts w:hint="eastAsia" w:ascii="宋体" w:hAnsi="宋体" w:cs="宋体"/>
          <w:b/>
          <w:sz w:val="20"/>
          <w:szCs w:val="22"/>
          <w:lang w:val="en-US" w:eastAsia="zh-CN"/>
        </w:rPr>
        <w:t>3</w:t>
      </w:r>
      <w:r>
        <w:rPr>
          <w:rFonts w:hint="eastAsia" w:ascii="宋体" w:hAnsi="宋体" w:cs="宋体"/>
          <w:b/>
          <w:sz w:val="20"/>
          <w:szCs w:val="22"/>
        </w:rPr>
        <w:t>）不可预见费用，包括但不限于由市场经济因素产生的人工及商品价格波动风险成本。投标人报价应充分考虑服务期间的须承担的维修费用、人工费用、管理成本等上涨带来的风险，采购人将不承担任何费用及责任。</w:t>
      </w:r>
    </w:p>
    <w:p>
      <w:pPr>
        <w:numPr>
          <w:ilvl w:val="0"/>
          <w:numId w:val="18"/>
        </w:numPr>
        <w:tabs>
          <w:tab w:val="left" w:pos="1365"/>
        </w:tabs>
        <w:rPr>
          <w:rFonts w:ascii="宋体" w:hAnsi="宋体" w:cs="宋体"/>
          <w:bCs/>
          <w:sz w:val="20"/>
          <w:szCs w:val="22"/>
        </w:rPr>
      </w:pPr>
      <w:r>
        <w:rPr>
          <w:rFonts w:hint="eastAsia" w:ascii="宋体" w:hAnsi="宋体" w:cs="宋体"/>
          <w:sz w:val="20"/>
          <w:szCs w:val="20"/>
        </w:rPr>
        <w:t>投标人</w:t>
      </w:r>
      <w:r>
        <w:rPr>
          <w:rFonts w:hint="eastAsia" w:ascii="宋体" w:hAnsi="宋体" w:cs="宋体"/>
          <w:sz w:val="20"/>
          <w:szCs w:val="22"/>
        </w:rPr>
        <w:t>填写此表时不得改变表格的形式。</w:t>
      </w:r>
    </w:p>
    <w:p>
      <w:pPr>
        <w:numPr>
          <w:ilvl w:val="0"/>
          <w:numId w:val="18"/>
        </w:numPr>
        <w:tabs>
          <w:tab w:val="left" w:pos="1365"/>
        </w:tabs>
        <w:rPr>
          <w:rFonts w:ascii="宋体" w:hAnsi="宋体" w:cs="宋体"/>
          <w:bCs/>
          <w:sz w:val="20"/>
          <w:szCs w:val="22"/>
        </w:rPr>
      </w:pPr>
      <w:r>
        <w:rPr>
          <w:rFonts w:hint="eastAsia" w:ascii="宋体" w:hAnsi="宋体" w:cs="宋体"/>
          <w:bCs/>
          <w:sz w:val="20"/>
          <w:szCs w:val="22"/>
        </w:rPr>
        <w:t>如果</w:t>
      </w:r>
      <w:r>
        <w:rPr>
          <w:rFonts w:hint="eastAsia" w:ascii="宋体" w:hAnsi="宋体" w:cs="宋体"/>
          <w:sz w:val="20"/>
          <w:szCs w:val="20"/>
        </w:rPr>
        <w:t>投标人</w:t>
      </w:r>
      <w:r>
        <w:rPr>
          <w:rFonts w:hint="eastAsia" w:ascii="宋体" w:hAnsi="宋体" w:cs="宋体"/>
          <w:bCs/>
          <w:sz w:val="20"/>
          <w:szCs w:val="22"/>
        </w:rPr>
        <w:t>认为有应当说明而本表中无相应栏目的内容，请在“备注”栏中添加说明。</w:t>
      </w:r>
    </w:p>
    <w:p>
      <w:pPr>
        <w:numPr>
          <w:ilvl w:val="0"/>
          <w:numId w:val="18"/>
        </w:numPr>
        <w:tabs>
          <w:tab w:val="left" w:pos="1365"/>
        </w:tabs>
        <w:rPr>
          <w:rFonts w:ascii="宋体" w:hAnsi="宋体" w:cs="宋体"/>
          <w:bCs/>
          <w:sz w:val="20"/>
          <w:szCs w:val="22"/>
        </w:rPr>
      </w:pPr>
      <w:r>
        <w:rPr>
          <w:rFonts w:hint="eastAsia" w:ascii="宋体" w:hAnsi="宋体" w:cs="宋体"/>
          <w:sz w:val="20"/>
          <w:szCs w:val="20"/>
        </w:rPr>
        <w:t>投标人</w:t>
      </w:r>
      <w:r>
        <w:rPr>
          <w:rFonts w:hint="eastAsia" w:ascii="宋体" w:hAnsi="宋体" w:cs="宋体"/>
          <w:bCs/>
          <w:sz w:val="20"/>
          <w:szCs w:val="22"/>
        </w:rPr>
        <w:t>应将 “投标一览表”（加盖公章并由法定代表人或其授权代理人签字），一份密封于唱标信封内，一份装订入投标文件正本。</w:t>
      </w:r>
    </w:p>
    <w:p>
      <w:pPr>
        <w:spacing w:line="360" w:lineRule="auto"/>
        <w:rPr>
          <w:rFonts w:ascii="宋体" w:hAnsi="宋体" w:cs="宋体"/>
          <w:bCs/>
          <w:u w:val="single"/>
        </w:rPr>
      </w:pPr>
    </w:p>
    <w:p>
      <w:pPr>
        <w:adjustRightInd w:val="0"/>
        <w:snapToGrid w:val="0"/>
        <w:spacing w:line="360" w:lineRule="auto"/>
        <w:rPr>
          <w:rFonts w:ascii="宋体" w:hAnsi="宋体" w:cs="宋体"/>
          <w:bCs/>
        </w:rPr>
      </w:pPr>
      <w:r>
        <w:rPr>
          <w:rFonts w:hint="eastAsia" w:ascii="宋体" w:hAnsi="宋体" w:cs="宋体"/>
          <w:szCs w:val="21"/>
        </w:rPr>
        <w:t>投标人</w:t>
      </w:r>
      <w:r>
        <w:rPr>
          <w:rFonts w:hint="eastAsia" w:ascii="宋体" w:hAnsi="宋体" w:cs="宋体"/>
          <w:bCs/>
        </w:rPr>
        <w:t xml:space="preserve">法定代表人或授权代理人（签字）： </w:t>
      </w:r>
    </w:p>
    <w:p>
      <w:pPr>
        <w:adjustRightInd w:val="0"/>
        <w:snapToGrid w:val="0"/>
        <w:spacing w:line="360" w:lineRule="auto"/>
        <w:rPr>
          <w:rFonts w:ascii="宋体" w:hAnsi="宋体" w:cs="宋体"/>
          <w:bCs/>
          <w:u w:val="single"/>
        </w:rPr>
      </w:pPr>
      <w:r>
        <w:rPr>
          <w:rFonts w:hint="eastAsia" w:ascii="宋体" w:hAnsi="宋体" w:cs="宋体"/>
          <w:szCs w:val="21"/>
        </w:rPr>
        <w:t>投标人</w:t>
      </w:r>
      <w:r>
        <w:rPr>
          <w:rFonts w:hint="eastAsia" w:ascii="宋体" w:hAnsi="宋体" w:cs="宋体"/>
          <w:bCs/>
        </w:rPr>
        <w:t>名称（公章）：</w:t>
      </w:r>
    </w:p>
    <w:p>
      <w:pPr>
        <w:adjustRightInd w:val="0"/>
        <w:snapToGrid w:val="0"/>
        <w:spacing w:line="360" w:lineRule="auto"/>
        <w:rPr>
          <w:rFonts w:ascii="宋体" w:hAnsi="宋体" w:cs="宋体"/>
          <w:bCs/>
        </w:rPr>
      </w:pPr>
      <w:r>
        <w:rPr>
          <w:rFonts w:hint="eastAsia" w:ascii="宋体" w:hAnsi="宋体" w:cs="宋体"/>
          <w:bCs/>
        </w:rPr>
        <w:t xml:space="preserve">日期： 年月 日 </w:t>
      </w:r>
    </w:p>
    <w:p>
      <w:pPr>
        <w:rPr>
          <w:rFonts w:ascii="宋体" w:hAnsi="宋体" w:cs="宋体"/>
          <w:bCs/>
        </w:rPr>
      </w:pPr>
      <w:r>
        <w:rPr>
          <w:rFonts w:hint="eastAsia" w:ascii="宋体" w:hAnsi="宋体" w:cs="宋体"/>
          <w:bCs/>
        </w:rPr>
        <w:br w:type="page"/>
      </w:r>
    </w:p>
    <w:p>
      <w:pPr>
        <w:pStyle w:val="4"/>
        <w:spacing w:before="48" w:after="48" w:line="400" w:lineRule="exact"/>
      </w:pPr>
      <w:bookmarkStart w:id="198" w:name="_Toc339019912"/>
      <w:bookmarkStart w:id="199" w:name="_Toc340677093"/>
      <w:bookmarkStart w:id="200" w:name="_Toc365967095"/>
      <w:bookmarkStart w:id="201" w:name="_Toc333237701"/>
      <w:bookmarkStart w:id="202" w:name="_Toc3969077"/>
      <w:bookmarkStart w:id="203" w:name="_Toc339020118"/>
      <w:bookmarkStart w:id="204" w:name="_Toc341348363"/>
      <w:bookmarkStart w:id="205" w:name="_Toc343247123"/>
      <w:bookmarkStart w:id="206" w:name="_Toc333935710"/>
      <w:bookmarkStart w:id="207" w:name="_Toc332206732"/>
      <w:bookmarkStart w:id="208" w:name="_Toc331684065"/>
      <w:bookmarkStart w:id="209" w:name="_Toc350438772"/>
      <w:bookmarkStart w:id="210" w:name="_Toc365985201"/>
      <w:bookmarkStart w:id="211" w:name="_Toc330460009"/>
      <w:bookmarkStart w:id="212" w:name="_Toc332270370"/>
      <w:bookmarkStart w:id="213" w:name="_Toc350756473"/>
      <w:bookmarkStart w:id="214" w:name="_Toc366072552"/>
      <w:bookmarkStart w:id="215" w:name="_Toc333237812"/>
      <w:bookmarkStart w:id="216" w:name="_Toc333935369"/>
      <w:bookmarkStart w:id="217" w:name="_Toc340672892"/>
      <w:bookmarkStart w:id="218" w:name="_Toc342060398"/>
      <w:bookmarkStart w:id="219" w:name="_Toc342398153"/>
      <w:bookmarkStart w:id="220" w:name="_Toc342312466"/>
      <w:bookmarkStart w:id="221" w:name="_Toc337632381"/>
      <w:bookmarkStart w:id="222" w:name="_Toc336681958"/>
      <w:bookmarkStart w:id="223" w:name="_Toc343248441"/>
      <w:bookmarkStart w:id="224" w:name="_Toc340507465"/>
      <w:bookmarkStart w:id="225" w:name="_Toc343612943"/>
      <w:bookmarkStart w:id="226" w:name="_Toc336681603"/>
      <w:bookmarkStart w:id="227" w:name="_Toc339362323"/>
      <w:bookmarkStart w:id="228" w:name="_Toc339020038"/>
      <w:bookmarkStart w:id="229" w:name="_Toc339441110"/>
      <w:bookmarkStart w:id="230" w:name="_Toc339020256"/>
      <w:bookmarkStart w:id="231" w:name="_Toc342296784"/>
      <w:bookmarkStart w:id="232" w:name="_Toc331512924"/>
      <w:bookmarkStart w:id="233" w:name="_Toc345312620"/>
      <w:bookmarkStart w:id="234" w:name="_Toc333238657"/>
      <w:bookmarkStart w:id="235" w:name="_Toc22637"/>
      <w:bookmarkStart w:id="236" w:name="_Toc25746"/>
      <w:r>
        <w:rPr>
          <w:rFonts w:hint="eastAsia"/>
        </w:rPr>
        <w:t>附件三：</w:t>
      </w:r>
      <w:r>
        <w:t>投标</w:t>
      </w:r>
      <w:r>
        <w:rPr>
          <w:rFonts w:hint="eastAsia"/>
        </w:rPr>
        <w:t>分项报价</w:t>
      </w:r>
      <w:r>
        <w:t>表</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adjustRightInd w:val="0"/>
        <w:snapToGrid w:val="0"/>
        <w:spacing w:line="360" w:lineRule="auto"/>
        <w:jc w:val="left"/>
        <w:rPr>
          <w:rFonts w:ascii="宋体" w:hAnsi="宋体"/>
          <w:bCs/>
        </w:rPr>
      </w:pPr>
    </w:p>
    <w:p>
      <w:pPr>
        <w:adjustRightInd w:val="0"/>
        <w:snapToGrid w:val="0"/>
        <w:spacing w:line="360" w:lineRule="auto"/>
        <w:jc w:val="left"/>
        <w:rPr>
          <w:szCs w:val="18"/>
        </w:rPr>
      </w:pPr>
      <w:r>
        <w:rPr>
          <w:rFonts w:hint="eastAsia" w:ascii="宋体" w:hAnsi="宋体"/>
          <w:bCs/>
        </w:rPr>
        <w:t>项目编号:</w:t>
      </w:r>
      <w:r>
        <w:rPr>
          <w:rFonts w:hint="eastAsia" w:ascii="宋体" w:hAnsi="宋体"/>
          <w:b/>
          <w:bCs/>
          <w:u w:val="single"/>
        </w:rPr>
        <w:t>YJGD-20231017-011</w:t>
      </w:r>
    </w:p>
    <w:p>
      <w:pPr>
        <w:adjustRightInd w:val="0"/>
        <w:snapToGrid w:val="0"/>
        <w:spacing w:line="360" w:lineRule="auto"/>
        <w:ind w:left="1050" w:hanging="1050" w:hangingChars="500"/>
        <w:jc w:val="left"/>
        <w:rPr>
          <w:rFonts w:ascii="宋体" w:hAnsi="宋体"/>
          <w:bCs/>
        </w:rPr>
      </w:pPr>
      <w:r>
        <w:rPr>
          <w:rFonts w:hint="eastAsia" w:ascii="宋体" w:hAnsi="宋体"/>
          <w:bCs/>
        </w:rPr>
        <w:t>项目名称：</w:t>
      </w:r>
      <w:r>
        <w:rPr>
          <w:rFonts w:hint="eastAsia"/>
          <w:szCs w:val="21"/>
          <w:u w:val="single"/>
        </w:rPr>
        <w:t>国家税务总局阳江高新技术产业开发区税务局物业管理服务项目</w:t>
      </w:r>
      <w:r>
        <w:rPr>
          <w:rFonts w:hint="eastAsia"/>
          <w:szCs w:val="18"/>
        </w:rPr>
        <w:t>（单位：元）</w:t>
      </w:r>
    </w:p>
    <w:tbl>
      <w:tblPr>
        <w:tblStyle w:val="21"/>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862"/>
        <w:gridCol w:w="1156"/>
        <w:gridCol w:w="990"/>
        <w:gridCol w:w="960"/>
        <w:gridCol w:w="1281"/>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pPr>
              <w:pStyle w:val="7"/>
              <w:snapToGrid w:val="0"/>
              <w:spacing w:before="48"/>
              <w:ind w:firstLine="0"/>
              <w:jc w:val="center"/>
              <w:rPr>
                <w:sz w:val="18"/>
              </w:rPr>
            </w:pPr>
            <w:r>
              <w:rPr>
                <w:rFonts w:hint="eastAsia"/>
                <w:sz w:val="18"/>
              </w:rPr>
              <w:t>序号</w:t>
            </w:r>
          </w:p>
        </w:tc>
        <w:tc>
          <w:tcPr>
            <w:tcW w:w="2862" w:type="dxa"/>
            <w:noWrap/>
            <w:vAlign w:val="center"/>
          </w:tcPr>
          <w:p>
            <w:pPr>
              <w:pStyle w:val="7"/>
              <w:snapToGrid w:val="0"/>
              <w:spacing w:before="48"/>
              <w:ind w:firstLine="480"/>
              <w:jc w:val="both"/>
            </w:pPr>
            <w:r>
              <w:rPr>
                <w:rFonts w:hint="eastAsia"/>
              </w:rPr>
              <w:t>内容</w:t>
            </w:r>
          </w:p>
        </w:tc>
        <w:tc>
          <w:tcPr>
            <w:tcW w:w="1156" w:type="dxa"/>
            <w:noWrap/>
            <w:vAlign w:val="center"/>
          </w:tcPr>
          <w:p>
            <w:pPr>
              <w:pStyle w:val="7"/>
              <w:snapToGrid w:val="0"/>
              <w:spacing w:before="48"/>
              <w:ind w:firstLine="480"/>
              <w:jc w:val="both"/>
            </w:pPr>
            <w:r>
              <w:rPr>
                <w:rFonts w:hint="eastAsia"/>
              </w:rPr>
              <w:t>1</w:t>
            </w:r>
          </w:p>
        </w:tc>
        <w:tc>
          <w:tcPr>
            <w:tcW w:w="990" w:type="dxa"/>
            <w:noWrap/>
            <w:vAlign w:val="center"/>
          </w:tcPr>
          <w:p>
            <w:pPr>
              <w:pStyle w:val="7"/>
              <w:snapToGrid w:val="0"/>
              <w:spacing w:before="48"/>
              <w:ind w:firstLine="480"/>
              <w:jc w:val="both"/>
            </w:pPr>
            <w:r>
              <w:rPr>
                <w:rFonts w:hint="eastAsia"/>
              </w:rPr>
              <w:t>2</w:t>
            </w:r>
          </w:p>
        </w:tc>
        <w:tc>
          <w:tcPr>
            <w:tcW w:w="960" w:type="dxa"/>
            <w:noWrap/>
            <w:vAlign w:val="center"/>
          </w:tcPr>
          <w:p>
            <w:pPr>
              <w:pStyle w:val="7"/>
              <w:snapToGrid w:val="0"/>
              <w:spacing w:before="48"/>
              <w:ind w:firstLine="480"/>
              <w:jc w:val="both"/>
            </w:pPr>
            <w:r>
              <w:rPr>
                <w:rFonts w:hint="eastAsia"/>
              </w:rPr>
              <w:t>3</w:t>
            </w:r>
          </w:p>
        </w:tc>
        <w:tc>
          <w:tcPr>
            <w:tcW w:w="1281" w:type="dxa"/>
            <w:noWrap/>
            <w:vAlign w:val="center"/>
          </w:tcPr>
          <w:p>
            <w:pPr>
              <w:pStyle w:val="7"/>
              <w:snapToGrid w:val="0"/>
              <w:spacing w:before="48"/>
              <w:ind w:firstLine="480"/>
              <w:jc w:val="both"/>
            </w:pPr>
            <w:r>
              <w:rPr>
                <w:rFonts w:hint="eastAsia"/>
              </w:rPr>
              <w:t>4</w:t>
            </w:r>
          </w:p>
        </w:tc>
        <w:tc>
          <w:tcPr>
            <w:tcW w:w="1287" w:type="dxa"/>
            <w:noWrap/>
            <w:vAlign w:val="center"/>
          </w:tcPr>
          <w:p>
            <w:pPr>
              <w:pStyle w:val="7"/>
              <w:snapToGrid w:val="0"/>
              <w:spacing w:before="48"/>
              <w:ind w:firstLine="480"/>
              <w:jc w:val="both"/>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pPr>
              <w:pStyle w:val="7"/>
              <w:snapToGrid w:val="0"/>
              <w:spacing w:before="48"/>
              <w:ind w:firstLine="0"/>
              <w:jc w:val="center"/>
            </w:pPr>
            <w:r>
              <w:rPr>
                <w:rFonts w:hint="eastAsia"/>
              </w:rPr>
              <w:t>1</w:t>
            </w:r>
          </w:p>
        </w:tc>
        <w:tc>
          <w:tcPr>
            <w:tcW w:w="2862" w:type="dxa"/>
            <w:noWrap/>
            <w:vAlign w:val="center"/>
          </w:tcPr>
          <w:p>
            <w:pPr>
              <w:pStyle w:val="7"/>
              <w:snapToGrid w:val="0"/>
              <w:spacing w:before="48"/>
              <w:ind w:firstLine="0"/>
            </w:pPr>
            <w:r>
              <w:rPr>
                <w:rFonts w:hint="eastAsia"/>
                <w:highlight w:val="red"/>
              </w:rPr>
              <w:t>物业管理岗位服务人员的工资、社会保险、医保、体检费、培训、服装、住宿、餐饮、高温等恶劣环境作业费、因采购人原因造成中标人需与岗位服务人员解除劳动合同的补偿金或赔偿金</w:t>
            </w:r>
            <w:bookmarkStart w:id="641" w:name="_GoBack"/>
            <w:bookmarkEnd w:id="641"/>
            <w:r>
              <w:rPr>
                <w:rFonts w:hint="eastAsia"/>
                <w:highlight w:val="red"/>
              </w:rPr>
              <w:t>、办公经费和差旅费等和按规定提取的福利费等费用；</w:t>
            </w:r>
          </w:p>
        </w:tc>
        <w:tc>
          <w:tcPr>
            <w:tcW w:w="1156" w:type="dxa"/>
            <w:noWrap/>
            <w:vAlign w:val="center"/>
          </w:tcPr>
          <w:p>
            <w:pPr>
              <w:pStyle w:val="7"/>
              <w:snapToGrid w:val="0"/>
              <w:spacing w:before="48"/>
              <w:ind w:firstLine="480"/>
              <w:jc w:val="center"/>
            </w:pPr>
          </w:p>
        </w:tc>
        <w:tc>
          <w:tcPr>
            <w:tcW w:w="990" w:type="dxa"/>
            <w:noWrap/>
            <w:vAlign w:val="center"/>
          </w:tcPr>
          <w:p>
            <w:pPr>
              <w:pStyle w:val="7"/>
              <w:snapToGrid w:val="0"/>
              <w:spacing w:before="48"/>
              <w:ind w:firstLine="480"/>
              <w:jc w:val="center"/>
            </w:pPr>
          </w:p>
        </w:tc>
        <w:tc>
          <w:tcPr>
            <w:tcW w:w="960" w:type="dxa"/>
            <w:noWrap/>
            <w:vAlign w:val="center"/>
          </w:tcPr>
          <w:p>
            <w:pPr>
              <w:pStyle w:val="7"/>
              <w:snapToGrid w:val="0"/>
              <w:spacing w:before="48"/>
              <w:ind w:firstLine="480"/>
              <w:jc w:val="center"/>
            </w:pPr>
          </w:p>
        </w:tc>
        <w:tc>
          <w:tcPr>
            <w:tcW w:w="1281" w:type="dxa"/>
            <w:noWrap/>
            <w:vAlign w:val="center"/>
          </w:tcPr>
          <w:p>
            <w:pPr>
              <w:pStyle w:val="7"/>
              <w:snapToGrid w:val="0"/>
              <w:spacing w:before="48"/>
              <w:ind w:firstLine="480"/>
              <w:jc w:val="center"/>
            </w:pPr>
          </w:p>
        </w:tc>
        <w:tc>
          <w:tcPr>
            <w:tcW w:w="1287" w:type="dxa"/>
            <w:noWrap/>
            <w:vAlign w:val="center"/>
          </w:tcPr>
          <w:p>
            <w:pPr>
              <w:pStyle w:val="7"/>
              <w:snapToGrid w:val="0"/>
              <w:spacing w:before="48"/>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pPr>
              <w:pStyle w:val="7"/>
              <w:snapToGrid w:val="0"/>
              <w:spacing w:before="48"/>
              <w:ind w:firstLine="0"/>
              <w:jc w:val="center"/>
            </w:pPr>
            <w:r>
              <w:rPr>
                <w:rFonts w:hint="eastAsia"/>
              </w:rPr>
              <w:t>2</w:t>
            </w:r>
          </w:p>
        </w:tc>
        <w:tc>
          <w:tcPr>
            <w:tcW w:w="2862" w:type="dxa"/>
            <w:noWrap/>
            <w:vAlign w:val="center"/>
          </w:tcPr>
          <w:p>
            <w:pPr>
              <w:pStyle w:val="7"/>
              <w:snapToGrid w:val="0"/>
              <w:spacing w:before="48"/>
              <w:ind w:firstLine="0"/>
            </w:pPr>
            <w:r>
              <w:rPr>
                <w:rFonts w:ascii="宋体" w:hAnsi="宋体" w:cs="宋体"/>
                <w:spacing w:val="-4"/>
                <w:szCs w:val="21"/>
              </w:rPr>
              <w:t>劳保用具（品）、工（机）具；</w:t>
            </w:r>
          </w:p>
        </w:tc>
        <w:tc>
          <w:tcPr>
            <w:tcW w:w="1156" w:type="dxa"/>
            <w:noWrap/>
            <w:vAlign w:val="center"/>
          </w:tcPr>
          <w:p>
            <w:pPr>
              <w:pStyle w:val="7"/>
              <w:snapToGrid w:val="0"/>
              <w:spacing w:before="48"/>
              <w:ind w:firstLine="480"/>
              <w:jc w:val="center"/>
            </w:pPr>
          </w:p>
        </w:tc>
        <w:tc>
          <w:tcPr>
            <w:tcW w:w="990" w:type="dxa"/>
            <w:noWrap/>
            <w:vAlign w:val="center"/>
          </w:tcPr>
          <w:p>
            <w:pPr>
              <w:pStyle w:val="7"/>
              <w:snapToGrid w:val="0"/>
              <w:spacing w:before="48"/>
              <w:ind w:firstLine="480"/>
              <w:jc w:val="center"/>
            </w:pPr>
          </w:p>
        </w:tc>
        <w:tc>
          <w:tcPr>
            <w:tcW w:w="960" w:type="dxa"/>
            <w:noWrap/>
            <w:vAlign w:val="center"/>
          </w:tcPr>
          <w:p>
            <w:pPr>
              <w:pStyle w:val="7"/>
              <w:snapToGrid w:val="0"/>
              <w:spacing w:before="48"/>
              <w:ind w:firstLine="480"/>
              <w:jc w:val="center"/>
            </w:pPr>
          </w:p>
        </w:tc>
        <w:tc>
          <w:tcPr>
            <w:tcW w:w="1281" w:type="dxa"/>
            <w:noWrap/>
            <w:vAlign w:val="center"/>
          </w:tcPr>
          <w:p>
            <w:pPr>
              <w:pStyle w:val="7"/>
              <w:snapToGrid w:val="0"/>
              <w:spacing w:before="48"/>
              <w:ind w:firstLine="480"/>
              <w:jc w:val="center"/>
            </w:pPr>
          </w:p>
        </w:tc>
        <w:tc>
          <w:tcPr>
            <w:tcW w:w="1287" w:type="dxa"/>
            <w:noWrap/>
            <w:vAlign w:val="center"/>
          </w:tcPr>
          <w:p>
            <w:pPr>
              <w:pStyle w:val="7"/>
              <w:snapToGrid w:val="0"/>
              <w:spacing w:before="48"/>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pPr>
              <w:pStyle w:val="7"/>
              <w:snapToGrid w:val="0"/>
              <w:spacing w:before="48"/>
              <w:ind w:firstLine="0"/>
              <w:jc w:val="center"/>
            </w:pPr>
            <w:r>
              <w:t>3</w:t>
            </w:r>
          </w:p>
        </w:tc>
        <w:tc>
          <w:tcPr>
            <w:tcW w:w="2862" w:type="dxa"/>
            <w:noWrap/>
            <w:vAlign w:val="center"/>
          </w:tcPr>
          <w:p>
            <w:pPr>
              <w:pStyle w:val="7"/>
              <w:snapToGrid w:val="0"/>
              <w:spacing w:before="48"/>
              <w:ind w:right="-615" w:rightChars="-293" w:firstLine="0"/>
            </w:pPr>
            <w:r>
              <w:rPr>
                <w:rFonts w:ascii="宋体" w:hAnsi="宋体" w:cs="宋体"/>
                <w:spacing w:val="-4"/>
                <w:szCs w:val="21"/>
              </w:rPr>
              <w:t>隔油池、</w:t>
            </w:r>
            <w:r>
              <w:rPr>
                <w:rFonts w:hint="eastAsia" w:ascii="宋体" w:hAnsi="宋体" w:cs="宋体"/>
                <w:spacing w:val="-4"/>
                <w:szCs w:val="21"/>
              </w:rPr>
              <w:t>化油池、</w:t>
            </w:r>
            <w:r>
              <w:rPr>
                <w:rFonts w:ascii="宋体" w:hAnsi="宋体" w:cs="宋体"/>
                <w:spacing w:val="-4"/>
                <w:szCs w:val="21"/>
              </w:rPr>
              <w:t>化粪池（排污）费及所有与环卫部门产生的本项目所涉及的费用</w:t>
            </w:r>
            <w:r>
              <w:rPr>
                <w:rFonts w:hint="eastAsia" w:ascii="宋体" w:hAnsi="宋体" w:cs="宋体"/>
                <w:spacing w:val="-4"/>
                <w:szCs w:val="21"/>
              </w:rPr>
              <w:t>（不含垃圾处理费）</w:t>
            </w:r>
            <w:r>
              <w:rPr>
                <w:rFonts w:ascii="宋体" w:hAnsi="宋体" w:cs="宋体"/>
                <w:spacing w:val="-4"/>
                <w:szCs w:val="21"/>
              </w:rPr>
              <w:t>；</w:t>
            </w:r>
          </w:p>
        </w:tc>
        <w:tc>
          <w:tcPr>
            <w:tcW w:w="1156" w:type="dxa"/>
            <w:noWrap/>
            <w:vAlign w:val="center"/>
          </w:tcPr>
          <w:p>
            <w:pPr>
              <w:pStyle w:val="7"/>
              <w:snapToGrid w:val="0"/>
              <w:spacing w:before="48"/>
              <w:ind w:firstLine="480"/>
              <w:jc w:val="center"/>
            </w:pPr>
          </w:p>
        </w:tc>
        <w:tc>
          <w:tcPr>
            <w:tcW w:w="990" w:type="dxa"/>
            <w:noWrap/>
            <w:vAlign w:val="center"/>
          </w:tcPr>
          <w:p>
            <w:pPr>
              <w:pStyle w:val="7"/>
              <w:snapToGrid w:val="0"/>
              <w:spacing w:before="48"/>
              <w:ind w:firstLine="480"/>
              <w:jc w:val="center"/>
            </w:pPr>
          </w:p>
        </w:tc>
        <w:tc>
          <w:tcPr>
            <w:tcW w:w="960" w:type="dxa"/>
            <w:noWrap/>
            <w:vAlign w:val="center"/>
          </w:tcPr>
          <w:p>
            <w:pPr>
              <w:pStyle w:val="7"/>
              <w:snapToGrid w:val="0"/>
              <w:spacing w:before="48"/>
              <w:ind w:firstLine="480"/>
              <w:jc w:val="center"/>
            </w:pPr>
          </w:p>
        </w:tc>
        <w:tc>
          <w:tcPr>
            <w:tcW w:w="1281" w:type="dxa"/>
            <w:noWrap/>
            <w:vAlign w:val="center"/>
          </w:tcPr>
          <w:p>
            <w:pPr>
              <w:pStyle w:val="7"/>
              <w:snapToGrid w:val="0"/>
              <w:spacing w:before="48"/>
              <w:ind w:firstLine="480"/>
              <w:jc w:val="center"/>
            </w:pPr>
          </w:p>
        </w:tc>
        <w:tc>
          <w:tcPr>
            <w:tcW w:w="1287" w:type="dxa"/>
            <w:noWrap/>
            <w:vAlign w:val="center"/>
          </w:tcPr>
          <w:p>
            <w:pPr>
              <w:pStyle w:val="7"/>
              <w:snapToGrid w:val="0"/>
              <w:spacing w:before="48"/>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pPr>
              <w:pStyle w:val="7"/>
              <w:snapToGrid w:val="0"/>
              <w:spacing w:before="48"/>
              <w:ind w:firstLine="0"/>
              <w:jc w:val="center"/>
            </w:pPr>
            <w:r>
              <w:t>4</w:t>
            </w:r>
          </w:p>
        </w:tc>
        <w:tc>
          <w:tcPr>
            <w:tcW w:w="2862" w:type="dxa"/>
            <w:noWrap/>
            <w:vAlign w:val="center"/>
          </w:tcPr>
          <w:p>
            <w:pPr>
              <w:pStyle w:val="7"/>
              <w:snapToGrid w:val="0"/>
              <w:spacing w:before="48"/>
              <w:ind w:firstLine="0"/>
            </w:pPr>
            <w:r>
              <w:rPr>
                <w:rFonts w:ascii="宋体" w:hAnsi="宋体" w:cs="宋体"/>
                <w:spacing w:val="-7"/>
                <w:szCs w:val="21"/>
              </w:rPr>
              <w:t>管理运行费用：包括但不限于用户需求中所列的保洁、工程、设备、安保等各项</w:t>
            </w:r>
            <w:r>
              <w:rPr>
                <w:rFonts w:ascii="宋体" w:hAnsi="宋体" w:cs="宋体"/>
                <w:spacing w:val="-3"/>
                <w:szCs w:val="21"/>
              </w:rPr>
              <w:t>要求所产生的管理运行费用；</w:t>
            </w:r>
          </w:p>
        </w:tc>
        <w:tc>
          <w:tcPr>
            <w:tcW w:w="1156" w:type="dxa"/>
            <w:noWrap/>
            <w:vAlign w:val="center"/>
          </w:tcPr>
          <w:p>
            <w:pPr>
              <w:pStyle w:val="7"/>
              <w:snapToGrid w:val="0"/>
              <w:spacing w:before="48"/>
              <w:ind w:firstLine="480"/>
              <w:jc w:val="center"/>
            </w:pPr>
          </w:p>
        </w:tc>
        <w:tc>
          <w:tcPr>
            <w:tcW w:w="990" w:type="dxa"/>
            <w:noWrap/>
            <w:vAlign w:val="center"/>
          </w:tcPr>
          <w:p>
            <w:pPr>
              <w:pStyle w:val="7"/>
              <w:snapToGrid w:val="0"/>
              <w:spacing w:before="48"/>
              <w:ind w:firstLine="480"/>
              <w:jc w:val="center"/>
            </w:pPr>
          </w:p>
        </w:tc>
        <w:tc>
          <w:tcPr>
            <w:tcW w:w="960" w:type="dxa"/>
            <w:noWrap/>
            <w:vAlign w:val="center"/>
          </w:tcPr>
          <w:p>
            <w:pPr>
              <w:pStyle w:val="7"/>
              <w:snapToGrid w:val="0"/>
              <w:spacing w:before="48"/>
              <w:ind w:firstLine="480"/>
              <w:jc w:val="center"/>
            </w:pPr>
          </w:p>
        </w:tc>
        <w:tc>
          <w:tcPr>
            <w:tcW w:w="1281" w:type="dxa"/>
            <w:noWrap/>
            <w:vAlign w:val="center"/>
          </w:tcPr>
          <w:p>
            <w:pPr>
              <w:pStyle w:val="7"/>
              <w:snapToGrid w:val="0"/>
              <w:spacing w:before="48"/>
              <w:ind w:firstLine="480"/>
              <w:jc w:val="center"/>
            </w:pPr>
          </w:p>
        </w:tc>
        <w:tc>
          <w:tcPr>
            <w:tcW w:w="1287" w:type="dxa"/>
            <w:noWrap/>
            <w:vAlign w:val="center"/>
          </w:tcPr>
          <w:p>
            <w:pPr>
              <w:pStyle w:val="7"/>
              <w:snapToGrid w:val="0"/>
              <w:spacing w:before="48"/>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pPr>
              <w:pStyle w:val="7"/>
              <w:snapToGrid w:val="0"/>
              <w:spacing w:before="48"/>
              <w:ind w:firstLine="0"/>
              <w:jc w:val="center"/>
            </w:pPr>
            <w:r>
              <w:t>5</w:t>
            </w:r>
          </w:p>
        </w:tc>
        <w:tc>
          <w:tcPr>
            <w:tcW w:w="2862" w:type="dxa"/>
            <w:noWrap/>
            <w:vAlign w:val="center"/>
          </w:tcPr>
          <w:p>
            <w:pPr>
              <w:pStyle w:val="7"/>
              <w:snapToGrid w:val="0"/>
              <w:spacing w:before="48"/>
              <w:ind w:firstLine="0"/>
            </w:pPr>
            <w:r>
              <w:rPr>
                <w:rFonts w:hint="eastAsia"/>
              </w:rPr>
              <w:t>物业管理区域绿化采购和管理费，包括室内外植物供应、补种费、养护费、节日及重大活动临时陈列摆设；</w:t>
            </w:r>
          </w:p>
        </w:tc>
        <w:tc>
          <w:tcPr>
            <w:tcW w:w="5674" w:type="dxa"/>
            <w:gridSpan w:val="5"/>
            <w:noWrap/>
            <w:vAlign w:val="center"/>
          </w:tcPr>
          <w:p>
            <w:pPr>
              <w:pStyle w:val="7"/>
              <w:snapToGrid w:val="0"/>
              <w:spacing w:before="48"/>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pPr>
              <w:pStyle w:val="7"/>
              <w:snapToGrid w:val="0"/>
              <w:spacing w:before="48"/>
              <w:ind w:firstLine="0"/>
              <w:jc w:val="center"/>
            </w:pPr>
            <w:r>
              <w:t>6</w:t>
            </w:r>
          </w:p>
        </w:tc>
        <w:tc>
          <w:tcPr>
            <w:tcW w:w="2862" w:type="dxa"/>
            <w:noWrap/>
            <w:vAlign w:val="center"/>
          </w:tcPr>
          <w:p>
            <w:pPr>
              <w:pStyle w:val="7"/>
              <w:snapToGrid w:val="0"/>
              <w:spacing w:before="48"/>
              <w:ind w:firstLine="0"/>
            </w:pPr>
            <w:r>
              <w:rPr>
                <w:rFonts w:hint="eastAsia"/>
              </w:rPr>
              <w:t>企业投入本项目所需通讯器材配置和运行费；</w:t>
            </w:r>
          </w:p>
        </w:tc>
        <w:tc>
          <w:tcPr>
            <w:tcW w:w="5674" w:type="dxa"/>
            <w:gridSpan w:val="5"/>
            <w:noWrap/>
            <w:vAlign w:val="center"/>
          </w:tcPr>
          <w:p>
            <w:pPr>
              <w:pStyle w:val="7"/>
              <w:snapToGrid w:val="0"/>
              <w:spacing w:before="48"/>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pPr>
              <w:pStyle w:val="7"/>
              <w:snapToGrid w:val="0"/>
              <w:spacing w:before="48"/>
              <w:ind w:firstLine="0"/>
              <w:jc w:val="center"/>
            </w:pPr>
            <w:r>
              <w:rPr>
                <w:rFonts w:hint="eastAsia"/>
              </w:rPr>
              <w:t>7</w:t>
            </w:r>
          </w:p>
        </w:tc>
        <w:tc>
          <w:tcPr>
            <w:tcW w:w="2862" w:type="dxa"/>
            <w:noWrap/>
            <w:vAlign w:val="center"/>
          </w:tcPr>
          <w:p>
            <w:pPr>
              <w:pStyle w:val="7"/>
              <w:snapToGrid w:val="0"/>
              <w:spacing w:before="48"/>
              <w:ind w:firstLine="0"/>
            </w:pPr>
            <w:r>
              <w:rPr>
                <w:rFonts w:hint="eastAsia"/>
              </w:rPr>
              <w:t>企业投入本项目所需和配置的物资采购、租赁费及固定资产折旧费；</w:t>
            </w:r>
          </w:p>
        </w:tc>
        <w:tc>
          <w:tcPr>
            <w:tcW w:w="5674" w:type="dxa"/>
            <w:gridSpan w:val="5"/>
            <w:noWrap/>
            <w:vAlign w:val="center"/>
          </w:tcPr>
          <w:p>
            <w:pPr>
              <w:pStyle w:val="7"/>
              <w:snapToGrid w:val="0"/>
              <w:spacing w:before="48"/>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pPr>
              <w:pStyle w:val="7"/>
              <w:snapToGrid w:val="0"/>
              <w:spacing w:before="48"/>
              <w:ind w:firstLine="0"/>
              <w:jc w:val="center"/>
            </w:pPr>
            <w:r>
              <w:rPr>
                <w:rFonts w:hint="eastAsia"/>
              </w:rPr>
              <w:t>8</w:t>
            </w:r>
          </w:p>
        </w:tc>
        <w:tc>
          <w:tcPr>
            <w:tcW w:w="2862" w:type="dxa"/>
            <w:noWrap/>
            <w:vAlign w:val="center"/>
          </w:tcPr>
          <w:p>
            <w:pPr>
              <w:pStyle w:val="7"/>
              <w:snapToGrid w:val="0"/>
              <w:spacing w:before="48"/>
              <w:ind w:firstLine="0"/>
            </w:pPr>
            <w:r>
              <w:rPr>
                <w:rFonts w:hint="eastAsia"/>
              </w:rPr>
              <w:t>物业设施设备及公众责任保险费；</w:t>
            </w:r>
          </w:p>
        </w:tc>
        <w:tc>
          <w:tcPr>
            <w:tcW w:w="5674" w:type="dxa"/>
            <w:gridSpan w:val="5"/>
            <w:noWrap/>
            <w:vAlign w:val="center"/>
          </w:tcPr>
          <w:p>
            <w:pPr>
              <w:pStyle w:val="7"/>
              <w:snapToGrid w:val="0"/>
              <w:spacing w:before="48"/>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pPr>
              <w:pStyle w:val="7"/>
              <w:snapToGrid w:val="0"/>
              <w:spacing w:before="48"/>
              <w:ind w:firstLine="0"/>
              <w:jc w:val="center"/>
            </w:pPr>
            <w:r>
              <w:rPr>
                <w:rFonts w:hint="eastAsia"/>
              </w:rPr>
              <w:t>9</w:t>
            </w:r>
          </w:p>
        </w:tc>
        <w:tc>
          <w:tcPr>
            <w:tcW w:w="2862" w:type="dxa"/>
            <w:noWrap/>
            <w:vAlign w:val="center"/>
          </w:tcPr>
          <w:p>
            <w:pPr>
              <w:pStyle w:val="7"/>
              <w:snapToGrid w:val="0"/>
              <w:spacing w:before="48"/>
              <w:ind w:firstLine="0"/>
            </w:pPr>
            <w:r>
              <w:rPr>
                <w:rFonts w:hint="eastAsia"/>
              </w:rPr>
              <w:t>采购人重大活动或专项工作临时加强保障费用，包括但不限于临时增加保障人员、延长工作时间、调度其他专业人员支援以及协助楼内物资物品搬运等。投标人应充分考虑采购人日常工作中发生上述临时性工作的可能性并充分评估其所产生的相关投入成本；</w:t>
            </w:r>
          </w:p>
        </w:tc>
        <w:tc>
          <w:tcPr>
            <w:tcW w:w="5674" w:type="dxa"/>
            <w:gridSpan w:val="5"/>
            <w:noWrap/>
            <w:vAlign w:val="center"/>
          </w:tcPr>
          <w:p>
            <w:pPr>
              <w:pStyle w:val="7"/>
              <w:snapToGrid w:val="0"/>
              <w:spacing w:before="48"/>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14" w:type="dxa"/>
            <w:noWrap/>
            <w:vAlign w:val="center"/>
          </w:tcPr>
          <w:p>
            <w:pPr>
              <w:pStyle w:val="7"/>
              <w:snapToGrid w:val="0"/>
              <w:spacing w:before="48"/>
              <w:ind w:firstLine="0"/>
              <w:jc w:val="center"/>
            </w:pPr>
            <w:r>
              <w:rPr>
                <w:rFonts w:hint="eastAsia"/>
              </w:rPr>
              <w:t>10</w:t>
            </w:r>
          </w:p>
        </w:tc>
        <w:tc>
          <w:tcPr>
            <w:tcW w:w="2862" w:type="dxa"/>
            <w:noWrap/>
            <w:vAlign w:val="center"/>
          </w:tcPr>
          <w:p>
            <w:pPr>
              <w:pStyle w:val="7"/>
              <w:snapToGrid w:val="0"/>
              <w:spacing w:before="48"/>
              <w:ind w:firstLine="0"/>
            </w:pPr>
            <w:r>
              <w:rPr>
                <w:rFonts w:hint="eastAsia"/>
              </w:rPr>
              <w:t>房屋、设施设备维修费，投标人计算费用时应充分评估维修中发生的维修成本；</w:t>
            </w:r>
          </w:p>
        </w:tc>
        <w:tc>
          <w:tcPr>
            <w:tcW w:w="5674" w:type="dxa"/>
            <w:gridSpan w:val="5"/>
            <w:noWrap/>
            <w:vAlign w:val="center"/>
          </w:tcPr>
          <w:p>
            <w:pPr>
              <w:pStyle w:val="7"/>
              <w:snapToGrid w:val="0"/>
              <w:spacing w:before="48"/>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pPr>
              <w:pStyle w:val="7"/>
              <w:snapToGrid w:val="0"/>
              <w:spacing w:before="48"/>
              <w:ind w:firstLine="0"/>
              <w:jc w:val="center"/>
            </w:pPr>
            <w:r>
              <w:rPr>
                <w:rFonts w:hint="eastAsia"/>
              </w:rPr>
              <w:t>11</w:t>
            </w:r>
          </w:p>
        </w:tc>
        <w:tc>
          <w:tcPr>
            <w:tcW w:w="2862" w:type="dxa"/>
            <w:noWrap/>
            <w:vAlign w:val="center"/>
          </w:tcPr>
          <w:p>
            <w:pPr>
              <w:pStyle w:val="7"/>
              <w:snapToGrid w:val="0"/>
              <w:spacing w:before="48"/>
              <w:ind w:firstLine="0"/>
              <w:jc w:val="center"/>
              <w:rPr>
                <w:bCs/>
              </w:rPr>
            </w:pPr>
            <w:r>
              <w:rPr>
                <w:rFonts w:ascii="宋体" w:hAnsi="宋体" w:cs="宋体"/>
                <w:spacing w:val="-7"/>
                <w:szCs w:val="21"/>
              </w:rPr>
              <w:t>投保人预计投入防灾减灾预防和实施应急响应措施所产生的相关费用；</w:t>
            </w:r>
          </w:p>
        </w:tc>
        <w:tc>
          <w:tcPr>
            <w:tcW w:w="5674" w:type="dxa"/>
            <w:gridSpan w:val="5"/>
            <w:noWrap/>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pPr>
              <w:pStyle w:val="7"/>
              <w:snapToGrid w:val="0"/>
              <w:spacing w:before="48"/>
              <w:ind w:firstLine="0"/>
              <w:jc w:val="center"/>
            </w:pPr>
            <w:r>
              <w:rPr>
                <w:rFonts w:hint="eastAsia"/>
              </w:rPr>
              <w:t>12</w:t>
            </w:r>
          </w:p>
        </w:tc>
        <w:tc>
          <w:tcPr>
            <w:tcW w:w="2862" w:type="dxa"/>
            <w:noWrap/>
            <w:vAlign w:val="center"/>
          </w:tcPr>
          <w:p>
            <w:pPr>
              <w:pStyle w:val="7"/>
              <w:snapToGrid w:val="0"/>
              <w:spacing w:before="48"/>
              <w:ind w:firstLine="0" w:firstLineChars="0"/>
              <w:jc w:val="center"/>
              <w:rPr>
                <w:rFonts w:ascii="Times New Roman" w:hAnsi="Times New Roman" w:eastAsia="宋体" w:cs="Times New Roman"/>
                <w:bCs/>
                <w:kern w:val="0"/>
                <w:sz w:val="21"/>
                <w:szCs w:val="20"/>
                <w:lang w:val="en-US" w:eastAsia="zh-CN" w:bidi="ar-SA"/>
              </w:rPr>
            </w:pPr>
            <w:r>
              <w:rPr>
                <w:rFonts w:ascii="宋体" w:hAnsi="宋体" w:cs="宋体"/>
                <w:spacing w:val="-7"/>
                <w:szCs w:val="21"/>
              </w:rPr>
              <w:t>法定相关税费；</w:t>
            </w:r>
          </w:p>
        </w:tc>
        <w:tc>
          <w:tcPr>
            <w:tcW w:w="5674" w:type="dxa"/>
            <w:gridSpan w:val="5"/>
            <w:noWrap/>
            <w:vAlign w:val="center"/>
          </w:tcPr>
          <w:p>
            <w:pPr>
              <w:pStyle w:val="7"/>
              <w:snapToGrid w:val="0"/>
              <w:spacing w:before="48"/>
              <w:ind w:firstLine="480" w:firstLineChars="0"/>
              <w:rPr>
                <w:rFonts w:ascii="Times New Roman" w:hAnsi="Times New Roman" w:eastAsia="宋体" w:cs="Times New Roman"/>
                <w:bCs/>
                <w:kern w:val="0"/>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pPr>
              <w:pStyle w:val="7"/>
              <w:snapToGrid w:val="0"/>
              <w:spacing w:before="48"/>
              <w:ind w:firstLine="0"/>
              <w:jc w:val="center"/>
            </w:pPr>
            <w:r>
              <w:rPr>
                <w:rFonts w:hint="eastAsia"/>
              </w:rPr>
              <w:t>13</w:t>
            </w:r>
          </w:p>
        </w:tc>
        <w:tc>
          <w:tcPr>
            <w:tcW w:w="2862" w:type="dxa"/>
            <w:noWrap/>
            <w:vAlign w:val="center"/>
          </w:tcPr>
          <w:p>
            <w:pPr>
              <w:pStyle w:val="7"/>
              <w:snapToGrid w:val="0"/>
              <w:spacing w:before="48"/>
              <w:ind w:firstLine="0" w:firstLineChars="0"/>
              <w:jc w:val="center"/>
              <w:rPr>
                <w:rFonts w:ascii="Times New Roman" w:hAnsi="Times New Roman" w:eastAsia="宋体" w:cs="Times New Roman"/>
                <w:bCs/>
                <w:kern w:val="0"/>
                <w:sz w:val="21"/>
                <w:szCs w:val="20"/>
                <w:lang w:val="en-US" w:eastAsia="zh-CN" w:bidi="ar-SA"/>
              </w:rPr>
            </w:pPr>
            <w:r>
              <w:rPr>
                <w:rFonts w:ascii="宋体" w:hAnsi="宋体" w:cs="宋体"/>
                <w:spacing w:val="-7"/>
                <w:szCs w:val="21"/>
              </w:rPr>
              <w:t>不可预见费用，包括但不限于由市场经济因素产生的人工及商品价格波动风险成本；</w:t>
            </w:r>
          </w:p>
        </w:tc>
        <w:tc>
          <w:tcPr>
            <w:tcW w:w="5674" w:type="dxa"/>
            <w:gridSpan w:val="5"/>
            <w:noWrap/>
            <w:vAlign w:val="center"/>
          </w:tcPr>
          <w:p>
            <w:pPr>
              <w:rPr>
                <w:rFonts w:ascii="Times New Roman" w:hAnsi="Times New Roman" w:eastAsia="宋体" w:cs="Times New Roman"/>
                <w:bCs/>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pPr>
              <w:pStyle w:val="7"/>
              <w:snapToGrid w:val="0"/>
              <w:spacing w:before="48"/>
              <w:ind w:firstLine="0"/>
              <w:jc w:val="center"/>
            </w:pPr>
            <w:r>
              <w:rPr>
                <w:rFonts w:hint="eastAsia"/>
              </w:rPr>
              <w:t>14</w:t>
            </w:r>
          </w:p>
        </w:tc>
        <w:tc>
          <w:tcPr>
            <w:tcW w:w="2862" w:type="dxa"/>
            <w:noWrap/>
            <w:vAlign w:val="center"/>
          </w:tcPr>
          <w:p>
            <w:pPr>
              <w:pStyle w:val="7"/>
              <w:snapToGrid w:val="0"/>
              <w:spacing w:before="48"/>
              <w:ind w:firstLine="0" w:firstLineChars="0"/>
              <w:jc w:val="center"/>
              <w:rPr>
                <w:rFonts w:ascii="Times New Roman" w:hAnsi="Times New Roman" w:eastAsia="宋体" w:cs="Times New Roman"/>
                <w:bCs/>
                <w:kern w:val="0"/>
                <w:sz w:val="21"/>
                <w:szCs w:val="20"/>
                <w:lang w:val="en-US" w:eastAsia="zh-CN" w:bidi="ar-SA"/>
              </w:rPr>
            </w:pPr>
            <w:r>
              <w:rPr>
                <w:rFonts w:hint="eastAsia"/>
                <w:bCs/>
              </w:rPr>
              <w:t>投标报价</w:t>
            </w:r>
          </w:p>
        </w:tc>
        <w:tc>
          <w:tcPr>
            <w:tcW w:w="5674" w:type="dxa"/>
            <w:gridSpan w:val="5"/>
            <w:noWrap/>
            <w:vAlign w:val="center"/>
          </w:tcPr>
          <w:p>
            <w:pPr>
              <w:pStyle w:val="7"/>
              <w:snapToGrid w:val="0"/>
              <w:spacing w:before="48"/>
              <w:ind w:firstLine="0"/>
            </w:pPr>
            <w:r>
              <w:rPr>
                <w:rFonts w:hint="eastAsia"/>
              </w:rPr>
              <w:t>（大写）人民币</w:t>
            </w:r>
          </w:p>
          <w:p>
            <w:pPr>
              <w:rPr>
                <w:rFonts w:ascii="Times New Roman" w:hAnsi="Times New Roman" w:eastAsia="宋体" w:cs="Times New Roman"/>
                <w:bCs/>
                <w:kern w:val="2"/>
                <w:sz w:val="21"/>
                <w:szCs w:val="24"/>
                <w:lang w:val="en-US" w:eastAsia="zh-CN" w:bidi="ar-SA"/>
              </w:rPr>
            </w:pPr>
            <w:r>
              <w:rPr>
                <w:rFonts w:hint="eastAsia"/>
                <w:bCs/>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noWrap/>
            <w:vAlign w:val="center"/>
          </w:tcPr>
          <w:p>
            <w:pPr>
              <w:pStyle w:val="7"/>
              <w:snapToGrid w:val="0"/>
              <w:spacing w:before="48"/>
              <w:ind w:firstLine="0"/>
              <w:jc w:val="center"/>
            </w:pPr>
          </w:p>
        </w:tc>
        <w:tc>
          <w:tcPr>
            <w:tcW w:w="2862" w:type="dxa"/>
            <w:noWrap/>
            <w:vAlign w:val="center"/>
          </w:tcPr>
          <w:p>
            <w:pPr>
              <w:pStyle w:val="7"/>
              <w:snapToGrid w:val="0"/>
              <w:spacing w:before="48"/>
              <w:ind w:firstLine="0" w:firstLineChars="0"/>
              <w:jc w:val="center"/>
              <w:rPr>
                <w:rFonts w:ascii="Times New Roman" w:hAnsi="Times New Roman" w:eastAsia="宋体" w:cs="Times New Roman"/>
                <w:bCs/>
                <w:kern w:val="0"/>
                <w:sz w:val="21"/>
                <w:szCs w:val="20"/>
                <w:lang w:val="en-US" w:eastAsia="zh-CN" w:bidi="ar-SA"/>
              </w:rPr>
            </w:pPr>
            <w:r>
              <w:rPr>
                <w:rFonts w:hint="eastAsia"/>
                <w:bCs/>
              </w:rPr>
              <w:t>备注</w:t>
            </w:r>
          </w:p>
        </w:tc>
        <w:tc>
          <w:tcPr>
            <w:tcW w:w="5674" w:type="dxa"/>
            <w:gridSpan w:val="5"/>
            <w:noWrap/>
            <w:vAlign w:val="center"/>
          </w:tcPr>
          <w:p>
            <w:pPr>
              <w:pStyle w:val="7"/>
              <w:snapToGrid w:val="0"/>
              <w:spacing w:before="48"/>
              <w:ind w:firstLine="480" w:firstLineChars="0"/>
              <w:rPr>
                <w:rFonts w:ascii="Times New Roman" w:hAnsi="Times New Roman" w:eastAsia="宋体" w:cs="Times New Roman"/>
                <w:bCs/>
                <w:kern w:val="0"/>
                <w:sz w:val="21"/>
                <w:szCs w:val="20"/>
                <w:lang w:val="en-US" w:eastAsia="zh-CN" w:bidi="ar-SA"/>
              </w:rPr>
            </w:pPr>
          </w:p>
        </w:tc>
      </w:tr>
    </w:tbl>
    <w:p>
      <w:pPr>
        <w:spacing w:line="360" w:lineRule="auto"/>
      </w:pPr>
    </w:p>
    <w:p>
      <w:pPr>
        <w:spacing w:line="360" w:lineRule="auto"/>
      </w:pPr>
      <w:r>
        <w:rPr>
          <w:rFonts w:hint="eastAsia"/>
        </w:rPr>
        <w:t>注：如本表格式内容不能满足需要，</w:t>
      </w:r>
      <w:r>
        <w:rPr>
          <w:rFonts w:hint="eastAsia" w:ascii="宋体" w:hAnsi="宋体"/>
          <w:bCs/>
        </w:rPr>
        <w:t>投标人</w:t>
      </w:r>
      <w:r>
        <w:rPr>
          <w:rFonts w:hint="eastAsia"/>
        </w:rPr>
        <w:t>可自行划表填写。</w:t>
      </w:r>
    </w:p>
    <w:p>
      <w:pPr>
        <w:adjustRightInd w:val="0"/>
        <w:snapToGrid w:val="0"/>
        <w:spacing w:line="400" w:lineRule="exact"/>
        <w:rPr>
          <w:rFonts w:ascii="宋体" w:hAnsi="宋体"/>
          <w:bCs/>
        </w:rPr>
      </w:pPr>
    </w:p>
    <w:p>
      <w:pPr>
        <w:adjustRightInd w:val="0"/>
        <w:snapToGrid w:val="0"/>
        <w:spacing w:line="400" w:lineRule="exact"/>
        <w:rPr>
          <w:rFonts w:ascii="宋体" w:hAnsi="宋体"/>
          <w:bCs/>
        </w:rPr>
      </w:pPr>
      <w:r>
        <w:rPr>
          <w:rFonts w:hint="eastAsia" w:ascii="宋体" w:hAnsi="宋体"/>
          <w:bCs/>
        </w:rPr>
        <w:t xml:space="preserve">投标人法定代表人或授权代理人（签字）： </w:t>
      </w:r>
    </w:p>
    <w:p>
      <w:pPr>
        <w:adjustRightInd w:val="0"/>
        <w:snapToGrid w:val="0"/>
        <w:spacing w:line="400" w:lineRule="exact"/>
        <w:rPr>
          <w:rFonts w:ascii="宋体" w:hAnsi="宋体"/>
          <w:bCs/>
          <w:u w:val="single"/>
        </w:rPr>
      </w:pPr>
      <w:r>
        <w:rPr>
          <w:rFonts w:hint="eastAsia" w:ascii="宋体" w:hAnsi="宋体"/>
          <w:bCs/>
        </w:rPr>
        <w:t>投标人名称（公章）：</w:t>
      </w:r>
    </w:p>
    <w:p/>
    <w:p>
      <w:pPr>
        <w:rPr>
          <w:rFonts w:cs="宋体"/>
        </w:rPr>
      </w:pPr>
      <w:r>
        <w:rPr>
          <w:rFonts w:hint="eastAsia" w:cs="宋体"/>
        </w:rPr>
        <w:br w:type="page"/>
      </w:r>
    </w:p>
    <w:p>
      <w:pPr>
        <w:pStyle w:val="5"/>
        <w:rPr>
          <w:rFonts w:cs="宋体"/>
        </w:rPr>
      </w:pPr>
      <w:r>
        <w:rPr>
          <w:rFonts w:hint="eastAsia" w:cs="宋体"/>
        </w:rPr>
        <w:t>附件四：商务条款偏离一览表</w:t>
      </w:r>
      <w:bookmarkEnd w:id="235"/>
      <w:bookmarkEnd w:id="236"/>
    </w:p>
    <w:p>
      <w:pPr>
        <w:adjustRightInd w:val="0"/>
        <w:snapToGrid w:val="0"/>
        <w:spacing w:line="360" w:lineRule="auto"/>
        <w:jc w:val="left"/>
        <w:rPr>
          <w:szCs w:val="18"/>
        </w:rPr>
      </w:pPr>
      <w:r>
        <w:rPr>
          <w:rFonts w:hint="eastAsia" w:ascii="宋体" w:hAnsi="宋体"/>
          <w:bCs/>
        </w:rPr>
        <w:t>项目编号:</w:t>
      </w:r>
      <w:r>
        <w:rPr>
          <w:rFonts w:hint="eastAsia" w:ascii="宋体" w:hAnsi="宋体"/>
          <w:b/>
          <w:bCs/>
          <w:u w:val="single"/>
        </w:rPr>
        <w:t>YJGD-20231017-011</w:t>
      </w:r>
    </w:p>
    <w:p>
      <w:pPr>
        <w:adjustRightInd w:val="0"/>
        <w:snapToGrid w:val="0"/>
        <w:spacing w:line="360" w:lineRule="auto"/>
        <w:ind w:left="1050" w:hanging="1050" w:hangingChars="500"/>
        <w:jc w:val="left"/>
        <w:rPr>
          <w:rFonts w:ascii="宋体" w:hAnsi="宋体"/>
          <w:b/>
          <w:bCs/>
          <w:caps/>
        </w:rPr>
      </w:pPr>
      <w:r>
        <w:rPr>
          <w:rFonts w:hint="eastAsia" w:ascii="宋体" w:hAnsi="宋体"/>
          <w:bCs/>
        </w:rPr>
        <w:t>项目名称：</w:t>
      </w:r>
      <w:r>
        <w:rPr>
          <w:rFonts w:hint="eastAsia"/>
          <w:szCs w:val="21"/>
          <w:u w:val="single"/>
        </w:rPr>
        <w:t>国家税务总局阳江高新技术产业开发区税务局物业管理服务项目</w:t>
      </w:r>
    </w:p>
    <w:p>
      <w:pPr>
        <w:spacing w:line="360" w:lineRule="auto"/>
        <w:rPr>
          <w:rFonts w:ascii="宋体" w:hAnsi="宋体" w:cs="宋体"/>
          <w:bCs/>
          <w:u w:val="single"/>
        </w:rPr>
      </w:pPr>
    </w:p>
    <w:tbl>
      <w:tblPr>
        <w:tblStyle w:val="21"/>
        <w:tblW w:w="9271" w:type="dxa"/>
        <w:jc w:val="center"/>
        <w:tblLayout w:type="fixed"/>
        <w:tblCellMar>
          <w:top w:w="0" w:type="dxa"/>
          <w:left w:w="54" w:type="dxa"/>
          <w:bottom w:w="0" w:type="dxa"/>
          <w:right w:w="54" w:type="dxa"/>
        </w:tblCellMar>
      </w:tblPr>
      <w:tblGrid>
        <w:gridCol w:w="441"/>
        <w:gridCol w:w="992"/>
        <w:gridCol w:w="3189"/>
        <w:gridCol w:w="3190"/>
        <w:gridCol w:w="850"/>
        <w:gridCol w:w="609"/>
      </w:tblGrid>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r>
              <w:rPr>
                <w:rFonts w:hint="eastAsia" w:ascii="宋体" w:hAnsi="宋体" w:cs="宋体"/>
                <w:bCs/>
              </w:rPr>
              <w:t>序号</w:t>
            </w: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r>
              <w:rPr>
                <w:rFonts w:hint="eastAsia" w:ascii="宋体" w:hAnsi="宋体" w:cs="宋体"/>
                <w:bCs/>
              </w:rPr>
              <w:t>招标文件条目</w:t>
            </w: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r>
              <w:rPr>
                <w:rFonts w:hint="eastAsia" w:ascii="宋体" w:hAnsi="宋体" w:cs="宋体"/>
                <w:szCs w:val="21"/>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r>
              <w:rPr>
                <w:rFonts w:hint="eastAsia" w:ascii="宋体" w:hAnsi="宋体" w:cs="宋体"/>
                <w:bCs/>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r>
              <w:rPr>
                <w:rFonts w:hint="eastAsia" w:ascii="宋体" w:hAnsi="宋体" w:cs="宋体"/>
                <w:bCs/>
              </w:rPr>
              <w:t>偏离</w:t>
            </w:r>
          </w:p>
          <w:p>
            <w:pPr>
              <w:adjustRightInd w:val="0"/>
              <w:snapToGrid w:val="0"/>
              <w:spacing w:line="360" w:lineRule="auto"/>
              <w:jc w:val="center"/>
              <w:rPr>
                <w:rFonts w:ascii="宋体" w:hAnsi="宋体" w:cs="宋体"/>
                <w:bCs/>
              </w:rPr>
            </w:pPr>
            <w:r>
              <w:rPr>
                <w:rFonts w:hint="eastAsia" w:ascii="宋体" w:hAnsi="宋体" w:cs="宋体"/>
                <w:bCs/>
              </w:rPr>
              <w:t>情况</w:t>
            </w: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r>
              <w:rPr>
                <w:rFonts w:hint="eastAsia" w:ascii="宋体" w:hAnsi="宋体" w:cs="宋体"/>
                <w:bCs/>
              </w:rPr>
              <w:t>说明</w:t>
            </w: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bl>
    <w:p>
      <w:pPr>
        <w:adjustRightInd w:val="0"/>
        <w:snapToGrid w:val="0"/>
        <w:spacing w:line="360" w:lineRule="auto"/>
        <w:rPr>
          <w:rFonts w:ascii="宋体" w:hAnsi="宋体" w:cs="宋体"/>
          <w:bCs/>
        </w:rPr>
      </w:pPr>
      <w:r>
        <w:rPr>
          <w:rFonts w:hint="eastAsia" w:ascii="宋体" w:hAnsi="宋体" w:cs="宋体"/>
          <w:bCs/>
        </w:rPr>
        <w:t>说明：1）对“偏离”一栏，填写“无偏离、细微偏离、重大偏离”；</w:t>
      </w:r>
    </w:p>
    <w:p>
      <w:pPr>
        <w:numPr>
          <w:ilvl w:val="0"/>
          <w:numId w:val="19"/>
        </w:numPr>
        <w:adjustRightInd w:val="0"/>
        <w:snapToGrid w:val="0"/>
        <w:spacing w:line="360" w:lineRule="auto"/>
        <w:ind w:firstLine="630" w:firstLineChars="300"/>
      </w:pPr>
      <w:r>
        <w:rPr>
          <w:rFonts w:hint="eastAsia" w:ascii="宋体" w:hAnsi="宋体" w:cs="宋体"/>
          <w:bCs/>
        </w:rPr>
        <w:t>对招标文件中商务条款按上列格式逐条说明。</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bCs/>
        </w:rPr>
      </w:pPr>
      <w:r>
        <w:rPr>
          <w:rFonts w:hint="eastAsia" w:ascii="宋体" w:hAnsi="宋体" w:cs="宋体"/>
          <w:szCs w:val="21"/>
        </w:rPr>
        <w:t>投标人</w:t>
      </w:r>
      <w:r>
        <w:rPr>
          <w:rFonts w:hint="eastAsia" w:ascii="宋体" w:hAnsi="宋体" w:cs="宋体"/>
          <w:bCs/>
        </w:rPr>
        <w:t>声明：表中未列明的商务条款，我方均表示完全响应招标文件商务条款的所有要求。</w:t>
      </w:r>
    </w:p>
    <w:p>
      <w:pPr>
        <w:adjustRightInd w:val="0"/>
        <w:snapToGrid w:val="0"/>
        <w:spacing w:line="360" w:lineRule="auto"/>
        <w:rPr>
          <w:rFonts w:ascii="宋体" w:hAnsi="宋体" w:cs="宋体"/>
          <w:bCs/>
        </w:rPr>
      </w:pPr>
      <w:r>
        <w:rPr>
          <w:rFonts w:hint="eastAsia" w:ascii="宋体" w:hAnsi="宋体" w:cs="宋体"/>
          <w:szCs w:val="21"/>
        </w:rPr>
        <w:t>投标人</w:t>
      </w:r>
      <w:r>
        <w:rPr>
          <w:rFonts w:hint="eastAsia" w:ascii="宋体" w:hAnsi="宋体" w:cs="宋体"/>
          <w:bCs/>
        </w:rPr>
        <w:t>法定代表人或授权代理人（签字）：</w:t>
      </w:r>
    </w:p>
    <w:p>
      <w:pPr>
        <w:adjustRightInd w:val="0"/>
        <w:snapToGrid w:val="0"/>
        <w:spacing w:line="360" w:lineRule="auto"/>
        <w:rPr>
          <w:rFonts w:ascii="宋体" w:hAnsi="宋体" w:cs="宋体"/>
          <w:bCs/>
          <w:u w:val="single"/>
        </w:rPr>
      </w:pPr>
      <w:r>
        <w:rPr>
          <w:rFonts w:hint="eastAsia" w:ascii="宋体" w:hAnsi="宋体" w:cs="宋体"/>
          <w:szCs w:val="21"/>
        </w:rPr>
        <w:t>投标人</w:t>
      </w:r>
      <w:r>
        <w:rPr>
          <w:rFonts w:hint="eastAsia" w:ascii="宋体" w:hAnsi="宋体" w:cs="宋体"/>
          <w:bCs/>
        </w:rPr>
        <w:t>名称（公章）：</w:t>
      </w:r>
    </w:p>
    <w:p>
      <w:pPr>
        <w:adjustRightInd w:val="0"/>
        <w:snapToGrid w:val="0"/>
        <w:spacing w:line="360" w:lineRule="auto"/>
        <w:rPr>
          <w:rFonts w:ascii="宋体" w:hAnsi="宋体" w:cs="宋体"/>
          <w:bCs/>
          <w:u w:val="single"/>
        </w:rPr>
        <w:sectPr>
          <w:footerReference r:id="rId22" w:type="first"/>
          <w:footerReference r:id="rId21" w:type="default"/>
          <w:pgSz w:w="11906" w:h="16838"/>
          <w:pgMar w:top="1418" w:right="1474" w:bottom="1418" w:left="1474" w:header="851" w:footer="340" w:gutter="0"/>
          <w:cols w:space="720" w:num="1"/>
          <w:titlePg/>
          <w:docGrid w:linePitch="312" w:charSpace="0"/>
        </w:sectPr>
      </w:pPr>
    </w:p>
    <w:p>
      <w:pPr>
        <w:pStyle w:val="5"/>
        <w:rPr>
          <w:rFonts w:cs="宋体"/>
        </w:rPr>
      </w:pPr>
      <w:bookmarkStart w:id="237" w:name="_Toc24917"/>
      <w:bookmarkStart w:id="238" w:name="_Toc30181"/>
      <w:bookmarkStart w:id="239" w:name="_Toc25477"/>
      <w:bookmarkStart w:id="240" w:name="_Toc6718"/>
      <w:bookmarkStart w:id="241" w:name="_Toc838"/>
      <w:bookmarkStart w:id="242" w:name="_Toc408126491"/>
      <w:bookmarkStart w:id="243" w:name="_Toc17016"/>
      <w:bookmarkStart w:id="244" w:name="_Toc1922"/>
      <w:bookmarkStart w:id="245" w:name="_Toc22004"/>
      <w:bookmarkStart w:id="246" w:name="_Toc11223"/>
      <w:bookmarkStart w:id="247" w:name="_Toc536740445"/>
      <w:bookmarkStart w:id="248" w:name="_Toc337632383"/>
      <w:bookmarkStart w:id="249" w:name="_Toc339020040"/>
      <w:bookmarkStart w:id="250" w:name="_Toc333237703"/>
      <w:bookmarkStart w:id="251" w:name="_Toc342296786"/>
      <w:bookmarkStart w:id="252" w:name="_Toc339020258"/>
      <w:bookmarkStart w:id="253" w:name="_Toc342398155"/>
      <w:bookmarkStart w:id="254" w:name="_Toc342060400"/>
      <w:bookmarkStart w:id="255" w:name="_Toc333935371"/>
      <w:bookmarkStart w:id="256" w:name="_Toc343612945"/>
      <w:bookmarkStart w:id="257" w:name="_Toc343247125"/>
      <w:bookmarkStart w:id="258" w:name="_Toc331512926"/>
      <w:bookmarkStart w:id="259" w:name="_Toc339019914"/>
      <w:bookmarkStart w:id="260" w:name="_Toc345312622"/>
      <w:bookmarkStart w:id="261" w:name="_Toc333237814"/>
      <w:bookmarkStart w:id="262" w:name="_Toc336681605"/>
      <w:bookmarkStart w:id="263" w:name="_Toc332206734"/>
      <w:bookmarkStart w:id="264" w:name="_Toc343248443"/>
      <w:bookmarkStart w:id="265" w:name="_Toc350756475"/>
      <w:bookmarkStart w:id="266" w:name="_Toc340677095"/>
      <w:bookmarkStart w:id="267" w:name="_Toc339020120"/>
      <w:bookmarkStart w:id="268" w:name="_Toc365985203"/>
      <w:bookmarkStart w:id="269" w:name="_Toc341348365"/>
      <w:bookmarkStart w:id="270" w:name="_Toc365967097"/>
      <w:bookmarkStart w:id="271" w:name="_Toc366072554"/>
      <w:bookmarkStart w:id="272" w:name="_Toc340672894"/>
      <w:bookmarkStart w:id="273" w:name="_Toc330460011"/>
      <w:bookmarkStart w:id="274" w:name="_Toc331684067"/>
      <w:bookmarkStart w:id="275" w:name="_Toc350438774"/>
      <w:bookmarkStart w:id="276" w:name="_Toc333935712"/>
      <w:bookmarkStart w:id="277" w:name="_Toc339362325"/>
      <w:bookmarkStart w:id="278" w:name="_Toc336681960"/>
      <w:bookmarkStart w:id="279" w:name="_Toc342312468"/>
      <w:bookmarkStart w:id="280" w:name="_Toc332270372"/>
      <w:bookmarkStart w:id="281" w:name="_Toc333238659"/>
      <w:bookmarkStart w:id="282" w:name="_Toc339441112"/>
      <w:bookmarkStart w:id="283" w:name="_Toc340507467"/>
      <w:r>
        <w:rPr>
          <w:rFonts w:hint="eastAsia" w:cs="宋体"/>
        </w:rPr>
        <w:t>附件五：技术条款偏离一览表</w:t>
      </w:r>
      <w:bookmarkEnd w:id="237"/>
      <w:bookmarkEnd w:id="238"/>
      <w:bookmarkEnd w:id="239"/>
      <w:bookmarkEnd w:id="240"/>
      <w:bookmarkEnd w:id="241"/>
      <w:bookmarkEnd w:id="242"/>
      <w:bookmarkEnd w:id="243"/>
      <w:bookmarkEnd w:id="244"/>
      <w:bookmarkEnd w:id="245"/>
      <w:bookmarkEnd w:id="246"/>
      <w:bookmarkEnd w:id="247"/>
    </w:p>
    <w:p>
      <w:pPr>
        <w:adjustRightInd w:val="0"/>
        <w:snapToGrid w:val="0"/>
        <w:spacing w:line="360" w:lineRule="auto"/>
        <w:jc w:val="left"/>
        <w:rPr>
          <w:szCs w:val="18"/>
        </w:rPr>
      </w:pPr>
      <w:r>
        <w:rPr>
          <w:rFonts w:hint="eastAsia" w:ascii="宋体" w:hAnsi="宋体"/>
          <w:bCs/>
        </w:rPr>
        <w:t>项目编号:</w:t>
      </w:r>
      <w:r>
        <w:rPr>
          <w:rFonts w:hint="eastAsia" w:ascii="宋体" w:hAnsi="宋体"/>
          <w:b/>
          <w:bCs/>
          <w:u w:val="single"/>
        </w:rPr>
        <w:t>YJGD-20231017-011</w:t>
      </w:r>
    </w:p>
    <w:p>
      <w:pPr>
        <w:adjustRightInd w:val="0"/>
        <w:snapToGrid w:val="0"/>
        <w:spacing w:line="360" w:lineRule="auto"/>
        <w:ind w:left="1050" w:hanging="1050" w:hangingChars="500"/>
        <w:jc w:val="left"/>
        <w:rPr>
          <w:rFonts w:ascii="宋体" w:hAnsi="宋体"/>
          <w:b/>
          <w:bCs/>
          <w:caps/>
        </w:rPr>
      </w:pPr>
      <w:r>
        <w:rPr>
          <w:rFonts w:hint="eastAsia" w:ascii="宋体" w:hAnsi="宋体"/>
          <w:bCs/>
        </w:rPr>
        <w:t>项目名称：</w:t>
      </w:r>
      <w:r>
        <w:rPr>
          <w:rFonts w:hint="eastAsia"/>
          <w:szCs w:val="21"/>
          <w:u w:val="single"/>
        </w:rPr>
        <w:t>国家税务总局阳江高新技术产业开发区税务局物业管理服务项目</w:t>
      </w:r>
    </w:p>
    <w:tbl>
      <w:tblPr>
        <w:tblStyle w:val="21"/>
        <w:tblW w:w="9271" w:type="dxa"/>
        <w:jc w:val="center"/>
        <w:tblLayout w:type="fixed"/>
        <w:tblCellMar>
          <w:top w:w="0" w:type="dxa"/>
          <w:left w:w="54" w:type="dxa"/>
          <w:bottom w:w="0" w:type="dxa"/>
          <w:right w:w="54" w:type="dxa"/>
        </w:tblCellMar>
      </w:tblPr>
      <w:tblGrid>
        <w:gridCol w:w="441"/>
        <w:gridCol w:w="1134"/>
        <w:gridCol w:w="3047"/>
        <w:gridCol w:w="3190"/>
        <w:gridCol w:w="850"/>
        <w:gridCol w:w="609"/>
      </w:tblGrid>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r>
              <w:rPr>
                <w:rFonts w:hint="eastAsia" w:ascii="宋体" w:hAnsi="宋体" w:cs="宋体"/>
                <w:bCs/>
              </w:rPr>
              <w:t>序号</w:t>
            </w: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r>
              <w:rPr>
                <w:rFonts w:hint="eastAsia" w:ascii="宋体" w:hAnsi="宋体" w:cs="宋体"/>
                <w:bCs/>
              </w:rPr>
              <w:t>招标文件条目</w:t>
            </w:r>
          </w:p>
        </w:tc>
        <w:tc>
          <w:tcPr>
            <w:tcW w:w="304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r>
              <w:rPr>
                <w:rFonts w:hint="eastAsia" w:ascii="宋体" w:hAnsi="宋体" w:cs="宋体"/>
                <w:szCs w:val="21"/>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r>
              <w:rPr>
                <w:rFonts w:hint="eastAsia" w:ascii="宋体" w:hAnsi="宋体" w:cs="宋体"/>
                <w:bCs/>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r>
              <w:rPr>
                <w:rFonts w:hint="eastAsia" w:ascii="宋体" w:hAnsi="宋体" w:cs="宋体"/>
                <w:bCs/>
              </w:rPr>
              <w:t>偏离</w:t>
            </w:r>
          </w:p>
          <w:p>
            <w:pPr>
              <w:adjustRightInd w:val="0"/>
              <w:snapToGrid w:val="0"/>
              <w:spacing w:line="360" w:lineRule="auto"/>
              <w:jc w:val="center"/>
              <w:rPr>
                <w:rFonts w:ascii="宋体" w:hAnsi="宋体" w:cs="宋体"/>
                <w:bCs/>
              </w:rPr>
            </w:pPr>
            <w:r>
              <w:rPr>
                <w:rFonts w:hint="eastAsia" w:ascii="宋体" w:hAnsi="宋体" w:cs="宋体"/>
                <w:bCs/>
              </w:rPr>
              <w:t>情况</w:t>
            </w: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r>
              <w:rPr>
                <w:rFonts w:hint="eastAsia" w:ascii="宋体" w:hAnsi="宋体" w:cs="宋体"/>
                <w:bCs/>
              </w:rPr>
              <w:t>说明</w:t>
            </w: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04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04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04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04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04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04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04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04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04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04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04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04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04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04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1134"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304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60" w:lineRule="auto"/>
              <w:jc w:val="center"/>
              <w:rPr>
                <w:rFonts w:ascii="宋体" w:hAnsi="宋体" w:cs="宋体"/>
                <w:bCs/>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Cs/>
              </w:rPr>
            </w:pPr>
          </w:p>
        </w:tc>
      </w:tr>
    </w:tbl>
    <w:p>
      <w:pPr>
        <w:adjustRightInd w:val="0"/>
        <w:snapToGrid w:val="0"/>
        <w:spacing w:line="360" w:lineRule="auto"/>
        <w:rPr>
          <w:rFonts w:ascii="宋体" w:hAnsi="宋体" w:cs="宋体"/>
          <w:bCs/>
        </w:rPr>
      </w:pPr>
      <w:r>
        <w:rPr>
          <w:rFonts w:hint="eastAsia" w:ascii="宋体" w:hAnsi="宋体" w:cs="宋体"/>
          <w:bCs/>
        </w:rPr>
        <w:t>说明：1）对“偏离”一栏，填写“无偏离、细微偏离、重大偏离”；</w:t>
      </w:r>
    </w:p>
    <w:p>
      <w:pPr>
        <w:adjustRightInd w:val="0"/>
        <w:snapToGrid w:val="0"/>
        <w:spacing w:line="360" w:lineRule="auto"/>
        <w:ind w:firstLine="630" w:firstLineChars="300"/>
        <w:rPr>
          <w:rFonts w:ascii="宋体" w:hAnsi="宋体" w:cs="宋体"/>
          <w:b/>
          <w:bCs/>
          <w:szCs w:val="21"/>
        </w:rPr>
      </w:pPr>
      <w:r>
        <w:rPr>
          <w:rFonts w:hint="eastAsia" w:ascii="宋体" w:hAnsi="宋体" w:cs="宋体"/>
          <w:bCs/>
        </w:rPr>
        <w:t>2）对招标文件中技术条款按上列格式逐条说明。</w:t>
      </w:r>
    </w:p>
    <w:p>
      <w:pPr>
        <w:adjustRightInd w:val="0"/>
        <w:snapToGrid w:val="0"/>
        <w:spacing w:line="360" w:lineRule="auto"/>
        <w:rPr>
          <w:rFonts w:ascii="宋体" w:hAnsi="宋体" w:cs="宋体"/>
          <w:b/>
          <w:bCs/>
        </w:rPr>
      </w:pPr>
    </w:p>
    <w:p>
      <w:pPr>
        <w:adjustRightInd w:val="0"/>
        <w:snapToGrid w:val="0"/>
        <w:spacing w:line="360" w:lineRule="auto"/>
        <w:rPr>
          <w:rFonts w:ascii="宋体" w:hAnsi="宋体" w:cs="宋体"/>
          <w:bCs/>
        </w:rPr>
      </w:pPr>
      <w:r>
        <w:rPr>
          <w:rFonts w:hint="eastAsia" w:ascii="宋体" w:hAnsi="宋体" w:cs="宋体"/>
          <w:szCs w:val="21"/>
        </w:rPr>
        <w:t>投标人</w:t>
      </w:r>
      <w:r>
        <w:rPr>
          <w:rFonts w:hint="eastAsia" w:ascii="宋体" w:hAnsi="宋体" w:cs="宋体"/>
          <w:bCs/>
        </w:rPr>
        <w:t>声明：表中未列明的技术条款，我方均表示完全响应招标文件技术条款的所有要求。</w:t>
      </w:r>
    </w:p>
    <w:p>
      <w:pPr>
        <w:adjustRightInd w:val="0"/>
        <w:snapToGrid w:val="0"/>
        <w:spacing w:line="360" w:lineRule="auto"/>
        <w:rPr>
          <w:rFonts w:ascii="宋体" w:hAnsi="宋体" w:cs="宋体"/>
          <w:bCs/>
        </w:rPr>
      </w:pPr>
      <w:r>
        <w:rPr>
          <w:rFonts w:hint="eastAsia" w:ascii="宋体" w:hAnsi="宋体" w:cs="宋体"/>
          <w:szCs w:val="21"/>
        </w:rPr>
        <w:t>投标人</w:t>
      </w:r>
      <w:r>
        <w:rPr>
          <w:rFonts w:hint="eastAsia" w:ascii="宋体" w:hAnsi="宋体" w:cs="宋体"/>
          <w:bCs/>
        </w:rPr>
        <w:t>法定代表人或授权代理人（签字）：</w:t>
      </w:r>
    </w:p>
    <w:p>
      <w:pPr>
        <w:adjustRightInd w:val="0"/>
        <w:snapToGrid w:val="0"/>
        <w:spacing w:line="360" w:lineRule="auto"/>
        <w:rPr>
          <w:rFonts w:ascii="宋体" w:hAnsi="宋体" w:cs="宋体"/>
          <w:bCs/>
        </w:rPr>
      </w:pPr>
      <w:r>
        <w:rPr>
          <w:rFonts w:hint="eastAsia" w:ascii="宋体" w:hAnsi="宋体" w:cs="宋体"/>
          <w:szCs w:val="21"/>
        </w:rPr>
        <w:t>投标人</w:t>
      </w:r>
      <w:r>
        <w:rPr>
          <w:rFonts w:hint="eastAsia" w:ascii="宋体" w:hAnsi="宋体" w:cs="宋体"/>
          <w:bCs/>
        </w:rPr>
        <w:t>名称（公章）：</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Pr>
        <w:pStyle w:val="4"/>
        <w:numPr>
          <w:ilvl w:val="1"/>
          <w:numId w:val="0"/>
        </w:numPr>
        <w:spacing w:before="48" w:after="48" w:line="400" w:lineRule="exact"/>
      </w:pPr>
      <w:bookmarkStart w:id="284" w:name="_Toc342296788"/>
      <w:bookmarkStart w:id="285" w:name="_Toc333238661"/>
      <w:bookmarkStart w:id="286" w:name="_Toc336681607"/>
      <w:bookmarkStart w:id="287" w:name="_Toc25196"/>
      <w:bookmarkStart w:id="288" w:name="_Toc343612947"/>
      <w:bookmarkStart w:id="289" w:name="_Toc343247127"/>
      <w:bookmarkStart w:id="290" w:name="_Toc341348367"/>
      <w:bookmarkStart w:id="291" w:name="_Toc337632385"/>
      <w:bookmarkStart w:id="292" w:name="_Toc339362327"/>
      <w:bookmarkStart w:id="293" w:name="_Toc31567"/>
      <w:bookmarkStart w:id="294" w:name="_Toc333237816"/>
      <w:bookmarkStart w:id="295" w:name="_Toc339441114"/>
      <w:bookmarkStart w:id="296" w:name="_Toc4317"/>
      <w:bookmarkStart w:id="297" w:name="_Toc332270374"/>
      <w:bookmarkStart w:id="298" w:name="_Toc21785"/>
      <w:bookmarkStart w:id="299" w:name="_Toc27925"/>
      <w:bookmarkStart w:id="300" w:name="_Toc342312470"/>
      <w:bookmarkStart w:id="301" w:name="_Toc333237705"/>
      <w:bookmarkStart w:id="302" w:name="_Toc331512928"/>
      <w:bookmarkStart w:id="303" w:name="_Toc343248445"/>
      <w:bookmarkStart w:id="304" w:name="_Toc332206736"/>
      <w:bookmarkStart w:id="305" w:name="_Toc365985205"/>
      <w:bookmarkStart w:id="306" w:name="_Toc339020260"/>
      <w:bookmarkStart w:id="307" w:name="_Toc336681962"/>
      <w:bookmarkStart w:id="308" w:name="_Toc342060402"/>
      <w:bookmarkStart w:id="309" w:name="_Toc365967099"/>
      <w:bookmarkStart w:id="310" w:name="_Toc366072556"/>
      <w:bookmarkStart w:id="311" w:name="_Toc339020122"/>
      <w:bookmarkStart w:id="312" w:name="_Toc330460013"/>
      <w:bookmarkStart w:id="313" w:name="_Toc408126493"/>
      <w:bookmarkStart w:id="314" w:name="_Toc350438776"/>
      <w:bookmarkStart w:id="315" w:name="_Toc14619"/>
      <w:bookmarkStart w:id="316" w:name="_Toc339019916"/>
      <w:bookmarkStart w:id="317" w:name="_Toc333935373"/>
      <w:bookmarkStart w:id="318" w:name="_Toc340672896"/>
      <w:bookmarkStart w:id="319" w:name="_Toc340677097"/>
      <w:bookmarkStart w:id="320" w:name="_Toc331684069"/>
      <w:bookmarkStart w:id="321" w:name="_Toc350756477"/>
      <w:bookmarkStart w:id="322" w:name="_Toc340507469"/>
      <w:bookmarkStart w:id="323" w:name="_Toc11521"/>
      <w:bookmarkStart w:id="324" w:name="_Toc536740447"/>
      <w:bookmarkStart w:id="325" w:name="_Toc13328"/>
      <w:bookmarkStart w:id="326" w:name="_Toc333935714"/>
      <w:bookmarkStart w:id="327" w:name="_Toc22348"/>
      <w:bookmarkStart w:id="328" w:name="_Toc342398157"/>
      <w:bookmarkStart w:id="329" w:name="_Toc345312624"/>
      <w:bookmarkStart w:id="330" w:name="_Toc339020042"/>
      <w:r>
        <w:rPr>
          <w:rFonts w:hint="eastAsia" w:cs="宋体"/>
        </w:rPr>
        <w:t>附件六：</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rFonts w:hint="eastAsia"/>
        </w:rPr>
        <w:t>中标服务费承诺</w:t>
      </w:r>
    </w:p>
    <w:p>
      <w:pPr>
        <w:pStyle w:val="5"/>
        <w:rPr>
          <w:rFonts w:cs="宋体"/>
        </w:rPr>
      </w:pPr>
    </w:p>
    <w:p>
      <w:pPr>
        <w:spacing w:line="360" w:lineRule="auto"/>
        <w:rPr>
          <w:rFonts w:ascii="宋体" w:hAnsi="宋体"/>
        </w:rPr>
      </w:pPr>
      <w:bookmarkStart w:id="331" w:name="_Toc387312903"/>
      <w:bookmarkStart w:id="332" w:name="_Toc7091"/>
      <w:bookmarkStart w:id="333" w:name="_Toc21206"/>
      <w:bookmarkStart w:id="334" w:name="_Toc369701014"/>
      <w:bookmarkStart w:id="335" w:name="_Toc26096"/>
      <w:bookmarkStart w:id="336" w:name="_Toc10252"/>
      <w:bookmarkStart w:id="337" w:name="_Toc28941"/>
      <w:bookmarkStart w:id="338" w:name="_Toc7022"/>
      <w:bookmarkStart w:id="339" w:name="_Toc408126494"/>
      <w:bookmarkStart w:id="340" w:name="_Toc6603"/>
      <w:bookmarkStart w:id="341" w:name="_Toc15971"/>
      <w:bookmarkStart w:id="342" w:name="_Toc536740448"/>
      <w:bookmarkStart w:id="343" w:name="_Toc29742"/>
      <w:r>
        <w:rPr>
          <w:rFonts w:hint="eastAsia" w:ascii="宋体" w:hAnsi="宋体"/>
        </w:rPr>
        <w:t>致</w:t>
      </w:r>
      <w:r>
        <w:rPr>
          <w:rFonts w:hint="eastAsia" w:ascii="宋体" w:hAnsi="宋体"/>
          <w:u w:val="single"/>
        </w:rPr>
        <w:t>广东国达工程项目咨询有限公司</w:t>
      </w:r>
      <w:r>
        <w:rPr>
          <w:rFonts w:hint="eastAsia" w:ascii="宋体" w:hAnsi="宋体"/>
        </w:rPr>
        <w:t>：</w:t>
      </w:r>
    </w:p>
    <w:p>
      <w:pPr>
        <w:spacing w:line="360" w:lineRule="auto"/>
        <w:rPr>
          <w:rFonts w:ascii="宋体" w:hAnsi="宋体"/>
        </w:rPr>
      </w:pPr>
    </w:p>
    <w:p>
      <w:pPr>
        <w:spacing w:line="440" w:lineRule="exact"/>
        <w:ind w:firstLine="420" w:firstLineChars="200"/>
        <w:rPr>
          <w:rFonts w:ascii="宋体" w:hAnsi="宋体"/>
        </w:rPr>
      </w:pPr>
      <w:r>
        <w:rPr>
          <w:rFonts w:hint="eastAsia" w:ascii="宋体" w:hAnsi="宋体"/>
        </w:rPr>
        <w:t>针对贵方组织的（项目名称：）招标（项目编号: ），我方承诺：</w:t>
      </w:r>
    </w:p>
    <w:p>
      <w:pPr>
        <w:spacing w:line="440" w:lineRule="exact"/>
        <w:ind w:firstLine="420" w:firstLineChars="200"/>
        <w:rPr>
          <w:rFonts w:ascii="宋体" w:hAnsi="宋体"/>
        </w:rPr>
      </w:pPr>
      <w:r>
        <w:rPr>
          <w:rFonts w:hint="eastAsia" w:ascii="宋体" w:hAnsi="宋体"/>
        </w:rPr>
        <w:t>1. 若我方中标，将严格遵照本项目招标文件的规定向代理采购机构缴纳中标服务费。</w:t>
      </w:r>
    </w:p>
    <w:p>
      <w:pPr>
        <w:spacing w:line="440" w:lineRule="exact"/>
        <w:ind w:firstLine="420" w:firstLineChars="200"/>
        <w:rPr>
          <w:rFonts w:ascii="宋体" w:hAnsi="宋体"/>
        </w:rPr>
      </w:pPr>
      <w:r>
        <w:rPr>
          <w:rFonts w:hint="eastAsia" w:ascii="宋体" w:hAnsi="宋体"/>
        </w:rPr>
        <w:t>2. 若我方中标后拒绝如数缴纳或未按本项目招标文件规定的期限缴纳中标服务费，则视为我方自动放弃该中标结果，贵</w:t>
      </w:r>
      <w:r>
        <w:rPr>
          <w:rFonts w:hint="eastAsia" w:ascii="宋体" w:hAnsi="宋体"/>
          <w:szCs w:val="21"/>
        </w:rPr>
        <w:t>方</w:t>
      </w:r>
      <w:r>
        <w:rPr>
          <w:rFonts w:hint="eastAsia" w:ascii="宋体" w:hAnsi="宋体"/>
        </w:rPr>
        <w:t>有权重新确定中标结果，</w:t>
      </w:r>
      <w:r>
        <w:rPr>
          <w:rFonts w:hint="eastAsia" w:ascii="宋体"/>
        </w:rPr>
        <w:t>我方对此无任何异议。</w:t>
      </w:r>
    </w:p>
    <w:p>
      <w:pPr>
        <w:spacing w:line="440" w:lineRule="exact"/>
        <w:rPr>
          <w:rFonts w:ascii="宋体" w:hAnsi="宋体"/>
        </w:rPr>
      </w:pPr>
    </w:p>
    <w:p>
      <w:pPr>
        <w:spacing w:line="440" w:lineRule="exact"/>
        <w:ind w:firstLine="420" w:firstLineChars="200"/>
        <w:rPr>
          <w:rFonts w:ascii="宋体" w:hAnsi="宋体"/>
        </w:rPr>
      </w:pPr>
    </w:p>
    <w:p>
      <w:pPr>
        <w:adjustRightInd w:val="0"/>
        <w:snapToGrid w:val="0"/>
        <w:spacing w:line="440" w:lineRule="exact"/>
        <w:rPr>
          <w:rFonts w:ascii="宋体" w:hAnsi="宋体"/>
          <w:bCs/>
        </w:rPr>
      </w:pPr>
      <w:r>
        <w:rPr>
          <w:rFonts w:hint="eastAsia" w:ascii="宋体" w:hAnsi="宋体"/>
          <w:bCs/>
        </w:rPr>
        <w:t>投标人法定代表人（负责人）或授权代理人（签字）：</w:t>
      </w:r>
    </w:p>
    <w:p>
      <w:pPr>
        <w:adjustRightInd w:val="0"/>
        <w:snapToGrid w:val="0"/>
        <w:spacing w:line="440" w:lineRule="exact"/>
        <w:rPr>
          <w:rFonts w:ascii="宋体" w:hAnsi="宋体"/>
          <w:bCs/>
          <w:u w:val="single"/>
        </w:rPr>
      </w:pPr>
      <w:r>
        <w:rPr>
          <w:rFonts w:hint="eastAsia" w:ascii="宋体" w:hAnsi="宋体"/>
          <w:bCs/>
        </w:rPr>
        <w:t>投标人名称（公章）：</w:t>
      </w:r>
    </w:p>
    <w:p>
      <w:pPr>
        <w:adjustRightInd w:val="0"/>
        <w:snapToGrid w:val="0"/>
        <w:spacing w:line="440" w:lineRule="exact"/>
        <w:rPr>
          <w:rFonts w:ascii="宋体" w:hAnsi="宋体"/>
          <w:bCs/>
        </w:rPr>
      </w:pPr>
      <w:r>
        <w:rPr>
          <w:rFonts w:hint="eastAsia" w:ascii="宋体" w:hAnsi="宋体"/>
          <w:bCs/>
          <w:szCs w:val="21"/>
        </w:rPr>
        <w:t>日期： 年月 日</w:t>
      </w:r>
    </w:p>
    <w:p>
      <w:pPr>
        <w:sectPr>
          <w:pgSz w:w="11906" w:h="16838"/>
          <w:pgMar w:top="1474" w:right="1418" w:bottom="1474" w:left="1418" w:header="851" w:footer="851" w:gutter="0"/>
          <w:cols w:space="720" w:num="1"/>
          <w:titlePg/>
          <w:docGrid w:linePitch="312" w:charSpace="0"/>
        </w:sectPr>
      </w:pPr>
    </w:p>
    <w:p>
      <w:pPr>
        <w:pStyle w:val="5"/>
        <w:rPr>
          <w:rFonts w:cs="宋体"/>
        </w:rPr>
      </w:pPr>
      <w:r>
        <w:rPr>
          <w:rFonts w:hint="eastAsia" w:cs="宋体"/>
        </w:rPr>
        <w:t>附件七：</w:t>
      </w:r>
      <w:bookmarkEnd w:id="331"/>
      <w:bookmarkEnd w:id="332"/>
      <w:bookmarkEnd w:id="333"/>
      <w:bookmarkEnd w:id="334"/>
      <w:bookmarkEnd w:id="335"/>
      <w:bookmarkEnd w:id="336"/>
      <w:bookmarkEnd w:id="337"/>
      <w:bookmarkEnd w:id="338"/>
      <w:bookmarkEnd w:id="339"/>
      <w:bookmarkEnd w:id="340"/>
      <w:r>
        <w:rPr>
          <w:rFonts w:hint="eastAsia" w:cs="宋体"/>
        </w:rPr>
        <w:t>服务方案</w:t>
      </w:r>
      <w:bookmarkEnd w:id="341"/>
      <w:bookmarkEnd w:id="342"/>
      <w:bookmarkEnd w:id="343"/>
    </w:p>
    <w:p>
      <w:pPr>
        <w:adjustRightInd w:val="0"/>
        <w:snapToGrid w:val="0"/>
        <w:spacing w:line="360" w:lineRule="auto"/>
        <w:jc w:val="left"/>
        <w:rPr>
          <w:szCs w:val="18"/>
        </w:rPr>
      </w:pPr>
      <w:r>
        <w:rPr>
          <w:rFonts w:hint="eastAsia" w:ascii="宋体" w:hAnsi="宋体"/>
          <w:bCs/>
        </w:rPr>
        <w:t>项目编号:</w:t>
      </w:r>
      <w:r>
        <w:rPr>
          <w:rFonts w:hint="eastAsia" w:ascii="宋体" w:hAnsi="宋体"/>
          <w:b/>
          <w:bCs/>
          <w:u w:val="single"/>
        </w:rPr>
        <w:t>YJGD-20231017-011</w:t>
      </w:r>
    </w:p>
    <w:p>
      <w:pPr>
        <w:adjustRightInd w:val="0"/>
        <w:snapToGrid w:val="0"/>
        <w:spacing w:line="360" w:lineRule="auto"/>
        <w:ind w:left="1050" w:hanging="1050" w:hangingChars="500"/>
        <w:jc w:val="left"/>
        <w:rPr>
          <w:rFonts w:ascii="宋体" w:hAnsi="宋体"/>
          <w:b/>
          <w:bCs/>
          <w:caps/>
        </w:rPr>
      </w:pPr>
      <w:r>
        <w:rPr>
          <w:rFonts w:hint="eastAsia" w:ascii="宋体" w:hAnsi="宋体"/>
          <w:bCs/>
        </w:rPr>
        <w:t>项目名称：</w:t>
      </w:r>
      <w:r>
        <w:rPr>
          <w:rFonts w:hint="eastAsia"/>
          <w:szCs w:val="21"/>
          <w:u w:val="single"/>
        </w:rPr>
        <w:t>国家税务总局阳江高新技术产业开发区税务局物业管理服务项目</w:t>
      </w:r>
    </w:p>
    <w:p>
      <w:pPr>
        <w:pStyle w:val="10"/>
        <w:adjustRightInd w:val="0"/>
        <w:snapToGrid w:val="0"/>
        <w:spacing w:line="360" w:lineRule="auto"/>
        <w:rPr>
          <w:rFonts w:hAnsi="宋体" w:cs="宋体"/>
          <w:bCs/>
        </w:rPr>
      </w:pPr>
    </w:p>
    <w:p>
      <w:pPr>
        <w:pStyle w:val="10"/>
        <w:numPr>
          <w:ilvl w:val="0"/>
          <w:numId w:val="20"/>
        </w:numPr>
        <w:adjustRightInd w:val="0"/>
        <w:snapToGrid w:val="0"/>
        <w:spacing w:line="360" w:lineRule="auto"/>
        <w:rPr>
          <w:rFonts w:hAnsi="宋体" w:cs="宋体"/>
          <w:bCs/>
          <w:szCs w:val="21"/>
        </w:rPr>
      </w:pPr>
      <w:r>
        <w:rPr>
          <w:rFonts w:hint="eastAsia" w:hAnsi="宋体" w:cs="宋体"/>
          <w:bCs/>
          <w:szCs w:val="21"/>
        </w:rPr>
        <w:t>物业管理服务方案</w:t>
      </w:r>
    </w:p>
    <w:p>
      <w:pPr>
        <w:pStyle w:val="10"/>
        <w:numPr>
          <w:ilvl w:val="0"/>
          <w:numId w:val="20"/>
        </w:numPr>
        <w:adjustRightInd w:val="0"/>
        <w:snapToGrid w:val="0"/>
        <w:spacing w:line="360" w:lineRule="auto"/>
        <w:rPr>
          <w:rFonts w:hAnsi="宋体" w:cs="宋体"/>
          <w:bCs/>
          <w:szCs w:val="21"/>
        </w:rPr>
      </w:pPr>
      <w:r>
        <w:rPr>
          <w:rFonts w:hint="eastAsia" w:hAnsi="宋体" w:cs="宋体"/>
          <w:bCs/>
          <w:szCs w:val="21"/>
        </w:rPr>
        <w:t>档案资料管理</w:t>
      </w:r>
    </w:p>
    <w:p>
      <w:pPr>
        <w:pStyle w:val="10"/>
        <w:numPr>
          <w:ilvl w:val="0"/>
          <w:numId w:val="20"/>
        </w:numPr>
        <w:adjustRightInd w:val="0"/>
        <w:snapToGrid w:val="0"/>
        <w:spacing w:line="360" w:lineRule="auto"/>
        <w:rPr>
          <w:rFonts w:hAnsi="宋体" w:cs="宋体"/>
          <w:bCs/>
          <w:szCs w:val="21"/>
        </w:rPr>
      </w:pPr>
      <w:r>
        <w:rPr>
          <w:rFonts w:hint="eastAsia" w:hAnsi="宋体" w:cs="宋体"/>
          <w:bCs/>
          <w:szCs w:val="21"/>
        </w:rPr>
        <w:t>突发应急方案</w:t>
      </w:r>
    </w:p>
    <w:p>
      <w:pPr>
        <w:pStyle w:val="10"/>
        <w:numPr>
          <w:ilvl w:val="0"/>
          <w:numId w:val="20"/>
        </w:numPr>
        <w:adjustRightInd w:val="0"/>
        <w:snapToGrid w:val="0"/>
        <w:spacing w:line="360" w:lineRule="auto"/>
        <w:rPr>
          <w:rFonts w:hAnsi="宋体" w:cs="宋体"/>
          <w:bCs/>
          <w:szCs w:val="21"/>
        </w:rPr>
      </w:pPr>
      <w:r>
        <w:rPr>
          <w:rFonts w:hint="eastAsia" w:hAnsi="宋体" w:cs="宋体"/>
          <w:bCs/>
          <w:szCs w:val="21"/>
        </w:rPr>
        <w:t>培训方案</w:t>
      </w:r>
    </w:p>
    <w:p>
      <w:pPr>
        <w:pStyle w:val="10"/>
        <w:numPr>
          <w:ilvl w:val="0"/>
          <w:numId w:val="20"/>
        </w:numPr>
        <w:adjustRightInd w:val="0"/>
        <w:snapToGrid w:val="0"/>
        <w:spacing w:line="360" w:lineRule="auto"/>
        <w:rPr>
          <w:rFonts w:hAnsi="宋体" w:cs="宋体"/>
          <w:bCs/>
          <w:szCs w:val="21"/>
        </w:rPr>
      </w:pPr>
      <w:r>
        <w:rPr>
          <w:rFonts w:hint="eastAsia" w:hAnsi="宋体" w:cs="宋体"/>
          <w:bCs/>
          <w:szCs w:val="21"/>
        </w:rPr>
        <w:t>……</w:t>
      </w:r>
    </w:p>
    <w:p>
      <w:pPr>
        <w:pStyle w:val="10"/>
        <w:adjustRightInd w:val="0"/>
        <w:snapToGrid w:val="0"/>
        <w:spacing w:line="360" w:lineRule="auto"/>
        <w:rPr>
          <w:rFonts w:hAnsi="宋体" w:cs="宋体"/>
          <w:bCs/>
        </w:rPr>
      </w:pPr>
    </w:p>
    <w:p>
      <w:pPr>
        <w:pStyle w:val="10"/>
        <w:adjustRightInd w:val="0"/>
        <w:snapToGrid w:val="0"/>
        <w:spacing w:line="360" w:lineRule="auto"/>
        <w:rPr>
          <w:rFonts w:hAnsi="宋体" w:cs="宋体"/>
          <w:bCs/>
        </w:rPr>
      </w:pPr>
    </w:p>
    <w:p>
      <w:pPr>
        <w:pStyle w:val="10"/>
        <w:adjustRightInd w:val="0"/>
        <w:snapToGrid w:val="0"/>
        <w:spacing w:line="360" w:lineRule="auto"/>
        <w:rPr>
          <w:rFonts w:hAnsi="宋体" w:cs="宋体"/>
          <w:bCs/>
        </w:rPr>
      </w:pPr>
      <w:r>
        <w:rPr>
          <w:rFonts w:hint="eastAsia" w:hAnsi="宋体" w:cs="宋体"/>
          <w:bCs/>
        </w:rPr>
        <w:t>（本章节格式自拟。）</w:t>
      </w:r>
    </w:p>
    <w:p>
      <w:pPr>
        <w:pStyle w:val="10"/>
        <w:adjustRightInd w:val="0"/>
        <w:snapToGrid w:val="0"/>
        <w:spacing w:line="360" w:lineRule="auto"/>
        <w:rPr>
          <w:rFonts w:hAnsi="宋体" w:cs="宋体"/>
          <w:bCs/>
        </w:rPr>
      </w:pPr>
    </w:p>
    <w:p>
      <w:pPr>
        <w:pStyle w:val="10"/>
        <w:adjustRightInd w:val="0"/>
        <w:snapToGrid w:val="0"/>
        <w:spacing w:line="360" w:lineRule="auto"/>
        <w:rPr>
          <w:rFonts w:hAnsi="宋体" w:cs="宋体"/>
          <w:bCs/>
        </w:rPr>
      </w:pPr>
    </w:p>
    <w:p>
      <w:pPr>
        <w:pStyle w:val="10"/>
        <w:adjustRightInd w:val="0"/>
        <w:snapToGrid w:val="0"/>
        <w:spacing w:line="360" w:lineRule="auto"/>
        <w:rPr>
          <w:rFonts w:hAnsi="宋体" w:cs="宋体"/>
          <w:bCs/>
        </w:rPr>
      </w:pPr>
    </w:p>
    <w:p>
      <w:pPr>
        <w:pStyle w:val="10"/>
        <w:adjustRightInd w:val="0"/>
        <w:snapToGrid w:val="0"/>
        <w:spacing w:line="360" w:lineRule="auto"/>
        <w:rPr>
          <w:rFonts w:hAnsi="宋体" w:cs="宋体"/>
          <w:bCs/>
        </w:rPr>
      </w:pPr>
    </w:p>
    <w:p>
      <w:pPr>
        <w:pStyle w:val="10"/>
        <w:adjustRightInd w:val="0"/>
        <w:snapToGrid w:val="0"/>
        <w:spacing w:line="360" w:lineRule="auto"/>
        <w:rPr>
          <w:rFonts w:hAnsi="宋体" w:cs="宋体"/>
          <w:bCs/>
        </w:rPr>
      </w:pPr>
    </w:p>
    <w:p>
      <w:pPr>
        <w:pStyle w:val="10"/>
        <w:adjustRightInd w:val="0"/>
        <w:snapToGrid w:val="0"/>
        <w:spacing w:line="360" w:lineRule="auto"/>
        <w:rPr>
          <w:rFonts w:hAnsi="宋体" w:cs="宋体"/>
          <w:bCs/>
        </w:rPr>
      </w:pPr>
    </w:p>
    <w:p>
      <w:pPr>
        <w:pStyle w:val="10"/>
        <w:adjustRightInd w:val="0"/>
        <w:snapToGrid w:val="0"/>
        <w:spacing w:line="360" w:lineRule="auto"/>
        <w:rPr>
          <w:rFonts w:hAnsi="宋体" w:cs="宋体"/>
          <w:bCs/>
        </w:rPr>
      </w:pPr>
    </w:p>
    <w:p>
      <w:pPr>
        <w:pStyle w:val="10"/>
        <w:adjustRightInd w:val="0"/>
        <w:snapToGrid w:val="0"/>
        <w:spacing w:line="360" w:lineRule="auto"/>
        <w:rPr>
          <w:rFonts w:hAnsi="宋体" w:cs="宋体"/>
          <w:bCs/>
        </w:rPr>
      </w:pPr>
    </w:p>
    <w:p>
      <w:pPr>
        <w:pStyle w:val="10"/>
        <w:adjustRightInd w:val="0"/>
        <w:snapToGrid w:val="0"/>
        <w:spacing w:line="360" w:lineRule="auto"/>
        <w:rPr>
          <w:rFonts w:hAnsi="宋体" w:cs="宋体"/>
          <w:bCs/>
        </w:rPr>
      </w:pPr>
    </w:p>
    <w:p>
      <w:pPr>
        <w:pStyle w:val="10"/>
        <w:adjustRightInd w:val="0"/>
        <w:snapToGrid w:val="0"/>
        <w:spacing w:line="360" w:lineRule="auto"/>
        <w:rPr>
          <w:rFonts w:hAnsi="宋体" w:cs="宋体"/>
          <w:bCs/>
        </w:rPr>
      </w:pPr>
    </w:p>
    <w:p>
      <w:pPr>
        <w:pStyle w:val="10"/>
        <w:adjustRightInd w:val="0"/>
        <w:snapToGrid w:val="0"/>
        <w:spacing w:line="360" w:lineRule="auto"/>
        <w:rPr>
          <w:rFonts w:hAnsi="宋体" w:cs="宋体"/>
          <w:bCs/>
        </w:rPr>
      </w:pPr>
    </w:p>
    <w:p>
      <w:pPr>
        <w:pStyle w:val="10"/>
        <w:adjustRightInd w:val="0"/>
        <w:snapToGrid w:val="0"/>
        <w:spacing w:line="360" w:lineRule="auto"/>
        <w:rPr>
          <w:rFonts w:hAnsi="宋体" w:cs="宋体"/>
          <w:bCs/>
        </w:rPr>
      </w:pPr>
    </w:p>
    <w:p>
      <w:pPr>
        <w:pStyle w:val="10"/>
        <w:adjustRightInd w:val="0"/>
        <w:snapToGrid w:val="0"/>
        <w:spacing w:line="360" w:lineRule="auto"/>
        <w:rPr>
          <w:rFonts w:hAnsi="宋体" w:cs="宋体"/>
          <w:bCs/>
        </w:rPr>
      </w:pPr>
    </w:p>
    <w:p>
      <w:pPr>
        <w:adjustRightInd w:val="0"/>
        <w:snapToGrid w:val="0"/>
        <w:spacing w:line="360" w:lineRule="auto"/>
        <w:rPr>
          <w:rFonts w:ascii="宋体" w:hAnsi="宋体" w:cs="宋体"/>
          <w:bCs/>
        </w:rPr>
      </w:pPr>
      <w:r>
        <w:rPr>
          <w:rFonts w:hint="eastAsia" w:ascii="宋体" w:hAnsi="宋体" w:cs="宋体"/>
          <w:bCs/>
        </w:rPr>
        <w:t>投标人法定代表人或授权代理人（签字）：</w:t>
      </w:r>
    </w:p>
    <w:p>
      <w:pPr>
        <w:adjustRightInd w:val="0"/>
        <w:snapToGrid w:val="0"/>
        <w:spacing w:line="360" w:lineRule="auto"/>
        <w:rPr>
          <w:rFonts w:ascii="宋体" w:hAnsi="宋体" w:cs="宋体"/>
          <w:bCs/>
        </w:rPr>
      </w:pPr>
      <w:r>
        <w:rPr>
          <w:rFonts w:hint="eastAsia" w:ascii="宋体" w:hAnsi="宋体" w:cs="宋体"/>
          <w:bCs/>
        </w:rPr>
        <w:t>投标人名称（加盖公章）：</w:t>
      </w:r>
    </w:p>
    <w:p>
      <w:pPr>
        <w:pStyle w:val="10"/>
        <w:adjustRightInd w:val="0"/>
        <w:snapToGrid w:val="0"/>
        <w:spacing w:line="360" w:lineRule="auto"/>
        <w:rPr>
          <w:rFonts w:hAnsi="宋体" w:cs="宋体"/>
          <w:szCs w:val="21"/>
        </w:rPr>
      </w:pPr>
      <w:r>
        <w:rPr>
          <w:rFonts w:hint="eastAsia" w:hAnsi="宋体" w:cs="宋体"/>
          <w:szCs w:val="21"/>
        </w:rPr>
        <w:t>日期：年月日</w:t>
      </w:r>
    </w:p>
    <w:p>
      <w:pPr>
        <w:pStyle w:val="10"/>
        <w:adjustRightInd w:val="0"/>
        <w:snapToGrid w:val="0"/>
        <w:spacing w:line="360" w:lineRule="auto"/>
        <w:rPr>
          <w:rFonts w:hAnsi="宋体" w:cs="宋体"/>
          <w:szCs w:val="21"/>
        </w:rPr>
      </w:pPr>
    </w:p>
    <w:p>
      <w:pPr>
        <w:rPr>
          <w:rFonts w:hAnsi="宋体" w:cs="宋体"/>
          <w:szCs w:val="21"/>
        </w:rPr>
      </w:pPr>
      <w:r>
        <w:rPr>
          <w:rFonts w:hAnsi="宋体" w:cs="宋体"/>
          <w:szCs w:val="21"/>
        </w:rPr>
        <w:br w:type="page"/>
      </w:r>
    </w:p>
    <w:p>
      <w:pPr>
        <w:pStyle w:val="10"/>
        <w:adjustRightInd w:val="0"/>
        <w:snapToGrid w:val="0"/>
        <w:spacing w:line="360" w:lineRule="auto"/>
        <w:rPr>
          <w:rFonts w:hAnsi="宋体" w:cs="宋体"/>
          <w:szCs w:val="21"/>
        </w:rPr>
      </w:pPr>
    </w:p>
    <w:p>
      <w:pPr>
        <w:pStyle w:val="5"/>
        <w:rPr>
          <w:rFonts w:cs="宋体"/>
        </w:rPr>
      </w:pPr>
      <w:bookmarkStart w:id="344" w:name="_Toc32026"/>
      <w:bookmarkStart w:id="345" w:name="_Toc536740449"/>
      <w:bookmarkStart w:id="346" w:name="_Toc7366"/>
      <w:bookmarkStart w:id="347" w:name="_Toc2651"/>
      <w:r>
        <w:rPr>
          <w:rFonts w:hint="eastAsia" w:cs="宋体"/>
        </w:rPr>
        <w:t>附件八：中小微企业声明函</w:t>
      </w:r>
      <w:bookmarkEnd w:id="344"/>
      <w:bookmarkEnd w:id="345"/>
      <w:bookmarkEnd w:id="346"/>
      <w:bookmarkEnd w:id="347"/>
    </w:p>
    <w:p>
      <w:pPr>
        <w:ind w:firstLine="480"/>
      </w:pPr>
      <w:r>
        <w:t>（以下格式文件由供应商根据需要选用）</w:t>
      </w:r>
    </w:p>
    <w:p>
      <w:pPr>
        <w:ind w:firstLine="480"/>
      </w:pPr>
      <w:r>
        <w:t>中小企业声明函（所投产品制造商为中小企业时提交本函，所属行业应符合采购文件中明确的本项目所属行业）</w:t>
      </w:r>
    </w:p>
    <w:p>
      <w:pPr>
        <w:jc w:val="center"/>
      </w:pPr>
      <w:r>
        <w:rPr>
          <w:b/>
          <w:sz w:val="24"/>
        </w:rPr>
        <w:t>中小企业声明函（货物）</w:t>
      </w:r>
    </w:p>
    <w:p>
      <w:pPr>
        <w:ind w:firstLine="480"/>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ind w:firstLine="480"/>
      </w:pPr>
      <w:r>
        <w:t>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r>
        <w:t xml:space="preserve"> 企业名称（盖章）：__________________</w:t>
      </w:r>
    </w:p>
    <w:p>
      <w:r>
        <w:t>日期： 年 月 日</w:t>
      </w:r>
    </w:p>
    <w:p>
      <w:pPr>
        <w:ind w:firstLine="480"/>
      </w:pPr>
    </w:p>
    <w:p>
      <w:pPr>
        <w:ind w:firstLine="480"/>
      </w:pPr>
    </w:p>
    <w:p>
      <w:pPr>
        <w:ind w:firstLine="480"/>
      </w:pPr>
      <w:r>
        <w:t>1：从业人员、营业收入、资产总额填报上一年度数据，无上一年度数据的新成立企业可不填报</w:t>
      </w:r>
    </w:p>
    <w:p>
      <w:pPr>
        <w:ind w:firstLine="480"/>
      </w:pPr>
      <w: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p/>
    <w:p>
      <w:pPr>
        <w:ind w:firstLine="480"/>
      </w:pPr>
      <w:r>
        <w:t>中小企业声明函（承建本项目工程为中小企业或者承接本项目服务为中小企业时提交本函，所属行业应符合采购文件中明确的本项目所属行业）</w:t>
      </w:r>
    </w:p>
    <w:p>
      <w:pPr>
        <w:jc w:val="center"/>
      </w:pPr>
      <w:r>
        <w:rPr>
          <w:b/>
          <w:sz w:val="24"/>
        </w:rPr>
        <w:t>中小企业声明函（工程、服务）</w:t>
      </w:r>
    </w:p>
    <w:p>
      <w:pPr>
        <w:ind w:firstLine="480"/>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t>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r>
        <w:t xml:space="preserve"> 企业名称（盖章）：__________________</w:t>
      </w:r>
    </w:p>
    <w:p>
      <w:r>
        <w:t>日期： 年 月 日</w:t>
      </w:r>
    </w:p>
    <w:p>
      <w:pPr>
        <w:ind w:firstLine="480"/>
      </w:pPr>
      <w:r>
        <w:t>1：从业人员、营业收入、资产总额填报上一年度数据，无上一年度数据的新成立企业可不填报。</w:t>
      </w:r>
    </w:p>
    <w:p>
      <w:pPr>
        <w:ind w:firstLine="480"/>
      </w:pPr>
      <w:r>
        <w:t>2：投标人应当自行核实是否属于小微企业，并认真填写声明函，若有虚假将追究其责任。</w:t>
      </w:r>
    </w:p>
    <w:p>
      <w:pPr>
        <w:adjustRightInd w:val="0"/>
        <w:snapToGrid w:val="0"/>
        <w:spacing w:line="360" w:lineRule="auto"/>
        <w:rPr>
          <w:rFonts w:ascii="宋体" w:hAnsi="宋体" w:cs="宋体"/>
        </w:rPr>
      </w:pPr>
    </w:p>
    <w:p>
      <w:pPr>
        <w:pStyle w:val="10"/>
        <w:adjustRightInd w:val="0"/>
        <w:snapToGrid w:val="0"/>
        <w:spacing w:line="360" w:lineRule="auto"/>
        <w:rPr>
          <w:rFonts w:hAnsi="宋体" w:cs="宋体"/>
          <w:szCs w:val="21"/>
        </w:rPr>
      </w:pPr>
    </w:p>
    <w:p>
      <w:pPr>
        <w:pStyle w:val="10"/>
        <w:adjustRightInd w:val="0"/>
        <w:snapToGrid w:val="0"/>
        <w:spacing w:line="360" w:lineRule="auto"/>
        <w:rPr>
          <w:rFonts w:hAnsi="宋体" w:cs="宋体"/>
          <w:szCs w:val="21"/>
        </w:rPr>
      </w:pPr>
    </w:p>
    <w:p>
      <w:pPr>
        <w:pStyle w:val="7"/>
        <w:spacing w:line="360" w:lineRule="auto"/>
        <w:rPr>
          <w:rFonts w:hAnsi="宋体" w:cs="宋体"/>
        </w:rPr>
        <w:sectPr>
          <w:footerReference r:id="rId24" w:type="first"/>
          <w:footerReference r:id="rId23" w:type="default"/>
          <w:pgSz w:w="11906" w:h="16838"/>
          <w:pgMar w:top="1418" w:right="1474" w:bottom="1418" w:left="1474" w:header="851" w:footer="851" w:gutter="0"/>
          <w:cols w:space="720" w:num="1"/>
          <w:docGrid w:linePitch="312" w:charSpace="0"/>
        </w:sectPr>
      </w:pPr>
    </w:p>
    <w:p>
      <w:pPr>
        <w:pStyle w:val="5"/>
        <w:rPr>
          <w:rFonts w:cs="宋体"/>
        </w:rPr>
      </w:pPr>
      <w:bookmarkStart w:id="348" w:name="_Toc345312626"/>
      <w:bookmarkStart w:id="349" w:name="_Toc350438778"/>
      <w:bookmarkStart w:id="350" w:name="_Toc339441116"/>
      <w:bookmarkStart w:id="351" w:name="_Toc536740450"/>
      <w:bookmarkStart w:id="352" w:name="_Toc13743"/>
      <w:bookmarkStart w:id="353" w:name="_Toc336681964"/>
      <w:bookmarkStart w:id="354" w:name="_Toc343247129"/>
      <w:bookmarkStart w:id="355" w:name="_Toc341348369"/>
      <w:bookmarkStart w:id="356" w:name="_Toc350756479"/>
      <w:bookmarkStart w:id="357" w:name="_Toc339020262"/>
      <w:bookmarkStart w:id="358" w:name="_Toc12829"/>
      <w:bookmarkStart w:id="359" w:name="_Toc342060404"/>
      <w:bookmarkStart w:id="360" w:name="_Toc332206738"/>
      <w:bookmarkStart w:id="361" w:name="_Toc333935375"/>
      <w:bookmarkStart w:id="362" w:name="_Toc365967104"/>
      <w:bookmarkStart w:id="363" w:name="_Toc333237818"/>
      <w:bookmarkStart w:id="364" w:name="_Toc11483"/>
      <w:bookmarkStart w:id="365" w:name="_Toc333935716"/>
      <w:bookmarkStart w:id="366" w:name="_Toc26073"/>
      <w:bookmarkStart w:id="367" w:name="_Toc31958"/>
      <w:bookmarkStart w:id="368" w:name="_Toc336681609"/>
      <w:bookmarkStart w:id="369" w:name="_Toc408126495"/>
      <w:bookmarkStart w:id="370" w:name="_Toc30450"/>
      <w:bookmarkStart w:id="371" w:name="_Toc365985210"/>
      <w:bookmarkStart w:id="372" w:name="_Toc343248447"/>
      <w:bookmarkStart w:id="373" w:name="_Toc339020124"/>
      <w:bookmarkStart w:id="374" w:name="_Toc343612949"/>
      <w:bookmarkStart w:id="375" w:name="_Toc331684071"/>
      <w:bookmarkStart w:id="376" w:name="_Toc342398159"/>
      <w:bookmarkStart w:id="377" w:name="_Toc332270376"/>
      <w:bookmarkStart w:id="378" w:name="_Toc333238663"/>
      <w:bookmarkStart w:id="379" w:name="_Toc366072561"/>
      <w:bookmarkStart w:id="380" w:name="_Toc333237707"/>
      <w:bookmarkStart w:id="381" w:name="_Toc16614"/>
      <w:bookmarkStart w:id="382" w:name="_Toc340507471"/>
      <w:bookmarkStart w:id="383" w:name="_Toc340672898"/>
      <w:bookmarkStart w:id="384" w:name="_Toc340677099"/>
      <w:bookmarkStart w:id="385" w:name="_Toc342296790"/>
      <w:bookmarkStart w:id="386" w:name="_Toc342312472"/>
      <w:bookmarkStart w:id="387" w:name="_Toc339019918"/>
      <w:bookmarkStart w:id="388" w:name="_Toc330460015"/>
      <w:bookmarkStart w:id="389" w:name="_Toc339020044"/>
      <w:bookmarkStart w:id="390" w:name="_Toc23611"/>
      <w:bookmarkStart w:id="391" w:name="_Toc337632387"/>
      <w:bookmarkStart w:id="392" w:name="_Toc331512930"/>
      <w:bookmarkStart w:id="393" w:name="_Toc339362329"/>
      <w:bookmarkStart w:id="394" w:name="_Toc9355"/>
      <w:r>
        <w:rPr>
          <w:rFonts w:hint="eastAsia" w:cs="宋体"/>
        </w:rPr>
        <w:t>附件九：投标人业绩情况一览表</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adjustRightInd w:val="0"/>
        <w:snapToGrid w:val="0"/>
        <w:spacing w:line="360" w:lineRule="auto"/>
        <w:jc w:val="left"/>
        <w:rPr>
          <w:szCs w:val="18"/>
        </w:rPr>
      </w:pPr>
      <w:r>
        <w:rPr>
          <w:rFonts w:hint="eastAsia" w:ascii="宋体" w:hAnsi="宋体"/>
          <w:bCs/>
        </w:rPr>
        <w:t>项目编号:</w:t>
      </w:r>
      <w:r>
        <w:rPr>
          <w:rFonts w:hint="eastAsia" w:ascii="宋体" w:hAnsi="宋体"/>
          <w:b/>
          <w:bCs/>
          <w:u w:val="single"/>
        </w:rPr>
        <w:t>YJGD-20231017-011</w:t>
      </w:r>
    </w:p>
    <w:p>
      <w:pPr>
        <w:adjustRightInd w:val="0"/>
        <w:snapToGrid w:val="0"/>
        <w:spacing w:line="360" w:lineRule="auto"/>
        <w:ind w:left="1050" w:hanging="1050" w:hangingChars="500"/>
        <w:jc w:val="left"/>
        <w:rPr>
          <w:rFonts w:ascii="宋体" w:hAnsi="宋体" w:cs="宋体"/>
          <w:bCs/>
        </w:rPr>
      </w:pPr>
      <w:r>
        <w:rPr>
          <w:rFonts w:hint="eastAsia" w:ascii="宋体" w:hAnsi="宋体"/>
          <w:bCs/>
        </w:rPr>
        <w:t>项目名称：</w:t>
      </w:r>
      <w:r>
        <w:rPr>
          <w:rFonts w:hint="eastAsia"/>
          <w:szCs w:val="21"/>
          <w:u w:val="single"/>
        </w:rPr>
        <w:t>国家税务总局阳江高新技术产业开发区税务局物业管理服务项目</w:t>
      </w:r>
    </w:p>
    <w:tbl>
      <w:tblPr>
        <w:tblStyle w:val="21"/>
        <w:tblW w:w="10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942"/>
        <w:gridCol w:w="2074"/>
        <w:gridCol w:w="1561"/>
        <w:gridCol w:w="1506"/>
        <w:gridCol w:w="1506"/>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45" w:type="dxa"/>
            <w:vAlign w:val="center"/>
          </w:tcPr>
          <w:p>
            <w:pPr>
              <w:pStyle w:val="7"/>
              <w:snapToGrid w:val="0"/>
              <w:ind w:firstLine="0"/>
              <w:jc w:val="center"/>
              <w:rPr>
                <w:rFonts w:hAnsi="宋体" w:cs="宋体"/>
                <w:bCs/>
              </w:rPr>
            </w:pPr>
            <w:r>
              <w:rPr>
                <w:rFonts w:hint="eastAsia" w:hAnsi="宋体" w:cs="宋体"/>
                <w:bCs/>
              </w:rPr>
              <w:t>序号</w:t>
            </w:r>
          </w:p>
        </w:tc>
        <w:tc>
          <w:tcPr>
            <w:tcW w:w="1942" w:type="dxa"/>
            <w:vAlign w:val="center"/>
          </w:tcPr>
          <w:p>
            <w:pPr>
              <w:pStyle w:val="7"/>
              <w:snapToGrid w:val="0"/>
              <w:ind w:firstLine="0"/>
              <w:jc w:val="center"/>
              <w:rPr>
                <w:rFonts w:hAnsi="宋体" w:cs="宋体"/>
                <w:bCs/>
              </w:rPr>
            </w:pPr>
            <w:r>
              <w:rPr>
                <w:rFonts w:hint="eastAsia"/>
              </w:rPr>
              <w:t>客户名称</w:t>
            </w:r>
          </w:p>
        </w:tc>
        <w:tc>
          <w:tcPr>
            <w:tcW w:w="2074" w:type="dxa"/>
            <w:vAlign w:val="center"/>
          </w:tcPr>
          <w:p>
            <w:pPr>
              <w:pStyle w:val="7"/>
              <w:snapToGrid w:val="0"/>
              <w:ind w:firstLine="0"/>
              <w:jc w:val="center"/>
              <w:rPr>
                <w:rFonts w:hAnsi="宋体" w:cs="宋体"/>
                <w:bCs/>
              </w:rPr>
            </w:pPr>
            <w:r>
              <w:rPr>
                <w:rFonts w:hint="eastAsia"/>
              </w:rPr>
              <w:t xml:space="preserve">项目名称及合同金额（万元） </w:t>
            </w:r>
          </w:p>
        </w:tc>
        <w:tc>
          <w:tcPr>
            <w:tcW w:w="1561" w:type="dxa"/>
            <w:vAlign w:val="center"/>
          </w:tcPr>
          <w:p>
            <w:pPr>
              <w:pStyle w:val="7"/>
              <w:snapToGrid w:val="0"/>
              <w:ind w:firstLine="0"/>
              <w:jc w:val="center"/>
              <w:rPr>
                <w:rFonts w:hAnsi="宋体" w:cs="宋体"/>
                <w:bCs/>
              </w:rPr>
            </w:pPr>
            <w:r>
              <w:rPr>
                <w:rFonts w:hint="eastAsia"/>
              </w:rPr>
              <w:t>签订合同时间</w:t>
            </w:r>
          </w:p>
        </w:tc>
        <w:tc>
          <w:tcPr>
            <w:tcW w:w="1506" w:type="dxa"/>
            <w:vAlign w:val="center"/>
          </w:tcPr>
          <w:p>
            <w:pPr>
              <w:pStyle w:val="7"/>
              <w:snapToGrid w:val="0"/>
              <w:ind w:firstLine="0"/>
              <w:jc w:val="center"/>
              <w:rPr>
                <w:rFonts w:hAnsi="宋体" w:cs="宋体"/>
                <w:bCs/>
              </w:rPr>
            </w:pPr>
            <w:r>
              <w:rPr>
                <w:rFonts w:hint="eastAsia"/>
              </w:rPr>
              <w:t>完成时间</w:t>
            </w:r>
          </w:p>
        </w:tc>
        <w:tc>
          <w:tcPr>
            <w:tcW w:w="1506" w:type="dxa"/>
            <w:vAlign w:val="center"/>
          </w:tcPr>
          <w:p>
            <w:pPr>
              <w:pStyle w:val="7"/>
              <w:snapToGrid w:val="0"/>
              <w:ind w:firstLine="0"/>
              <w:jc w:val="center"/>
              <w:rPr>
                <w:rFonts w:hAnsi="宋体" w:cs="宋体"/>
                <w:bCs/>
              </w:rPr>
            </w:pPr>
            <w:r>
              <w:rPr>
                <w:rFonts w:hint="eastAsia"/>
              </w:rPr>
              <w:t>联系人及电话</w:t>
            </w:r>
          </w:p>
        </w:tc>
        <w:tc>
          <w:tcPr>
            <w:tcW w:w="779" w:type="dxa"/>
            <w:vAlign w:val="center"/>
          </w:tcPr>
          <w:p>
            <w:pPr>
              <w:pStyle w:val="7"/>
              <w:snapToGrid w:val="0"/>
              <w:ind w:firstLine="0"/>
              <w:jc w:val="center"/>
              <w:rPr>
                <w:rFonts w:hAnsi="宋体" w:cs="宋体"/>
                <w:bCs/>
              </w:rPr>
            </w:pPr>
            <w:r>
              <w:rPr>
                <w:rFonts w:hint="eastAsia" w:hAnsi="宋体" w:cs="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5" w:type="dxa"/>
            <w:vAlign w:val="center"/>
          </w:tcPr>
          <w:p>
            <w:pPr>
              <w:pStyle w:val="7"/>
              <w:snapToGrid w:val="0"/>
              <w:spacing w:line="360" w:lineRule="auto"/>
              <w:ind w:firstLine="0"/>
              <w:jc w:val="center"/>
              <w:rPr>
                <w:rFonts w:hAnsi="宋体" w:cs="宋体"/>
                <w:bCs/>
              </w:rPr>
            </w:pPr>
          </w:p>
        </w:tc>
        <w:tc>
          <w:tcPr>
            <w:tcW w:w="1942" w:type="dxa"/>
            <w:vAlign w:val="center"/>
          </w:tcPr>
          <w:p>
            <w:pPr>
              <w:pStyle w:val="7"/>
              <w:snapToGrid w:val="0"/>
              <w:spacing w:line="360" w:lineRule="auto"/>
              <w:ind w:firstLine="0"/>
              <w:jc w:val="center"/>
              <w:rPr>
                <w:rFonts w:hAnsi="宋体" w:cs="宋体"/>
                <w:bCs/>
              </w:rPr>
            </w:pPr>
          </w:p>
        </w:tc>
        <w:tc>
          <w:tcPr>
            <w:tcW w:w="2074" w:type="dxa"/>
            <w:vAlign w:val="center"/>
          </w:tcPr>
          <w:p>
            <w:pPr>
              <w:pStyle w:val="7"/>
              <w:snapToGrid w:val="0"/>
              <w:spacing w:line="360" w:lineRule="auto"/>
              <w:jc w:val="center"/>
              <w:rPr>
                <w:rFonts w:hAnsi="宋体" w:cs="宋体"/>
                <w:bCs/>
              </w:rPr>
            </w:pPr>
          </w:p>
        </w:tc>
        <w:tc>
          <w:tcPr>
            <w:tcW w:w="1561" w:type="dxa"/>
            <w:vAlign w:val="center"/>
          </w:tcPr>
          <w:p>
            <w:pPr>
              <w:pStyle w:val="7"/>
              <w:snapToGrid w:val="0"/>
              <w:spacing w:line="360" w:lineRule="auto"/>
              <w:ind w:firstLine="0"/>
              <w:jc w:val="center"/>
              <w:rPr>
                <w:rFonts w:hAnsi="宋体" w:cs="宋体"/>
                <w:bCs/>
              </w:rPr>
            </w:pPr>
          </w:p>
        </w:tc>
        <w:tc>
          <w:tcPr>
            <w:tcW w:w="1506" w:type="dxa"/>
            <w:vAlign w:val="center"/>
          </w:tcPr>
          <w:p>
            <w:pPr>
              <w:pStyle w:val="7"/>
              <w:snapToGrid w:val="0"/>
              <w:spacing w:line="360" w:lineRule="auto"/>
              <w:jc w:val="center"/>
              <w:rPr>
                <w:rFonts w:hAnsi="宋体" w:cs="宋体"/>
                <w:bCs/>
              </w:rPr>
            </w:pPr>
          </w:p>
        </w:tc>
        <w:tc>
          <w:tcPr>
            <w:tcW w:w="1506" w:type="dxa"/>
            <w:vAlign w:val="center"/>
          </w:tcPr>
          <w:p>
            <w:pPr>
              <w:pStyle w:val="7"/>
              <w:snapToGrid w:val="0"/>
              <w:spacing w:line="360" w:lineRule="auto"/>
              <w:jc w:val="center"/>
              <w:rPr>
                <w:rFonts w:hAnsi="宋体" w:cs="宋体"/>
                <w:bCs/>
              </w:rPr>
            </w:pPr>
          </w:p>
        </w:tc>
        <w:tc>
          <w:tcPr>
            <w:tcW w:w="779" w:type="dxa"/>
            <w:vAlign w:val="center"/>
          </w:tcPr>
          <w:p>
            <w:pPr>
              <w:pStyle w:val="7"/>
              <w:snapToGrid w:val="0"/>
              <w:spacing w:line="360" w:lineRule="auto"/>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5" w:type="dxa"/>
            <w:vAlign w:val="center"/>
          </w:tcPr>
          <w:p>
            <w:pPr>
              <w:pStyle w:val="7"/>
              <w:snapToGrid w:val="0"/>
              <w:spacing w:line="360" w:lineRule="auto"/>
              <w:jc w:val="center"/>
              <w:rPr>
                <w:rFonts w:hAnsi="宋体" w:cs="宋体"/>
                <w:bCs/>
              </w:rPr>
            </w:pPr>
          </w:p>
        </w:tc>
        <w:tc>
          <w:tcPr>
            <w:tcW w:w="1942" w:type="dxa"/>
            <w:vAlign w:val="center"/>
          </w:tcPr>
          <w:p>
            <w:pPr>
              <w:pStyle w:val="7"/>
              <w:snapToGrid w:val="0"/>
              <w:spacing w:line="360" w:lineRule="auto"/>
              <w:jc w:val="center"/>
              <w:rPr>
                <w:rFonts w:hAnsi="宋体" w:cs="宋体"/>
                <w:bCs/>
              </w:rPr>
            </w:pPr>
          </w:p>
        </w:tc>
        <w:tc>
          <w:tcPr>
            <w:tcW w:w="2074" w:type="dxa"/>
            <w:vAlign w:val="center"/>
          </w:tcPr>
          <w:p>
            <w:pPr>
              <w:pStyle w:val="7"/>
              <w:snapToGrid w:val="0"/>
              <w:spacing w:line="360" w:lineRule="auto"/>
              <w:jc w:val="center"/>
              <w:rPr>
                <w:rFonts w:hAnsi="宋体" w:cs="宋体"/>
                <w:bCs/>
              </w:rPr>
            </w:pPr>
          </w:p>
        </w:tc>
        <w:tc>
          <w:tcPr>
            <w:tcW w:w="1561" w:type="dxa"/>
            <w:vAlign w:val="center"/>
          </w:tcPr>
          <w:p>
            <w:pPr>
              <w:pStyle w:val="7"/>
              <w:snapToGrid w:val="0"/>
              <w:spacing w:line="360" w:lineRule="auto"/>
              <w:jc w:val="center"/>
              <w:rPr>
                <w:rFonts w:hAnsi="宋体" w:cs="宋体"/>
                <w:bCs/>
              </w:rPr>
            </w:pPr>
          </w:p>
        </w:tc>
        <w:tc>
          <w:tcPr>
            <w:tcW w:w="1506" w:type="dxa"/>
            <w:vAlign w:val="center"/>
          </w:tcPr>
          <w:p>
            <w:pPr>
              <w:pStyle w:val="7"/>
              <w:snapToGrid w:val="0"/>
              <w:spacing w:line="360" w:lineRule="auto"/>
              <w:jc w:val="center"/>
              <w:rPr>
                <w:rFonts w:hAnsi="宋体" w:cs="宋体"/>
                <w:bCs/>
              </w:rPr>
            </w:pPr>
          </w:p>
        </w:tc>
        <w:tc>
          <w:tcPr>
            <w:tcW w:w="1506" w:type="dxa"/>
            <w:vAlign w:val="center"/>
          </w:tcPr>
          <w:p>
            <w:pPr>
              <w:pStyle w:val="7"/>
              <w:snapToGrid w:val="0"/>
              <w:spacing w:line="360" w:lineRule="auto"/>
              <w:jc w:val="center"/>
              <w:rPr>
                <w:rFonts w:hAnsi="宋体" w:cs="宋体"/>
                <w:bCs/>
              </w:rPr>
            </w:pPr>
          </w:p>
        </w:tc>
        <w:tc>
          <w:tcPr>
            <w:tcW w:w="779" w:type="dxa"/>
            <w:vAlign w:val="center"/>
          </w:tcPr>
          <w:p>
            <w:pPr>
              <w:pStyle w:val="7"/>
              <w:snapToGrid w:val="0"/>
              <w:spacing w:line="360" w:lineRule="auto"/>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5" w:type="dxa"/>
            <w:vAlign w:val="center"/>
          </w:tcPr>
          <w:p>
            <w:pPr>
              <w:pStyle w:val="7"/>
              <w:snapToGrid w:val="0"/>
              <w:spacing w:line="360" w:lineRule="auto"/>
              <w:jc w:val="center"/>
              <w:rPr>
                <w:rFonts w:hAnsi="宋体" w:cs="宋体"/>
                <w:bCs/>
              </w:rPr>
            </w:pPr>
          </w:p>
        </w:tc>
        <w:tc>
          <w:tcPr>
            <w:tcW w:w="1942" w:type="dxa"/>
            <w:vAlign w:val="center"/>
          </w:tcPr>
          <w:p>
            <w:pPr>
              <w:pStyle w:val="7"/>
              <w:snapToGrid w:val="0"/>
              <w:spacing w:line="360" w:lineRule="auto"/>
              <w:jc w:val="center"/>
              <w:rPr>
                <w:rFonts w:hAnsi="宋体" w:cs="宋体"/>
                <w:bCs/>
              </w:rPr>
            </w:pPr>
          </w:p>
        </w:tc>
        <w:tc>
          <w:tcPr>
            <w:tcW w:w="2074" w:type="dxa"/>
            <w:vAlign w:val="center"/>
          </w:tcPr>
          <w:p>
            <w:pPr>
              <w:pStyle w:val="7"/>
              <w:snapToGrid w:val="0"/>
              <w:spacing w:line="360" w:lineRule="auto"/>
              <w:jc w:val="center"/>
              <w:rPr>
                <w:rFonts w:hAnsi="宋体" w:cs="宋体"/>
                <w:bCs/>
              </w:rPr>
            </w:pPr>
          </w:p>
        </w:tc>
        <w:tc>
          <w:tcPr>
            <w:tcW w:w="1561" w:type="dxa"/>
            <w:vAlign w:val="center"/>
          </w:tcPr>
          <w:p>
            <w:pPr>
              <w:pStyle w:val="7"/>
              <w:snapToGrid w:val="0"/>
              <w:spacing w:line="360" w:lineRule="auto"/>
              <w:jc w:val="center"/>
              <w:rPr>
                <w:rFonts w:hAnsi="宋体" w:cs="宋体"/>
                <w:bCs/>
              </w:rPr>
            </w:pPr>
          </w:p>
        </w:tc>
        <w:tc>
          <w:tcPr>
            <w:tcW w:w="1506" w:type="dxa"/>
            <w:vAlign w:val="center"/>
          </w:tcPr>
          <w:p>
            <w:pPr>
              <w:pStyle w:val="7"/>
              <w:snapToGrid w:val="0"/>
              <w:spacing w:line="360" w:lineRule="auto"/>
              <w:jc w:val="center"/>
              <w:rPr>
                <w:rFonts w:hAnsi="宋体" w:cs="宋体"/>
                <w:bCs/>
              </w:rPr>
            </w:pPr>
          </w:p>
        </w:tc>
        <w:tc>
          <w:tcPr>
            <w:tcW w:w="1506" w:type="dxa"/>
            <w:vAlign w:val="center"/>
          </w:tcPr>
          <w:p>
            <w:pPr>
              <w:pStyle w:val="7"/>
              <w:snapToGrid w:val="0"/>
              <w:spacing w:line="360" w:lineRule="auto"/>
              <w:jc w:val="center"/>
              <w:rPr>
                <w:rFonts w:hAnsi="宋体" w:cs="宋体"/>
                <w:bCs/>
              </w:rPr>
            </w:pPr>
          </w:p>
        </w:tc>
        <w:tc>
          <w:tcPr>
            <w:tcW w:w="779" w:type="dxa"/>
            <w:vAlign w:val="center"/>
          </w:tcPr>
          <w:p>
            <w:pPr>
              <w:pStyle w:val="7"/>
              <w:snapToGrid w:val="0"/>
              <w:spacing w:line="360" w:lineRule="auto"/>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5" w:type="dxa"/>
            <w:vAlign w:val="center"/>
          </w:tcPr>
          <w:p>
            <w:pPr>
              <w:pStyle w:val="7"/>
              <w:snapToGrid w:val="0"/>
              <w:spacing w:line="360" w:lineRule="auto"/>
              <w:jc w:val="center"/>
              <w:rPr>
                <w:rFonts w:hAnsi="宋体" w:cs="宋体"/>
                <w:bCs/>
              </w:rPr>
            </w:pPr>
          </w:p>
        </w:tc>
        <w:tc>
          <w:tcPr>
            <w:tcW w:w="1942" w:type="dxa"/>
            <w:vAlign w:val="center"/>
          </w:tcPr>
          <w:p>
            <w:pPr>
              <w:pStyle w:val="7"/>
              <w:snapToGrid w:val="0"/>
              <w:spacing w:line="360" w:lineRule="auto"/>
              <w:jc w:val="center"/>
              <w:rPr>
                <w:rFonts w:hAnsi="宋体" w:cs="宋体"/>
                <w:bCs/>
              </w:rPr>
            </w:pPr>
          </w:p>
        </w:tc>
        <w:tc>
          <w:tcPr>
            <w:tcW w:w="2074" w:type="dxa"/>
            <w:vAlign w:val="center"/>
          </w:tcPr>
          <w:p>
            <w:pPr>
              <w:pStyle w:val="7"/>
              <w:snapToGrid w:val="0"/>
              <w:spacing w:line="360" w:lineRule="auto"/>
              <w:jc w:val="center"/>
              <w:rPr>
                <w:rFonts w:hAnsi="宋体" w:cs="宋体"/>
                <w:bCs/>
              </w:rPr>
            </w:pPr>
          </w:p>
        </w:tc>
        <w:tc>
          <w:tcPr>
            <w:tcW w:w="1561" w:type="dxa"/>
            <w:vAlign w:val="center"/>
          </w:tcPr>
          <w:p>
            <w:pPr>
              <w:pStyle w:val="7"/>
              <w:snapToGrid w:val="0"/>
              <w:spacing w:line="360" w:lineRule="auto"/>
              <w:jc w:val="center"/>
              <w:rPr>
                <w:rFonts w:hAnsi="宋体" w:cs="宋体"/>
                <w:bCs/>
              </w:rPr>
            </w:pPr>
          </w:p>
        </w:tc>
        <w:tc>
          <w:tcPr>
            <w:tcW w:w="1506" w:type="dxa"/>
            <w:vAlign w:val="center"/>
          </w:tcPr>
          <w:p>
            <w:pPr>
              <w:pStyle w:val="7"/>
              <w:snapToGrid w:val="0"/>
              <w:spacing w:line="360" w:lineRule="auto"/>
              <w:jc w:val="center"/>
              <w:rPr>
                <w:rFonts w:hAnsi="宋体" w:cs="宋体"/>
                <w:bCs/>
              </w:rPr>
            </w:pPr>
          </w:p>
        </w:tc>
        <w:tc>
          <w:tcPr>
            <w:tcW w:w="1506" w:type="dxa"/>
            <w:vAlign w:val="center"/>
          </w:tcPr>
          <w:p>
            <w:pPr>
              <w:pStyle w:val="7"/>
              <w:snapToGrid w:val="0"/>
              <w:spacing w:line="360" w:lineRule="auto"/>
              <w:jc w:val="center"/>
              <w:rPr>
                <w:rFonts w:hAnsi="宋体" w:cs="宋体"/>
                <w:bCs/>
              </w:rPr>
            </w:pPr>
          </w:p>
        </w:tc>
        <w:tc>
          <w:tcPr>
            <w:tcW w:w="779" w:type="dxa"/>
            <w:vAlign w:val="center"/>
          </w:tcPr>
          <w:p>
            <w:pPr>
              <w:pStyle w:val="7"/>
              <w:snapToGrid w:val="0"/>
              <w:spacing w:line="360" w:lineRule="auto"/>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5" w:type="dxa"/>
            <w:vAlign w:val="center"/>
          </w:tcPr>
          <w:p>
            <w:pPr>
              <w:pStyle w:val="7"/>
              <w:snapToGrid w:val="0"/>
              <w:spacing w:line="360" w:lineRule="auto"/>
              <w:jc w:val="center"/>
              <w:rPr>
                <w:rFonts w:hAnsi="宋体" w:cs="宋体"/>
                <w:bCs/>
              </w:rPr>
            </w:pPr>
          </w:p>
        </w:tc>
        <w:tc>
          <w:tcPr>
            <w:tcW w:w="1942" w:type="dxa"/>
            <w:vAlign w:val="center"/>
          </w:tcPr>
          <w:p>
            <w:pPr>
              <w:pStyle w:val="7"/>
              <w:snapToGrid w:val="0"/>
              <w:spacing w:line="360" w:lineRule="auto"/>
              <w:jc w:val="center"/>
              <w:rPr>
                <w:rFonts w:hAnsi="宋体" w:cs="宋体"/>
                <w:bCs/>
              </w:rPr>
            </w:pPr>
          </w:p>
        </w:tc>
        <w:tc>
          <w:tcPr>
            <w:tcW w:w="2074" w:type="dxa"/>
            <w:vAlign w:val="center"/>
          </w:tcPr>
          <w:p>
            <w:pPr>
              <w:pStyle w:val="7"/>
              <w:snapToGrid w:val="0"/>
              <w:spacing w:line="360" w:lineRule="auto"/>
              <w:jc w:val="center"/>
              <w:rPr>
                <w:rFonts w:hAnsi="宋体" w:cs="宋体"/>
                <w:bCs/>
              </w:rPr>
            </w:pPr>
          </w:p>
        </w:tc>
        <w:tc>
          <w:tcPr>
            <w:tcW w:w="1561" w:type="dxa"/>
            <w:vAlign w:val="center"/>
          </w:tcPr>
          <w:p>
            <w:pPr>
              <w:pStyle w:val="7"/>
              <w:snapToGrid w:val="0"/>
              <w:spacing w:line="360" w:lineRule="auto"/>
              <w:jc w:val="center"/>
              <w:rPr>
                <w:rFonts w:hAnsi="宋体" w:cs="宋体"/>
                <w:bCs/>
              </w:rPr>
            </w:pPr>
          </w:p>
        </w:tc>
        <w:tc>
          <w:tcPr>
            <w:tcW w:w="1506" w:type="dxa"/>
            <w:vAlign w:val="center"/>
          </w:tcPr>
          <w:p>
            <w:pPr>
              <w:pStyle w:val="7"/>
              <w:snapToGrid w:val="0"/>
              <w:spacing w:line="360" w:lineRule="auto"/>
              <w:jc w:val="center"/>
              <w:rPr>
                <w:rFonts w:hAnsi="宋体" w:cs="宋体"/>
                <w:bCs/>
              </w:rPr>
            </w:pPr>
          </w:p>
        </w:tc>
        <w:tc>
          <w:tcPr>
            <w:tcW w:w="1506" w:type="dxa"/>
            <w:vAlign w:val="center"/>
          </w:tcPr>
          <w:p>
            <w:pPr>
              <w:pStyle w:val="7"/>
              <w:snapToGrid w:val="0"/>
              <w:spacing w:line="360" w:lineRule="auto"/>
              <w:jc w:val="center"/>
              <w:rPr>
                <w:rFonts w:hAnsi="宋体" w:cs="宋体"/>
                <w:bCs/>
              </w:rPr>
            </w:pPr>
          </w:p>
        </w:tc>
        <w:tc>
          <w:tcPr>
            <w:tcW w:w="779" w:type="dxa"/>
            <w:vAlign w:val="center"/>
          </w:tcPr>
          <w:p>
            <w:pPr>
              <w:pStyle w:val="7"/>
              <w:snapToGrid w:val="0"/>
              <w:spacing w:line="360" w:lineRule="auto"/>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5" w:type="dxa"/>
            <w:vAlign w:val="center"/>
          </w:tcPr>
          <w:p>
            <w:pPr>
              <w:pStyle w:val="7"/>
              <w:snapToGrid w:val="0"/>
              <w:spacing w:line="360" w:lineRule="auto"/>
              <w:jc w:val="center"/>
              <w:rPr>
                <w:rFonts w:hAnsi="宋体" w:cs="宋体"/>
                <w:bCs/>
              </w:rPr>
            </w:pPr>
          </w:p>
        </w:tc>
        <w:tc>
          <w:tcPr>
            <w:tcW w:w="1942" w:type="dxa"/>
            <w:vAlign w:val="center"/>
          </w:tcPr>
          <w:p>
            <w:pPr>
              <w:pStyle w:val="7"/>
              <w:snapToGrid w:val="0"/>
              <w:spacing w:line="360" w:lineRule="auto"/>
              <w:jc w:val="center"/>
              <w:rPr>
                <w:rFonts w:hAnsi="宋体" w:cs="宋体"/>
                <w:bCs/>
              </w:rPr>
            </w:pPr>
          </w:p>
        </w:tc>
        <w:tc>
          <w:tcPr>
            <w:tcW w:w="2074" w:type="dxa"/>
            <w:vAlign w:val="center"/>
          </w:tcPr>
          <w:p>
            <w:pPr>
              <w:pStyle w:val="7"/>
              <w:snapToGrid w:val="0"/>
              <w:spacing w:line="360" w:lineRule="auto"/>
              <w:jc w:val="center"/>
              <w:rPr>
                <w:rFonts w:hAnsi="宋体" w:cs="宋体"/>
                <w:bCs/>
              </w:rPr>
            </w:pPr>
          </w:p>
        </w:tc>
        <w:tc>
          <w:tcPr>
            <w:tcW w:w="1561" w:type="dxa"/>
            <w:vAlign w:val="center"/>
          </w:tcPr>
          <w:p>
            <w:pPr>
              <w:pStyle w:val="7"/>
              <w:snapToGrid w:val="0"/>
              <w:spacing w:line="360" w:lineRule="auto"/>
              <w:jc w:val="center"/>
              <w:rPr>
                <w:rFonts w:hAnsi="宋体" w:cs="宋体"/>
                <w:bCs/>
              </w:rPr>
            </w:pPr>
          </w:p>
        </w:tc>
        <w:tc>
          <w:tcPr>
            <w:tcW w:w="1506" w:type="dxa"/>
            <w:vAlign w:val="center"/>
          </w:tcPr>
          <w:p>
            <w:pPr>
              <w:pStyle w:val="7"/>
              <w:snapToGrid w:val="0"/>
              <w:spacing w:line="360" w:lineRule="auto"/>
              <w:jc w:val="center"/>
              <w:rPr>
                <w:rFonts w:hAnsi="宋体" w:cs="宋体"/>
                <w:bCs/>
              </w:rPr>
            </w:pPr>
          </w:p>
        </w:tc>
        <w:tc>
          <w:tcPr>
            <w:tcW w:w="1506" w:type="dxa"/>
            <w:vAlign w:val="center"/>
          </w:tcPr>
          <w:p>
            <w:pPr>
              <w:pStyle w:val="7"/>
              <w:snapToGrid w:val="0"/>
              <w:spacing w:line="360" w:lineRule="auto"/>
              <w:jc w:val="center"/>
              <w:rPr>
                <w:rFonts w:hAnsi="宋体" w:cs="宋体"/>
                <w:bCs/>
              </w:rPr>
            </w:pPr>
          </w:p>
        </w:tc>
        <w:tc>
          <w:tcPr>
            <w:tcW w:w="779" w:type="dxa"/>
            <w:vAlign w:val="center"/>
          </w:tcPr>
          <w:p>
            <w:pPr>
              <w:pStyle w:val="7"/>
              <w:snapToGrid w:val="0"/>
              <w:spacing w:line="360" w:lineRule="auto"/>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5" w:type="dxa"/>
            <w:vAlign w:val="center"/>
          </w:tcPr>
          <w:p>
            <w:pPr>
              <w:pStyle w:val="7"/>
              <w:snapToGrid w:val="0"/>
              <w:spacing w:line="360" w:lineRule="auto"/>
              <w:jc w:val="center"/>
              <w:rPr>
                <w:rFonts w:hAnsi="宋体" w:cs="宋体"/>
                <w:bCs/>
              </w:rPr>
            </w:pPr>
          </w:p>
        </w:tc>
        <w:tc>
          <w:tcPr>
            <w:tcW w:w="1942" w:type="dxa"/>
            <w:vAlign w:val="center"/>
          </w:tcPr>
          <w:p>
            <w:pPr>
              <w:pStyle w:val="7"/>
              <w:snapToGrid w:val="0"/>
              <w:spacing w:line="360" w:lineRule="auto"/>
              <w:jc w:val="center"/>
              <w:rPr>
                <w:rFonts w:hAnsi="宋体" w:cs="宋体"/>
                <w:bCs/>
              </w:rPr>
            </w:pPr>
          </w:p>
        </w:tc>
        <w:tc>
          <w:tcPr>
            <w:tcW w:w="2074" w:type="dxa"/>
            <w:vAlign w:val="center"/>
          </w:tcPr>
          <w:p>
            <w:pPr>
              <w:pStyle w:val="7"/>
              <w:snapToGrid w:val="0"/>
              <w:spacing w:line="360" w:lineRule="auto"/>
              <w:jc w:val="center"/>
              <w:rPr>
                <w:rFonts w:hAnsi="宋体" w:cs="宋体"/>
                <w:bCs/>
              </w:rPr>
            </w:pPr>
          </w:p>
        </w:tc>
        <w:tc>
          <w:tcPr>
            <w:tcW w:w="1561" w:type="dxa"/>
            <w:vAlign w:val="center"/>
          </w:tcPr>
          <w:p>
            <w:pPr>
              <w:pStyle w:val="7"/>
              <w:snapToGrid w:val="0"/>
              <w:spacing w:line="360" w:lineRule="auto"/>
              <w:jc w:val="center"/>
              <w:rPr>
                <w:rFonts w:hAnsi="宋体" w:cs="宋体"/>
                <w:bCs/>
              </w:rPr>
            </w:pPr>
          </w:p>
        </w:tc>
        <w:tc>
          <w:tcPr>
            <w:tcW w:w="1506" w:type="dxa"/>
            <w:vAlign w:val="center"/>
          </w:tcPr>
          <w:p>
            <w:pPr>
              <w:pStyle w:val="7"/>
              <w:snapToGrid w:val="0"/>
              <w:spacing w:line="360" w:lineRule="auto"/>
              <w:jc w:val="center"/>
              <w:rPr>
                <w:rFonts w:hAnsi="宋体" w:cs="宋体"/>
                <w:bCs/>
              </w:rPr>
            </w:pPr>
          </w:p>
        </w:tc>
        <w:tc>
          <w:tcPr>
            <w:tcW w:w="1506" w:type="dxa"/>
            <w:vAlign w:val="center"/>
          </w:tcPr>
          <w:p>
            <w:pPr>
              <w:pStyle w:val="7"/>
              <w:snapToGrid w:val="0"/>
              <w:spacing w:line="360" w:lineRule="auto"/>
              <w:jc w:val="center"/>
              <w:rPr>
                <w:rFonts w:hAnsi="宋体" w:cs="宋体"/>
                <w:bCs/>
              </w:rPr>
            </w:pPr>
          </w:p>
        </w:tc>
        <w:tc>
          <w:tcPr>
            <w:tcW w:w="779" w:type="dxa"/>
            <w:vAlign w:val="center"/>
          </w:tcPr>
          <w:p>
            <w:pPr>
              <w:pStyle w:val="7"/>
              <w:snapToGrid w:val="0"/>
              <w:spacing w:line="360" w:lineRule="auto"/>
              <w:jc w:val="center"/>
              <w:rPr>
                <w:rFonts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45" w:type="dxa"/>
            <w:vAlign w:val="center"/>
          </w:tcPr>
          <w:p>
            <w:pPr>
              <w:pStyle w:val="7"/>
              <w:snapToGrid w:val="0"/>
              <w:spacing w:line="360" w:lineRule="auto"/>
              <w:jc w:val="center"/>
              <w:rPr>
                <w:rFonts w:hAnsi="宋体" w:cs="宋体"/>
                <w:bCs/>
              </w:rPr>
            </w:pPr>
          </w:p>
        </w:tc>
        <w:tc>
          <w:tcPr>
            <w:tcW w:w="1942" w:type="dxa"/>
            <w:vAlign w:val="center"/>
          </w:tcPr>
          <w:p>
            <w:pPr>
              <w:pStyle w:val="7"/>
              <w:snapToGrid w:val="0"/>
              <w:spacing w:line="360" w:lineRule="auto"/>
              <w:jc w:val="center"/>
              <w:rPr>
                <w:rFonts w:hAnsi="宋体" w:cs="宋体"/>
                <w:bCs/>
              </w:rPr>
            </w:pPr>
          </w:p>
        </w:tc>
        <w:tc>
          <w:tcPr>
            <w:tcW w:w="2074" w:type="dxa"/>
            <w:vAlign w:val="center"/>
          </w:tcPr>
          <w:p>
            <w:pPr>
              <w:pStyle w:val="7"/>
              <w:snapToGrid w:val="0"/>
              <w:spacing w:line="360" w:lineRule="auto"/>
              <w:jc w:val="center"/>
              <w:rPr>
                <w:rFonts w:hAnsi="宋体" w:cs="宋体"/>
                <w:bCs/>
              </w:rPr>
            </w:pPr>
          </w:p>
        </w:tc>
        <w:tc>
          <w:tcPr>
            <w:tcW w:w="1561" w:type="dxa"/>
            <w:vAlign w:val="center"/>
          </w:tcPr>
          <w:p>
            <w:pPr>
              <w:pStyle w:val="7"/>
              <w:snapToGrid w:val="0"/>
              <w:spacing w:line="360" w:lineRule="auto"/>
              <w:jc w:val="center"/>
              <w:rPr>
                <w:rFonts w:hAnsi="宋体" w:cs="宋体"/>
                <w:bCs/>
              </w:rPr>
            </w:pPr>
          </w:p>
        </w:tc>
        <w:tc>
          <w:tcPr>
            <w:tcW w:w="1506" w:type="dxa"/>
            <w:vAlign w:val="center"/>
          </w:tcPr>
          <w:p>
            <w:pPr>
              <w:pStyle w:val="7"/>
              <w:snapToGrid w:val="0"/>
              <w:spacing w:line="360" w:lineRule="auto"/>
              <w:jc w:val="center"/>
              <w:rPr>
                <w:rFonts w:hAnsi="宋体" w:cs="宋体"/>
                <w:bCs/>
              </w:rPr>
            </w:pPr>
          </w:p>
        </w:tc>
        <w:tc>
          <w:tcPr>
            <w:tcW w:w="1506" w:type="dxa"/>
            <w:vAlign w:val="center"/>
          </w:tcPr>
          <w:p>
            <w:pPr>
              <w:pStyle w:val="7"/>
              <w:snapToGrid w:val="0"/>
              <w:spacing w:line="360" w:lineRule="auto"/>
              <w:jc w:val="center"/>
              <w:rPr>
                <w:rFonts w:hAnsi="宋体" w:cs="宋体"/>
                <w:bCs/>
              </w:rPr>
            </w:pPr>
          </w:p>
        </w:tc>
        <w:tc>
          <w:tcPr>
            <w:tcW w:w="779" w:type="dxa"/>
            <w:vAlign w:val="center"/>
          </w:tcPr>
          <w:p>
            <w:pPr>
              <w:pStyle w:val="7"/>
              <w:snapToGrid w:val="0"/>
              <w:spacing w:line="360" w:lineRule="auto"/>
              <w:jc w:val="center"/>
              <w:rPr>
                <w:rFonts w:hAnsi="宋体" w:cs="宋体"/>
                <w:bCs/>
              </w:rPr>
            </w:pPr>
          </w:p>
        </w:tc>
      </w:tr>
    </w:tbl>
    <w:p>
      <w:pPr>
        <w:pStyle w:val="7"/>
        <w:snapToGrid w:val="0"/>
        <w:spacing w:line="360" w:lineRule="auto"/>
        <w:ind w:firstLine="0"/>
        <w:rPr>
          <w:rFonts w:hAnsi="宋体" w:cs="宋体"/>
          <w:bCs/>
        </w:rPr>
      </w:pPr>
      <w:r>
        <w:rPr>
          <w:rFonts w:hint="eastAsia" w:hAnsi="宋体" w:cs="宋体"/>
          <w:bCs/>
        </w:rPr>
        <w:t>注：1、如本表格式内容不能满足需要，投标人可自行划表填写，但必须体现以上内容。</w:t>
      </w:r>
    </w:p>
    <w:p>
      <w:pPr>
        <w:pStyle w:val="7"/>
        <w:numPr>
          <w:ilvl w:val="1"/>
          <w:numId w:val="21"/>
        </w:numPr>
        <w:snapToGrid w:val="0"/>
        <w:spacing w:line="360" w:lineRule="auto"/>
        <w:rPr>
          <w:rFonts w:hAnsi="宋体" w:cs="宋体"/>
          <w:bCs/>
        </w:rPr>
      </w:pPr>
      <w:r>
        <w:rPr>
          <w:rFonts w:hint="eastAsia" w:hAnsi="宋体" w:cs="宋体"/>
          <w:bCs/>
        </w:rPr>
        <w:t>至少应提供上述项目包括合同关键页（复印件加盖公章）。</w:t>
      </w:r>
      <w:r>
        <w:rPr>
          <w:rFonts w:hint="eastAsia" w:hAnsi="宋体" w:cs="宋体"/>
          <w:b/>
          <w:bCs/>
        </w:rPr>
        <w:t>若投标人未按要求提供，则其将承担业绩不计分的风险</w:t>
      </w:r>
      <w:r>
        <w:rPr>
          <w:rFonts w:hint="eastAsia" w:hAnsi="宋体" w:cs="宋体"/>
          <w:bCs/>
        </w:rPr>
        <w:t>。</w:t>
      </w:r>
    </w:p>
    <w:p>
      <w:pPr>
        <w:pStyle w:val="7"/>
        <w:snapToGrid w:val="0"/>
        <w:spacing w:line="360" w:lineRule="auto"/>
        <w:rPr>
          <w:rFonts w:hAnsi="宋体" w:cs="宋体"/>
          <w:bCs/>
        </w:rPr>
      </w:pPr>
    </w:p>
    <w:p>
      <w:pPr>
        <w:adjustRightInd w:val="0"/>
        <w:snapToGrid w:val="0"/>
        <w:spacing w:line="360" w:lineRule="auto"/>
        <w:rPr>
          <w:rFonts w:ascii="宋体" w:hAnsi="宋体" w:cs="宋体"/>
          <w:bCs/>
        </w:rPr>
      </w:pPr>
      <w:r>
        <w:rPr>
          <w:rFonts w:hint="eastAsia" w:ascii="宋体" w:hAnsi="宋体" w:cs="宋体"/>
          <w:szCs w:val="21"/>
        </w:rPr>
        <w:t>投标人</w:t>
      </w:r>
      <w:r>
        <w:rPr>
          <w:rFonts w:hint="eastAsia" w:ascii="宋体" w:hAnsi="宋体" w:cs="宋体"/>
          <w:bCs/>
        </w:rPr>
        <w:t>法定代表人或授权代理人（签字）：</w:t>
      </w:r>
    </w:p>
    <w:p>
      <w:pPr>
        <w:adjustRightInd w:val="0"/>
        <w:snapToGrid w:val="0"/>
        <w:spacing w:line="360" w:lineRule="auto"/>
        <w:rPr>
          <w:rFonts w:ascii="宋体" w:hAnsi="宋体" w:cs="宋体"/>
          <w:bCs/>
        </w:rPr>
      </w:pPr>
      <w:r>
        <w:rPr>
          <w:rFonts w:hint="eastAsia" w:ascii="宋体" w:hAnsi="宋体" w:cs="宋体"/>
          <w:szCs w:val="21"/>
        </w:rPr>
        <w:t>投标人</w:t>
      </w:r>
      <w:r>
        <w:rPr>
          <w:rFonts w:hint="eastAsia" w:ascii="宋体" w:hAnsi="宋体" w:cs="宋体"/>
          <w:bCs/>
        </w:rPr>
        <w:t>名称（公章）：</w:t>
      </w:r>
    </w:p>
    <w:p>
      <w:pPr>
        <w:pStyle w:val="4"/>
        <w:spacing w:before="48" w:after="48"/>
        <w:rPr>
          <w:rFonts w:cs="宋体"/>
        </w:rPr>
        <w:sectPr>
          <w:footerReference r:id="rId26" w:type="first"/>
          <w:footerReference r:id="rId25" w:type="default"/>
          <w:pgSz w:w="11906" w:h="16838"/>
          <w:pgMar w:top="1474" w:right="1418" w:bottom="1474" w:left="1418" w:header="737" w:footer="850" w:gutter="0"/>
          <w:cols w:space="720" w:num="1"/>
          <w:titlePg/>
          <w:docGrid w:linePitch="312" w:charSpace="0"/>
        </w:sectPr>
      </w:pPr>
    </w:p>
    <w:p>
      <w:pPr>
        <w:pStyle w:val="5"/>
        <w:rPr>
          <w:rFonts w:cs="宋体"/>
        </w:rPr>
      </w:pPr>
      <w:bookmarkStart w:id="395" w:name="_Toc326065622"/>
      <w:bookmarkStart w:id="396" w:name="_Toc21594"/>
      <w:bookmarkStart w:id="397" w:name="_Toc343247131"/>
      <w:bookmarkStart w:id="398" w:name="_Toc337632389"/>
      <w:bookmarkStart w:id="399" w:name="_Toc365985212"/>
      <w:bookmarkStart w:id="400" w:name="_Toc3255"/>
      <w:bookmarkStart w:id="401" w:name="_Toc331512932"/>
      <w:bookmarkStart w:id="402" w:name="_Toc340507473"/>
      <w:bookmarkStart w:id="403" w:name="_Toc7418"/>
      <w:bookmarkStart w:id="404" w:name="_Toc339020046"/>
      <w:bookmarkStart w:id="405" w:name="_Toc343248449"/>
      <w:bookmarkStart w:id="406" w:name="_Toc332206740"/>
      <w:bookmarkStart w:id="407" w:name="_Toc17858"/>
      <w:bookmarkStart w:id="408" w:name="_Toc340677101"/>
      <w:bookmarkStart w:id="409" w:name="_Toc339020126"/>
      <w:bookmarkStart w:id="410" w:name="_Toc365967106"/>
      <w:bookmarkStart w:id="411" w:name="_Toc342312474"/>
      <w:bookmarkStart w:id="412" w:name="_Toc339441118"/>
      <w:bookmarkStart w:id="413" w:name="_Toc333237709"/>
      <w:bookmarkStart w:id="414" w:name="_Toc330460017"/>
      <w:bookmarkStart w:id="415" w:name="_Toc408126497"/>
      <w:bookmarkStart w:id="416" w:name="_Toc4931"/>
      <w:bookmarkStart w:id="417" w:name="_Toc30418"/>
      <w:bookmarkStart w:id="418" w:name="_Toc536740451"/>
      <w:bookmarkStart w:id="419" w:name="_Toc333935718"/>
      <w:bookmarkStart w:id="420" w:name="_Toc336681611"/>
      <w:bookmarkStart w:id="421" w:name="_Toc29091"/>
      <w:bookmarkStart w:id="422" w:name="_Toc366072563"/>
      <w:bookmarkStart w:id="423" w:name="_Toc336681966"/>
      <w:bookmarkStart w:id="424" w:name="_Toc339362331"/>
      <w:bookmarkStart w:id="425" w:name="_Toc342296792"/>
      <w:bookmarkStart w:id="426" w:name="_Toc342060406"/>
      <w:bookmarkStart w:id="427" w:name="_Toc340672900"/>
      <w:bookmarkStart w:id="428" w:name="_Toc22376"/>
      <w:bookmarkStart w:id="429" w:name="_Toc350756481"/>
      <w:bookmarkStart w:id="430" w:name="_Toc350438780"/>
      <w:bookmarkStart w:id="431" w:name="_Toc333935377"/>
      <w:bookmarkStart w:id="432" w:name="_Toc331684073"/>
      <w:bookmarkStart w:id="433" w:name="_Toc342398161"/>
      <w:bookmarkStart w:id="434" w:name="_Toc31351"/>
      <w:bookmarkStart w:id="435" w:name="_Toc332270378"/>
      <w:bookmarkStart w:id="436" w:name="_Toc343612951"/>
      <w:bookmarkStart w:id="437" w:name="_Toc333238665"/>
      <w:bookmarkStart w:id="438" w:name="_Toc341348371"/>
      <w:bookmarkStart w:id="439" w:name="_Toc345312628"/>
      <w:bookmarkStart w:id="440" w:name="_Toc339020264"/>
      <w:bookmarkStart w:id="441" w:name="_Toc339019920"/>
      <w:bookmarkStart w:id="442" w:name="_Toc333237820"/>
      <w:r>
        <w:rPr>
          <w:rFonts w:hint="eastAsia" w:cs="宋体"/>
        </w:rPr>
        <w:t>附件十：</w:t>
      </w:r>
      <w:bookmarkEnd w:id="395"/>
      <w:r>
        <w:rPr>
          <w:rFonts w:hint="eastAsia" w:cs="宋体"/>
        </w:rPr>
        <w:t>供应商提交的其它商务和技术资料</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adjustRightInd w:val="0"/>
        <w:snapToGrid w:val="0"/>
        <w:spacing w:line="360" w:lineRule="auto"/>
        <w:jc w:val="left"/>
        <w:rPr>
          <w:rFonts w:ascii="宋体" w:hAnsi="宋体" w:cs="宋体"/>
          <w:bCs/>
        </w:rPr>
      </w:pPr>
    </w:p>
    <w:p>
      <w:pPr>
        <w:adjustRightInd w:val="0"/>
        <w:snapToGrid w:val="0"/>
        <w:spacing w:line="360" w:lineRule="auto"/>
        <w:jc w:val="left"/>
        <w:rPr>
          <w:szCs w:val="18"/>
        </w:rPr>
      </w:pPr>
      <w:r>
        <w:rPr>
          <w:rFonts w:hint="eastAsia" w:ascii="宋体" w:hAnsi="宋体"/>
          <w:bCs/>
        </w:rPr>
        <w:t>项目编号:</w:t>
      </w:r>
      <w:r>
        <w:rPr>
          <w:rFonts w:hint="eastAsia" w:ascii="宋体" w:hAnsi="宋体"/>
          <w:b/>
          <w:bCs/>
          <w:u w:val="single"/>
        </w:rPr>
        <w:t>YJGD-20231017-011</w:t>
      </w:r>
    </w:p>
    <w:p>
      <w:pPr>
        <w:adjustRightInd w:val="0"/>
        <w:snapToGrid w:val="0"/>
        <w:spacing w:line="360" w:lineRule="auto"/>
        <w:ind w:left="1050" w:hanging="1050" w:hangingChars="500"/>
        <w:jc w:val="left"/>
        <w:rPr>
          <w:rFonts w:ascii="宋体" w:hAnsi="宋体"/>
          <w:b/>
          <w:bCs/>
          <w:caps/>
        </w:rPr>
      </w:pPr>
      <w:r>
        <w:rPr>
          <w:rFonts w:hint="eastAsia" w:ascii="宋体" w:hAnsi="宋体"/>
          <w:bCs/>
        </w:rPr>
        <w:t>项目名称：</w:t>
      </w:r>
      <w:r>
        <w:rPr>
          <w:rFonts w:hint="eastAsia"/>
          <w:szCs w:val="21"/>
          <w:u w:val="single"/>
        </w:rPr>
        <w:t>国家税务总局阳江高新技术产业开发区税务局物业管理服务项目</w:t>
      </w:r>
    </w:p>
    <w:p>
      <w:pPr>
        <w:tabs>
          <w:tab w:val="center" w:pos="4483"/>
        </w:tabs>
        <w:spacing w:afterLines="50" w:line="360" w:lineRule="auto"/>
        <w:ind w:firstLine="105" w:firstLineChars="50"/>
        <w:rPr>
          <w:rFonts w:ascii="宋体" w:hAnsi="宋体" w:cs="宋体"/>
          <w:bCs/>
          <w:u w:val="single"/>
        </w:rPr>
      </w:pPr>
    </w:p>
    <w:p>
      <w:pPr>
        <w:pStyle w:val="7"/>
        <w:spacing w:line="360" w:lineRule="auto"/>
        <w:rPr>
          <w:rFonts w:hAnsi="宋体" w:cs="宋体"/>
          <w:bCs/>
          <w:kern w:val="2"/>
          <w:szCs w:val="24"/>
          <w:u w:val="single"/>
        </w:rPr>
      </w:pPr>
    </w:p>
    <w:p>
      <w:pPr>
        <w:pStyle w:val="7"/>
        <w:spacing w:line="360" w:lineRule="auto"/>
        <w:rPr>
          <w:rFonts w:hAnsi="宋体" w:cs="宋体"/>
          <w:bCs/>
          <w:kern w:val="2"/>
          <w:szCs w:val="24"/>
        </w:rPr>
      </w:pPr>
      <w:r>
        <w:rPr>
          <w:rFonts w:hint="eastAsia" w:hAnsi="宋体" w:cs="宋体"/>
          <w:bCs/>
          <w:kern w:val="2"/>
          <w:szCs w:val="24"/>
        </w:rPr>
        <w:t>本节无格式要求，投标人可根据自身实际情况以及招标文件评分细则规定的详细评审内容和应当提供的证明材料进行编制。</w:t>
      </w:r>
    </w:p>
    <w:p>
      <w:pPr>
        <w:pStyle w:val="7"/>
        <w:spacing w:line="360" w:lineRule="auto"/>
        <w:rPr>
          <w:rFonts w:hAnsi="宋体" w:cs="宋体"/>
          <w:bCs/>
          <w:kern w:val="2"/>
          <w:szCs w:val="24"/>
        </w:rPr>
      </w:pPr>
      <w:r>
        <w:rPr>
          <w:rFonts w:hint="eastAsia" w:hAnsi="宋体" w:cs="宋体"/>
          <w:bCs/>
          <w:kern w:val="2"/>
          <w:szCs w:val="24"/>
        </w:rPr>
        <w:t>一、...</w:t>
      </w:r>
    </w:p>
    <w:p>
      <w:pPr>
        <w:pStyle w:val="7"/>
        <w:spacing w:line="360" w:lineRule="auto"/>
        <w:rPr>
          <w:rFonts w:hAnsi="宋体" w:cs="宋体"/>
          <w:bCs/>
          <w:kern w:val="2"/>
          <w:szCs w:val="24"/>
        </w:rPr>
      </w:pPr>
      <w:r>
        <w:rPr>
          <w:rFonts w:hint="eastAsia" w:hAnsi="宋体" w:cs="宋体"/>
          <w:bCs/>
          <w:kern w:val="2"/>
          <w:szCs w:val="24"/>
        </w:rPr>
        <w:t>二、...</w:t>
      </w:r>
    </w:p>
    <w:p>
      <w:pPr>
        <w:pStyle w:val="7"/>
        <w:spacing w:line="360" w:lineRule="auto"/>
        <w:rPr>
          <w:rFonts w:hAnsi="宋体" w:cs="宋体"/>
          <w:bCs/>
          <w:kern w:val="2"/>
          <w:szCs w:val="24"/>
        </w:rPr>
      </w:pPr>
      <w:r>
        <w:rPr>
          <w:rFonts w:hint="eastAsia" w:hAnsi="宋体" w:cs="宋体"/>
          <w:bCs/>
          <w:kern w:val="2"/>
          <w:szCs w:val="24"/>
        </w:rPr>
        <w:t>三、...</w:t>
      </w:r>
    </w:p>
    <w:p>
      <w:pPr>
        <w:pStyle w:val="7"/>
        <w:spacing w:line="360" w:lineRule="auto"/>
        <w:rPr>
          <w:rFonts w:hAnsi="宋体" w:cs="宋体"/>
          <w:bCs/>
          <w:kern w:val="2"/>
          <w:szCs w:val="24"/>
        </w:rPr>
      </w:pPr>
      <w:r>
        <w:rPr>
          <w:rFonts w:hint="eastAsia" w:hAnsi="宋体" w:cs="宋体"/>
          <w:bCs/>
          <w:kern w:val="2"/>
          <w:szCs w:val="24"/>
        </w:rPr>
        <w:t>四、...</w:t>
      </w:r>
    </w:p>
    <w:p>
      <w:pPr>
        <w:adjustRightInd w:val="0"/>
        <w:snapToGrid w:val="0"/>
        <w:spacing w:line="360" w:lineRule="auto"/>
        <w:rPr>
          <w:rFonts w:ascii="宋体" w:hAnsi="宋体" w:cs="宋体"/>
          <w:bCs/>
        </w:rPr>
      </w:pPr>
    </w:p>
    <w:p>
      <w:pPr>
        <w:adjustRightInd w:val="0"/>
        <w:snapToGrid w:val="0"/>
        <w:spacing w:line="360" w:lineRule="auto"/>
        <w:rPr>
          <w:rFonts w:ascii="宋体" w:hAnsi="宋体" w:cs="宋体"/>
          <w:bCs/>
        </w:rPr>
      </w:pPr>
    </w:p>
    <w:p>
      <w:pPr>
        <w:adjustRightInd w:val="0"/>
        <w:snapToGrid w:val="0"/>
        <w:spacing w:line="360" w:lineRule="auto"/>
        <w:rPr>
          <w:rFonts w:ascii="宋体" w:hAnsi="宋体" w:cs="宋体"/>
          <w:bCs/>
        </w:rPr>
      </w:pPr>
      <w:r>
        <w:rPr>
          <w:rFonts w:hint="eastAsia" w:ascii="宋体" w:hAnsi="宋体" w:cs="宋体"/>
          <w:szCs w:val="21"/>
        </w:rPr>
        <w:t>投标人</w:t>
      </w:r>
      <w:r>
        <w:rPr>
          <w:rFonts w:hint="eastAsia" w:ascii="宋体" w:hAnsi="宋体" w:cs="宋体"/>
          <w:bCs/>
        </w:rPr>
        <w:t>法定代表人或授权代理人（签字）：</w:t>
      </w:r>
    </w:p>
    <w:p>
      <w:pPr>
        <w:adjustRightInd w:val="0"/>
        <w:snapToGrid w:val="0"/>
        <w:spacing w:line="360" w:lineRule="auto"/>
        <w:rPr>
          <w:rFonts w:ascii="宋体" w:hAnsi="宋体" w:cs="宋体"/>
          <w:bCs/>
        </w:rPr>
      </w:pPr>
      <w:r>
        <w:rPr>
          <w:rFonts w:hint="eastAsia" w:ascii="宋体" w:hAnsi="宋体" w:cs="宋体"/>
          <w:szCs w:val="21"/>
        </w:rPr>
        <w:t>投标人</w:t>
      </w:r>
      <w:r>
        <w:rPr>
          <w:rFonts w:hint="eastAsia" w:ascii="宋体" w:hAnsi="宋体" w:cs="宋体"/>
          <w:bCs/>
        </w:rPr>
        <w:t>名称（公章）：</w:t>
      </w:r>
    </w:p>
    <w:p>
      <w:pPr>
        <w:pStyle w:val="7"/>
        <w:spacing w:line="360" w:lineRule="auto"/>
        <w:rPr>
          <w:rFonts w:hAnsi="宋体" w:cs="宋体"/>
        </w:rPr>
      </w:pPr>
    </w:p>
    <w:p>
      <w:pPr>
        <w:adjustRightInd w:val="0"/>
        <w:snapToGrid w:val="0"/>
        <w:spacing w:line="360" w:lineRule="auto"/>
        <w:rPr>
          <w:rFonts w:ascii="宋体" w:hAnsi="宋体" w:cs="宋体"/>
        </w:rPr>
      </w:pPr>
      <w:r>
        <w:rPr>
          <w:rFonts w:hint="eastAsia" w:ascii="宋体" w:hAnsi="宋体" w:cs="宋体"/>
        </w:rPr>
        <w:t>（</w:t>
      </w:r>
      <w:r>
        <w:rPr>
          <w:rFonts w:hint="eastAsia" w:ascii="宋体" w:hAnsi="宋体" w:cs="宋体"/>
          <w:szCs w:val="21"/>
        </w:rPr>
        <w:t>投标人</w:t>
      </w:r>
      <w:r>
        <w:rPr>
          <w:rFonts w:hint="eastAsia" w:ascii="宋体" w:hAnsi="宋体" w:cs="宋体"/>
        </w:rPr>
        <w:t>认为本节无须提交的，应注明“本节空白”字样）。</w:t>
      </w:r>
    </w:p>
    <w:p>
      <w:pPr>
        <w:rPr>
          <w:rFonts w:ascii="宋体" w:hAnsi="宋体" w:cs="宋体"/>
        </w:rPr>
      </w:pPr>
      <w:r>
        <w:rPr>
          <w:rFonts w:hint="eastAsia" w:ascii="宋体" w:hAnsi="宋体" w:cs="宋体"/>
        </w:rPr>
        <w:br w:type="page"/>
      </w:r>
    </w:p>
    <w:p>
      <w:pPr>
        <w:pStyle w:val="4"/>
        <w:spacing w:before="62" w:after="62"/>
        <w:rPr>
          <w:sz w:val="28"/>
        </w:rPr>
      </w:pPr>
      <w:r>
        <w:rPr>
          <w:rFonts w:hint="eastAsia"/>
          <w:sz w:val="28"/>
        </w:rPr>
        <w:t>附：评标细则</w:t>
      </w:r>
    </w:p>
    <w:p>
      <w:pPr>
        <w:spacing w:line="360" w:lineRule="auto"/>
        <w:jc w:val="center"/>
        <w:rPr>
          <w:rFonts w:ascii="宋体" w:hAnsi="宋体"/>
          <w:b/>
          <w:sz w:val="48"/>
        </w:rPr>
      </w:pPr>
    </w:p>
    <w:p>
      <w:pPr>
        <w:spacing w:line="360" w:lineRule="auto"/>
        <w:jc w:val="center"/>
        <w:rPr>
          <w:rFonts w:ascii="宋体" w:hAnsi="宋体"/>
          <w:b/>
          <w:sz w:val="44"/>
        </w:rPr>
      </w:pPr>
    </w:p>
    <w:p>
      <w:pPr>
        <w:spacing w:line="360" w:lineRule="auto"/>
        <w:jc w:val="center"/>
        <w:rPr>
          <w:rFonts w:ascii="宋体" w:hAnsi="宋体"/>
          <w:b/>
          <w:sz w:val="44"/>
        </w:rPr>
      </w:pPr>
    </w:p>
    <w:p>
      <w:pPr>
        <w:spacing w:line="360" w:lineRule="auto"/>
        <w:jc w:val="center"/>
        <w:rPr>
          <w:rFonts w:ascii="宋体" w:hAnsi="宋体"/>
          <w:b/>
          <w:sz w:val="84"/>
        </w:rPr>
      </w:pPr>
      <w:r>
        <w:rPr>
          <w:rFonts w:hint="eastAsia" w:ascii="宋体" w:hAnsi="宋体"/>
          <w:b/>
          <w:sz w:val="84"/>
        </w:rPr>
        <w:t>评标细则</w:t>
      </w:r>
    </w:p>
    <w:p>
      <w:pPr>
        <w:spacing w:line="360" w:lineRule="auto"/>
        <w:jc w:val="center"/>
        <w:rPr>
          <w:rFonts w:ascii="宋体" w:hAnsi="宋体"/>
          <w:b/>
          <w:sz w:val="84"/>
        </w:rPr>
      </w:pPr>
    </w:p>
    <w:p>
      <w:pPr>
        <w:spacing w:line="360" w:lineRule="auto"/>
        <w:ind w:left="2128" w:leftChars="256" w:hanging="1590" w:hangingChars="495"/>
        <w:rPr>
          <w:rFonts w:ascii="宋体" w:hAnsi="宋体"/>
          <w:b/>
          <w:sz w:val="32"/>
          <w:szCs w:val="22"/>
        </w:rPr>
      </w:pPr>
      <w:r>
        <w:rPr>
          <w:rFonts w:hint="eastAsia" w:ascii="宋体" w:hAnsi="宋体"/>
          <w:b/>
          <w:sz w:val="32"/>
          <w:szCs w:val="22"/>
        </w:rPr>
        <w:t>项目编号:YJGD-20231017-011</w:t>
      </w:r>
    </w:p>
    <w:p>
      <w:pPr>
        <w:spacing w:line="360" w:lineRule="auto"/>
        <w:ind w:left="2128" w:leftChars="256" w:hanging="1590" w:hangingChars="495"/>
        <w:rPr>
          <w:rFonts w:ascii="宋体" w:hAnsi="宋体"/>
          <w:b/>
          <w:sz w:val="28"/>
          <w:szCs w:val="22"/>
        </w:rPr>
      </w:pPr>
      <w:r>
        <w:rPr>
          <w:rFonts w:hint="eastAsia" w:ascii="宋体" w:hAnsi="宋体"/>
          <w:b/>
          <w:sz w:val="32"/>
          <w:szCs w:val="22"/>
        </w:rPr>
        <w:t>项目名称：国家税务总局阳江高新技术产业开发区税务局物业管理服务项目</w:t>
      </w:r>
    </w:p>
    <w:p>
      <w:r>
        <w:rPr>
          <w:rFonts w:hint="eastAsia"/>
        </w:rPr>
        <w:br w:type="page"/>
      </w:r>
    </w:p>
    <w:p>
      <w:pPr>
        <w:pStyle w:val="5"/>
        <w:adjustRightInd/>
        <w:spacing w:before="0" w:after="0" w:line="440" w:lineRule="exact"/>
      </w:pPr>
      <w:bookmarkStart w:id="443" w:name="_Toc131922497"/>
      <w:bookmarkStart w:id="444" w:name="_Toc109467926"/>
      <w:bookmarkStart w:id="445" w:name="_Toc138506086"/>
      <w:bookmarkStart w:id="446" w:name="_Toc107383641"/>
      <w:bookmarkStart w:id="447" w:name="_Toc107385313"/>
      <w:bookmarkStart w:id="448" w:name="_Toc131904924"/>
      <w:bookmarkStart w:id="449" w:name="_Toc169334810"/>
      <w:bookmarkStart w:id="450" w:name="_Toc138568666"/>
      <w:bookmarkStart w:id="451" w:name="_Toc107460006"/>
      <w:bookmarkStart w:id="452" w:name="_Toc4785"/>
      <w:bookmarkStart w:id="453" w:name="_Toc148060900"/>
      <w:bookmarkStart w:id="454" w:name="_Toc61327422"/>
      <w:bookmarkStart w:id="455" w:name="_Toc150050896"/>
      <w:bookmarkStart w:id="456" w:name="_Toc148420064"/>
      <w:r>
        <w:rPr>
          <w:rFonts w:hint="eastAsia"/>
        </w:rPr>
        <w:t>一.说明</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spacing w:line="440" w:lineRule="exact"/>
        <w:rPr>
          <w:rFonts w:ascii="宋体" w:hAnsi="宋体"/>
          <w:b/>
          <w:bCs/>
        </w:rPr>
      </w:pPr>
      <w:bookmarkStart w:id="457" w:name="_Toc61327423"/>
      <w:r>
        <w:rPr>
          <w:rFonts w:hint="eastAsia" w:ascii="宋体" w:hAnsi="宋体"/>
          <w:b/>
          <w:bCs/>
          <w:sz w:val="24"/>
        </w:rPr>
        <w:t>1.概述</w:t>
      </w:r>
      <w:bookmarkEnd w:id="457"/>
    </w:p>
    <w:p>
      <w:pPr>
        <w:pStyle w:val="9"/>
        <w:spacing w:line="440" w:lineRule="exact"/>
        <w:ind w:firstLine="476"/>
        <w:rPr>
          <w:rFonts w:ascii="宋体" w:hAnsi="宋体"/>
          <w:sz w:val="24"/>
        </w:rPr>
      </w:pPr>
      <w:r>
        <w:rPr>
          <w:rFonts w:hint="eastAsia" w:ascii="宋体" w:hAnsi="宋体"/>
          <w:sz w:val="24"/>
        </w:rPr>
        <w:t>根据《中华人民共和国政府采购法》、《评标委员会和评标方法暂行规定》和国家及地方采购有关文件精神，在保证国家税务总局阳江高新技术产业开发区税务局物业管理服务项目 （以下简称项目）招标公开、公平、公正的基础上，结合项目的技术和商务需求，由广东国达工程项目咨询有限公司编制本评标文件，评标委员会确认。内容包括本次评标的评审过程和方法。</w:t>
      </w:r>
    </w:p>
    <w:p>
      <w:pPr>
        <w:spacing w:line="440" w:lineRule="exact"/>
        <w:rPr>
          <w:rFonts w:ascii="宋体" w:hAnsi="宋体"/>
          <w:b/>
          <w:bCs/>
        </w:rPr>
      </w:pPr>
      <w:bookmarkStart w:id="458" w:name="_Toc61327424"/>
      <w:r>
        <w:rPr>
          <w:rFonts w:hint="eastAsia" w:ascii="宋体" w:hAnsi="宋体"/>
          <w:b/>
          <w:bCs/>
          <w:sz w:val="24"/>
        </w:rPr>
        <w:t>2.定义</w:t>
      </w:r>
      <w:bookmarkEnd w:id="458"/>
    </w:p>
    <w:p>
      <w:pPr>
        <w:spacing w:line="360" w:lineRule="auto"/>
        <w:ind w:firstLine="482" w:firstLineChars="200"/>
        <w:rPr>
          <w:rFonts w:ascii="宋体" w:hAnsi="宋体"/>
          <w:sz w:val="24"/>
        </w:rPr>
      </w:pPr>
      <w:r>
        <w:rPr>
          <w:rFonts w:hint="eastAsia" w:ascii="宋体" w:hAnsi="宋体"/>
          <w:b/>
          <w:bCs/>
          <w:sz w:val="24"/>
        </w:rPr>
        <w:t>采 购 人</w:t>
      </w:r>
      <w:r>
        <w:rPr>
          <w:rFonts w:hint="eastAsia" w:ascii="宋体" w:hAnsi="宋体"/>
          <w:sz w:val="24"/>
        </w:rPr>
        <w:t>：系指国家税务总局阳江高新技术产业开发区税务局。</w:t>
      </w:r>
    </w:p>
    <w:p>
      <w:pPr>
        <w:spacing w:line="360" w:lineRule="auto"/>
        <w:ind w:firstLine="482" w:firstLineChars="200"/>
        <w:rPr>
          <w:rFonts w:ascii="宋体" w:hAnsi="宋体"/>
          <w:sz w:val="24"/>
        </w:rPr>
      </w:pPr>
      <w:r>
        <w:rPr>
          <w:rFonts w:hint="eastAsia" w:ascii="宋体" w:hAnsi="宋体"/>
          <w:b/>
          <w:bCs/>
          <w:sz w:val="24"/>
        </w:rPr>
        <w:t>业主/用户</w:t>
      </w:r>
      <w:r>
        <w:rPr>
          <w:rFonts w:hint="eastAsia" w:ascii="宋体" w:hAnsi="宋体"/>
          <w:sz w:val="24"/>
        </w:rPr>
        <w:t>：系指本项目的最终使用单位。</w:t>
      </w:r>
    </w:p>
    <w:p>
      <w:pPr>
        <w:spacing w:line="360" w:lineRule="auto"/>
        <w:ind w:firstLine="482" w:firstLineChars="200"/>
        <w:rPr>
          <w:rFonts w:ascii="宋体" w:hAnsi="宋体"/>
          <w:sz w:val="24"/>
        </w:rPr>
      </w:pPr>
      <w:r>
        <w:rPr>
          <w:rFonts w:hint="eastAsia" w:ascii="宋体" w:hAnsi="宋体"/>
          <w:b/>
          <w:bCs/>
          <w:sz w:val="24"/>
        </w:rPr>
        <w:t>招标代理机构</w:t>
      </w:r>
      <w:r>
        <w:rPr>
          <w:rFonts w:hint="eastAsia" w:ascii="宋体" w:hAnsi="宋体"/>
          <w:sz w:val="24"/>
        </w:rPr>
        <w:t>：系指广东国达工程项目咨询有限公司。</w:t>
      </w:r>
    </w:p>
    <w:p>
      <w:pPr>
        <w:spacing w:line="440" w:lineRule="exact"/>
        <w:rPr>
          <w:rFonts w:ascii="宋体" w:hAnsi="宋体"/>
          <w:b/>
          <w:bCs/>
        </w:rPr>
      </w:pPr>
      <w:bookmarkStart w:id="459" w:name="_Toc61327425"/>
      <w:r>
        <w:rPr>
          <w:rFonts w:hint="eastAsia" w:ascii="宋体" w:hAnsi="宋体"/>
          <w:b/>
          <w:bCs/>
          <w:sz w:val="24"/>
        </w:rPr>
        <w:t>3.评标委员会组成</w:t>
      </w:r>
      <w:bookmarkEnd w:id="459"/>
    </w:p>
    <w:p>
      <w:pPr>
        <w:pStyle w:val="9"/>
        <w:spacing w:line="440" w:lineRule="exact"/>
        <w:ind w:firstLine="480" w:firstLineChars="200"/>
        <w:rPr>
          <w:rFonts w:ascii="宋体" w:hAnsi="宋体"/>
          <w:sz w:val="24"/>
        </w:rPr>
      </w:pPr>
      <w:r>
        <w:rPr>
          <w:rFonts w:hint="eastAsia" w:ascii="宋体" w:hAnsi="宋体"/>
          <w:sz w:val="24"/>
        </w:rPr>
        <w:t>全部评标过程由依法组建的评标委员会负责完成，评标委员会由五人或以上单数组成。评标委员会下设评标工作小组，主要由招标代理机构工作人员组成，负责整理投标文件、统计评分等工作。</w:t>
      </w:r>
    </w:p>
    <w:p>
      <w:pPr>
        <w:pStyle w:val="5"/>
        <w:adjustRightInd/>
        <w:spacing w:before="0" w:after="0" w:line="440" w:lineRule="exact"/>
      </w:pPr>
      <w:bookmarkStart w:id="460" w:name="_Toc131904925"/>
      <w:bookmarkStart w:id="461" w:name="_Toc107385314"/>
      <w:bookmarkStart w:id="462" w:name="_Toc148420065"/>
      <w:bookmarkStart w:id="463" w:name="_Toc109467927"/>
      <w:bookmarkStart w:id="464" w:name="_Toc61327427"/>
      <w:bookmarkStart w:id="465" w:name="_Toc131922498"/>
      <w:bookmarkStart w:id="466" w:name="_Toc138506087"/>
      <w:bookmarkStart w:id="467" w:name="_Toc150050897"/>
      <w:bookmarkStart w:id="468" w:name="_Toc107383642"/>
      <w:bookmarkStart w:id="469" w:name="_Toc148060901"/>
      <w:bookmarkStart w:id="470" w:name="_Toc107460007"/>
      <w:bookmarkStart w:id="471" w:name="_Toc9454"/>
      <w:bookmarkStart w:id="472" w:name="_Toc138568667"/>
      <w:bookmarkStart w:id="473" w:name="_Toc169334811"/>
      <w:r>
        <w:rPr>
          <w:rFonts w:hint="eastAsia"/>
        </w:rPr>
        <w:t>二.评标须知</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spacing w:line="440" w:lineRule="exact"/>
        <w:rPr>
          <w:rFonts w:ascii="宋体" w:hAnsi="宋体"/>
          <w:b/>
          <w:bCs/>
        </w:rPr>
      </w:pPr>
      <w:bookmarkStart w:id="474" w:name="_Toc61327428"/>
      <w:r>
        <w:rPr>
          <w:rFonts w:hint="eastAsia" w:ascii="宋体" w:hAnsi="宋体"/>
          <w:b/>
          <w:bCs/>
          <w:sz w:val="24"/>
        </w:rPr>
        <w:t>1.关于评标方案</w:t>
      </w:r>
      <w:bookmarkEnd w:id="474"/>
    </w:p>
    <w:p>
      <w:pPr>
        <w:spacing w:line="440" w:lineRule="exact"/>
        <w:rPr>
          <w:rFonts w:ascii="宋体" w:hAnsi="宋体"/>
          <w:sz w:val="24"/>
        </w:rPr>
      </w:pPr>
      <w:r>
        <w:rPr>
          <w:rFonts w:hint="eastAsia" w:ascii="宋体" w:hAnsi="宋体"/>
          <w:sz w:val="24"/>
        </w:rPr>
        <w:t>（1）评标委员会的每位成员（简称评委）应认真地阅读并确认已经正确理解了评标方案；</w:t>
      </w:r>
    </w:p>
    <w:p>
      <w:pPr>
        <w:spacing w:line="440" w:lineRule="exact"/>
        <w:rPr>
          <w:rFonts w:ascii="宋体" w:hAnsi="宋体"/>
          <w:sz w:val="24"/>
        </w:rPr>
      </w:pPr>
      <w:r>
        <w:rPr>
          <w:rFonts w:hint="eastAsia" w:ascii="宋体" w:hAnsi="宋体"/>
          <w:sz w:val="24"/>
        </w:rPr>
        <w:t>（2）评委如对评标方案有异议，应在评标开始前提出。</w:t>
      </w:r>
    </w:p>
    <w:p>
      <w:pPr>
        <w:spacing w:line="440" w:lineRule="exact"/>
        <w:rPr>
          <w:rFonts w:ascii="宋体" w:hAnsi="宋体"/>
          <w:b/>
          <w:bCs/>
        </w:rPr>
      </w:pPr>
      <w:bookmarkStart w:id="475" w:name="_Toc61327429"/>
      <w:r>
        <w:rPr>
          <w:rFonts w:hint="eastAsia" w:ascii="宋体" w:hAnsi="宋体"/>
          <w:b/>
          <w:bCs/>
          <w:sz w:val="24"/>
        </w:rPr>
        <w:t>2.关于评标纪律</w:t>
      </w:r>
      <w:bookmarkEnd w:id="475"/>
    </w:p>
    <w:p>
      <w:pPr>
        <w:spacing w:line="440" w:lineRule="exact"/>
        <w:ind w:left="588" w:hanging="588" w:hangingChars="245"/>
        <w:rPr>
          <w:rFonts w:ascii="宋体" w:hAnsi="宋体"/>
          <w:sz w:val="24"/>
        </w:rPr>
      </w:pPr>
      <w:r>
        <w:rPr>
          <w:rFonts w:hint="eastAsia" w:ascii="宋体" w:hAnsi="宋体"/>
          <w:sz w:val="24"/>
        </w:rPr>
        <w:t>（1）评标委员会成员不得与任何投标人或者与招标结果有利害关系的人进行私下接触，不得收受投标人、中介人、其他利害关系人的财物或者其他好处；</w:t>
      </w:r>
    </w:p>
    <w:p>
      <w:pPr>
        <w:spacing w:line="440" w:lineRule="exact"/>
        <w:rPr>
          <w:rFonts w:ascii="宋体" w:hAnsi="宋体"/>
          <w:sz w:val="24"/>
        </w:rPr>
      </w:pPr>
      <w:r>
        <w:rPr>
          <w:rFonts w:hint="eastAsia" w:ascii="宋体" w:hAnsi="宋体"/>
          <w:sz w:val="24"/>
        </w:rPr>
        <w:t>（2）评委应本着客观、公正的原则独立给出评价意见；</w:t>
      </w:r>
    </w:p>
    <w:p>
      <w:pPr>
        <w:spacing w:line="440" w:lineRule="exact"/>
        <w:rPr>
          <w:rFonts w:ascii="宋体" w:hAnsi="宋体"/>
          <w:sz w:val="24"/>
        </w:rPr>
      </w:pPr>
      <w:r>
        <w:rPr>
          <w:rFonts w:hint="eastAsia" w:ascii="宋体" w:hAnsi="宋体"/>
          <w:sz w:val="24"/>
        </w:rPr>
        <w:t>（3）评委之间不得相互串通进行评分；</w:t>
      </w:r>
    </w:p>
    <w:p>
      <w:pPr>
        <w:spacing w:line="440" w:lineRule="exact"/>
        <w:rPr>
          <w:rFonts w:ascii="宋体" w:hAnsi="宋体"/>
          <w:sz w:val="24"/>
        </w:rPr>
      </w:pPr>
      <w:r>
        <w:rPr>
          <w:rFonts w:hint="eastAsia" w:ascii="宋体" w:hAnsi="宋体"/>
          <w:sz w:val="24"/>
        </w:rPr>
        <w:t>（4）评委不得试图影响其他评委的评价意见。</w:t>
      </w:r>
    </w:p>
    <w:p>
      <w:pPr>
        <w:spacing w:line="440" w:lineRule="exact"/>
        <w:rPr>
          <w:rFonts w:ascii="宋体" w:hAnsi="宋体"/>
          <w:b/>
          <w:bCs/>
        </w:rPr>
      </w:pPr>
      <w:bookmarkStart w:id="476" w:name="_Toc61327430"/>
      <w:r>
        <w:rPr>
          <w:rFonts w:hint="eastAsia" w:ascii="宋体" w:hAnsi="宋体"/>
          <w:b/>
          <w:bCs/>
          <w:sz w:val="24"/>
        </w:rPr>
        <w:t>3.关于评标责任</w:t>
      </w:r>
      <w:bookmarkEnd w:id="476"/>
    </w:p>
    <w:p>
      <w:pPr>
        <w:spacing w:line="440" w:lineRule="exact"/>
        <w:rPr>
          <w:rFonts w:ascii="宋体" w:hAnsi="宋体"/>
          <w:sz w:val="24"/>
        </w:rPr>
      </w:pPr>
      <w:r>
        <w:rPr>
          <w:rFonts w:hint="eastAsia" w:ascii="宋体" w:hAnsi="宋体"/>
          <w:sz w:val="24"/>
        </w:rPr>
        <w:t>（1）评委应在其书面评审意见上签字确认；</w:t>
      </w:r>
    </w:p>
    <w:p>
      <w:pPr>
        <w:spacing w:line="440" w:lineRule="exact"/>
        <w:rPr>
          <w:rFonts w:ascii="宋体" w:hAnsi="宋体"/>
        </w:rPr>
      </w:pPr>
      <w:r>
        <w:rPr>
          <w:rFonts w:hint="eastAsia" w:ascii="宋体" w:hAnsi="宋体"/>
          <w:sz w:val="24"/>
        </w:rPr>
        <w:t>（2）评委对其所提出的评审意见承担个人责任。</w:t>
      </w:r>
    </w:p>
    <w:p>
      <w:pPr>
        <w:spacing w:line="440" w:lineRule="exact"/>
        <w:rPr>
          <w:rFonts w:ascii="宋体" w:hAnsi="宋体"/>
          <w:b/>
          <w:bCs/>
        </w:rPr>
      </w:pPr>
      <w:bookmarkStart w:id="477" w:name="_Toc61327431"/>
      <w:r>
        <w:rPr>
          <w:rFonts w:hint="eastAsia" w:ascii="宋体" w:hAnsi="宋体"/>
          <w:b/>
          <w:bCs/>
          <w:sz w:val="24"/>
        </w:rPr>
        <w:t>4.关于回避</w:t>
      </w:r>
      <w:bookmarkEnd w:id="477"/>
    </w:p>
    <w:p>
      <w:pPr>
        <w:spacing w:line="440" w:lineRule="exact"/>
        <w:ind w:firstLine="480" w:firstLineChars="200"/>
        <w:rPr>
          <w:rFonts w:ascii="宋体" w:hAnsi="宋体"/>
          <w:sz w:val="24"/>
        </w:rPr>
      </w:pPr>
      <w:r>
        <w:rPr>
          <w:rFonts w:hint="eastAsia" w:ascii="宋体" w:hAnsi="宋体"/>
          <w:sz w:val="24"/>
        </w:rPr>
        <w:t>有下列情形之一的，不得担任评标委员会成员，如事先不知情的，应在招标代理机构宣读投标人名单及评标纪律后主动提出回避：</w:t>
      </w:r>
    </w:p>
    <w:p>
      <w:pPr>
        <w:spacing w:line="440" w:lineRule="exact"/>
        <w:rPr>
          <w:rFonts w:ascii="宋体" w:hAnsi="宋体"/>
          <w:sz w:val="24"/>
        </w:rPr>
      </w:pPr>
      <w:r>
        <w:rPr>
          <w:rFonts w:hint="eastAsia" w:ascii="宋体" w:hAnsi="宋体"/>
          <w:sz w:val="24"/>
        </w:rPr>
        <w:t>（1）是投标人或者投标人主要负责人的近亲属；</w:t>
      </w:r>
    </w:p>
    <w:p>
      <w:pPr>
        <w:spacing w:line="440" w:lineRule="exact"/>
        <w:rPr>
          <w:rFonts w:ascii="宋体" w:hAnsi="宋体"/>
          <w:sz w:val="24"/>
        </w:rPr>
      </w:pPr>
      <w:r>
        <w:rPr>
          <w:rFonts w:hint="eastAsia" w:ascii="宋体" w:hAnsi="宋体"/>
          <w:sz w:val="24"/>
        </w:rPr>
        <w:t>（2）项目主管部门或行政监督部门的人员；</w:t>
      </w:r>
    </w:p>
    <w:p>
      <w:pPr>
        <w:spacing w:line="440" w:lineRule="exact"/>
        <w:rPr>
          <w:rFonts w:ascii="宋体" w:hAnsi="宋体"/>
          <w:sz w:val="24"/>
        </w:rPr>
      </w:pPr>
      <w:r>
        <w:rPr>
          <w:rFonts w:hint="eastAsia" w:ascii="宋体" w:hAnsi="宋体"/>
          <w:sz w:val="24"/>
        </w:rPr>
        <w:t>（3）与投标人有经济利益关系，可能影响对投标公正评审的；</w:t>
      </w:r>
    </w:p>
    <w:p>
      <w:pPr>
        <w:spacing w:line="440" w:lineRule="exact"/>
        <w:ind w:left="600" w:hanging="600" w:hangingChars="250"/>
        <w:rPr>
          <w:rFonts w:ascii="宋体" w:hAnsi="宋体"/>
          <w:sz w:val="24"/>
        </w:rPr>
      </w:pPr>
      <w:r>
        <w:rPr>
          <w:rFonts w:hint="eastAsia" w:ascii="宋体" w:hAnsi="宋体"/>
          <w:sz w:val="24"/>
        </w:rPr>
        <w:t>（4）曾因在招标、评标以及其他与招标投标有关活动中从事违法行为而受过行政处罚或刑事处罚的。</w:t>
      </w:r>
    </w:p>
    <w:p>
      <w:pPr>
        <w:spacing w:line="440" w:lineRule="exact"/>
        <w:rPr>
          <w:rFonts w:ascii="宋体" w:hAnsi="宋体"/>
          <w:b/>
          <w:bCs/>
        </w:rPr>
      </w:pPr>
      <w:bookmarkStart w:id="478" w:name="_Toc61327432"/>
      <w:r>
        <w:rPr>
          <w:rFonts w:hint="eastAsia" w:ascii="宋体" w:hAnsi="宋体"/>
          <w:b/>
          <w:bCs/>
          <w:sz w:val="24"/>
        </w:rPr>
        <w:t>5.关于保密</w:t>
      </w:r>
      <w:bookmarkEnd w:id="478"/>
    </w:p>
    <w:p>
      <w:pPr>
        <w:spacing w:line="440" w:lineRule="exact"/>
        <w:ind w:firstLine="480" w:firstLineChars="200"/>
        <w:rPr>
          <w:rFonts w:ascii="宋体" w:hAnsi="宋体"/>
          <w:sz w:val="24"/>
        </w:rPr>
      </w:pPr>
      <w:r>
        <w:rPr>
          <w:rFonts w:hint="eastAsia" w:ascii="宋体" w:hAnsi="宋体"/>
          <w:sz w:val="24"/>
        </w:rPr>
        <w:t>评标委员会成员和与评标活动有关的工作人员不得透露对投标文件的评审和比较、中标候选人的推荐情况以及评标有关的其他情况。</w:t>
      </w:r>
    </w:p>
    <w:p>
      <w:pPr>
        <w:pStyle w:val="2"/>
        <w:spacing w:line="440" w:lineRule="exact"/>
        <w:ind w:firstLine="480" w:firstLineChars="200"/>
        <w:rPr>
          <w:rFonts w:ascii="宋体" w:hAnsi="宋体" w:eastAsia="宋体"/>
        </w:rPr>
      </w:pPr>
      <w:r>
        <w:rPr>
          <w:rFonts w:hint="eastAsia" w:ascii="宋体" w:hAnsi="宋体" w:eastAsia="宋体"/>
          <w:b w:val="0"/>
          <w:sz w:val="24"/>
        </w:rPr>
        <w:t>前款所称与评标活动有关的工作人员，是指评标委员会成员以外的因参与评标监督工作或者事务性工作而知悉有关评标情况的所有人员。</w:t>
      </w:r>
    </w:p>
    <w:p>
      <w:pPr>
        <w:spacing w:line="440" w:lineRule="exact"/>
        <w:rPr>
          <w:rFonts w:ascii="宋体" w:hAnsi="宋体"/>
          <w:b/>
          <w:bCs/>
        </w:rPr>
      </w:pPr>
      <w:bookmarkStart w:id="479" w:name="_Toc61327433"/>
      <w:r>
        <w:rPr>
          <w:rFonts w:hint="eastAsia" w:ascii="宋体" w:hAnsi="宋体"/>
          <w:b/>
          <w:bCs/>
          <w:sz w:val="24"/>
        </w:rPr>
        <w:t>6.罚则</w:t>
      </w:r>
      <w:bookmarkEnd w:id="479"/>
    </w:p>
    <w:p>
      <w:pPr>
        <w:spacing w:line="440" w:lineRule="exact"/>
        <w:ind w:left="600" w:hanging="600" w:hangingChars="250"/>
        <w:rPr>
          <w:rFonts w:ascii="宋体" w:hAnsi="宋体"/>
          <w:sz w:val="24"/>
        </w:rPr>
      </w:pPr>
      <w:r>
        <w:rPr>
          <w:rFonts w:hint="eastAsia" w:ascii="宋体" w:hAnsi="宋体"/>
          <w:sz w:val="24"/>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ascii="宋体" w:hAnsi="宋体"/>
        </w:rPr>
      </w:pPr>
      <w:r>
        <w:rPr>
          <w:rFonts w:hint="eastAsia" w:ascii="宋体" w:hAnsi="宋体"/>
          <w:sz w:val="24"/>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5"/>
        <w:adjustRightInd/>
        <w:spacing w:before="0" w:after="0" w:line="440" w:lineRule="exact"/>
      </w:pPr>
      <w:bookmarkStart w:id="480" w:name="_Toc107460008"/>
      <w:bookmarkStart w:id="481" w:name="_Toc20413"/>
      <w:bookmarkStart w:id="482" w:name="_Toc138568668"/>
      <w:bookmarkStart w:id="483" w:name="_Toc169334812"/>
      <w:bookmarkStart w:id="484" w:name="_Toc131904926"/>
      <w:bookmarkStart w:id="485" w:name="_Toc148060902"/>
      <w:bookmarkStart w:id="486" w:name="_Toc107385315"/>
      <w:bookmarkStart w:id="487" w:name="_Toc148420066"/>
      <w:bookmarkStart w:id="488" w:name="_Toc138506088"/>
      <w:bookmarkStart w:id="489" w:name="_Toc107383643"/>
      <w:bookmarkStart w:id="490" w:name="_Toc150050898"/>
      <w:bookmarkStart w:id="491" w:name="_Toc109467928"/>
      <w:bookmarkStart w:id="492" w:name="_Toc61327434"/>
      <w:bookmarkStart w:id="493" w:name="_Toc131922499"/>
      <w:r>
        <w:rPr>
          <w:rFonts w:hint="eastAsia"/>
        </w:rPr>
        <w:t>三.评标原则</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pStyle w:val="9"/>
        <w:spacing w:line="440" w:lineRule="exact"/>
        <w:ind w:firstLine="476"/>
        <w:rPr>
          <w:rFonts w:ascii="宋体" w:hAnsi="宋体"/>
          <w:sz w:val="24"/>
        </w:rPr>
      </w:pPr>
      <w:r>
        <w:rPr>
          <w:rFonts w:hint="eastAsia" w:ascii="宋体" w:hAnsi="宋体"/>
          <w:sz w:val="24"/>
        </w:rPr>
        <w:t>评标工作应依据《中华人民共和国政府采购法》以及《评标委员会和评标方法暂行规定》和地方政府关于政府采购的有关规定，遵循“公平、公正、科学、择优”的原则进行。评标委员会将按照规定只对通过符合性检查的投标文件进行评价和比较。</w:t>
      </w:r>
    </w:p>
    <w:p>
      <w:pPr>
        <w:pStyle w:val="5"/>
        <w:adjustRightInd/>
        <w:spacing w:before="0" w:after="0" w:line="440" w:lineRule="exact"/>
        <w:rPr>
          <w:b w:val="0"/>
          <w:bCs/>
        </w:rPr>
      </w:pPr>
      <w:bookmarkStart w:id="494" w:name="_Toc67911939"/>
      <w:bookmarkStart w:id="495" w:name="_Toc95304220"/>
      <w:bookmarkStart w:id="496" w:name="_Toc68620009"/>
      <w:bookmarkStart w:id="497" w:name="_Toc150050899"/>
      <w:bookmarkStart w:id="498" w:name="_Toc108243613"/>
      <w:bookmarkStart w:id="499" w:name="_Toc104902926"/>
      <w:bookmarkStart w:id="500" w:name="_Toc108001797"/>
      <w:bookmarkStart w:id="501" w:name="_Toc131904927"/>
      <w:bookmarkStart w:id="502" w:name="_Toc15086"/>
      <w:bookmarkStart w:id="503" w:name="_Toc138568669"/>
      <w:bookmarkStart w:id="504" w:name="_Toc66722109"/>
      <w:bookmarkStart w:id="505" w:name="_Toc35834931"/>
      <w:bookmarkStart w:id="506" w:name="_Toc113277289"/>
      <w:bookmarkStart w:id="507" w:name="_Toc124401379"/>
      <w:bookmarkStart w:id="508" w:name="_Toc131922500"/>
      <w:bookmarkStart w:id="509" w:name="_Toc124646431"/>
      <w:bookmarkStart w:id="510" w:name="_Toc101553553"/>
      <w:bookmarkStart w:id="511" w:name="_Toc148060903"/>
      <w:bookmarkStart w:id="512" w:name="_Toc102211721"/>
      <w:bookmarkStart w:id="513" w:name="_Toc104874462"/>
      <w:bookmarkStart w:id="514" w:name="_Toc95249604"/>
      <w:bookmarkStart w:id="515" w:name="_Toc125770205"/>
      <w:bookmarkStart w:id="516" w:name="_Toc169334813"/>
      <w:bookmarkStart w:id="517" w:name="_Toc28489525"/>
      <w:bookmarkStart w:id="518" w:name="_Toc148420067"/>
      <w:bookmarkStart w:id="519" w:name="_Toc34535377"/>
      <w:bookmarkStart w:id="520" w:name="_Toc101553658"/>
      <w:bookmarkStart w:id="521" w:name="_Toc124570684"/>
      <w:bookmarkStart w:id="522" w:name="_Toc138506089"/>
      <w:r>
        <w:rPr>
          <w:rFonts w:hint="eastAsia"/>
        </w:rPr>
        <w:t>四.评标方法及流程</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spacing w:line="440" w:lineRule="exact"/>
        <w:ind w:firstLine="480" w:firstLineChars="200"/>
        <w:rPr>
          <w:rFonts w:ascii="宋体" w:hAnsi="宋体"/>
          <w:bCs/>
          <w:sz w:val="24"/>
        </w:rPr>
      </w:pPr>
      <w:r>
        <w:rPr>
          <w:rFonts w:hint="eastAsia" w:ascii="宋体" w:hAnsi="宋体"/>
          <w:bCs/>
          <w:sz w:val="24"/>
        </w:rPr>
        <w:t>本次招标的评标方法采用综合评分方法。评标分三个阶段进行：投标文件资格性审查、符合性检查和投标文件详细评审。具体方法及流程如下：</w:t>
      </w:r>
    </w:p>
    <w:p>
      <w:pPr>
        <w:numPr>
          <w:ilvl w:val="0"/>
          <w:numId w:val="22"/>
        </w:numPr>
        <w:spacing w:line="440" w:lineRule="exact"/>
        <w:rPr>
          <w:rFonts w:ascii="宋体" w:hAnsi="宋体"/>
          <w:bCs/>
          <w:sz w:val="24"/>
        </w:rPr>
      </w:pPr>
      <w:r>
        <w:rPr>
          <w:rFonts w:hint="eastAsia" w:ascii="宋体" w:hAnsi="宋体"/>
          <w:bCs/>
          <w:sz w:val="24"/>
        </w:rPr>
        <w:t>投标文件资格性审查</w:t>
      </w:r>
    </w:p>
    <w:p>
      <w:pPr>
        <w:spacing w:line="440" w:lineRule="exact"/>
        <w:ind w:firstLine="480" w:firstLineChars="200"/>
        <w:rPr>
          <w:rFonts w:ascii="宋体" w:hAnsi="宋体"/>
          <w:sz w:val="24"/>
        </w:rPr>
      </w:pPr>
      <w:r>
        <w:rPr>
          <w:rFonts w:hint="eastAsia" w:ascii="宋体" w:hAnsi="宋体"/>
          <w:sz w:val="24"/>
        </w:rPr>
        <w:t>1）</w:t>
      </w:r>
      <w:r>
        <w:rPr>
          <w:rFonts w:ascii="宋体" w:hAnsi="宋体"/>
          <w:sz w:val="24"/>
        </w:rPr>
        <w:t>项目开标结束后，</w:t>
      </w:r>
      <w:r>
        <w:rPr>
          <w:rFonts w:hint="eastAsia" w:ascii="宋体" w:hAnsi="宋体"/>
          <w:sz w:val="24"/>
        </w:rPr>
        <w:t>招标人</w:t>
      </w:r>
      <w:r>
        <w:rPr>
          <w:rFonts w:ascii="宋体" w:hAnsi="宋体"/>
          <w:sz w:val="24"/>
        </w:rPr>
        <w:t>或者</w:t>
      </w:r>
      <w:r>
        <w:rPr>
          <w:rFonts w:hint="eastAsia" w:ascii="宋体" w:hAnsi="宋体"/>
          <w:sz w:val="24"/>
        </w:rPr>
        <w:t>采购代理机构</w:t>
      </w:r>
      <w:r>
        <w:rPr>
          <w:rFonts w:ascii="宋体" w:hAnsi="宋体"/>
          <w:sz w:val="24"/>
        </w:rPr>
        <w:t>应当依法对</w:t>
      </w:r>
      <w:r>
        <w:rPr>
          <w:rFonts w:hint="eastAsia" w:ascii="宋体" w:hAnsi="宋体"/>
          <w:sz w:val="24"/>
        </w:rPr>
        <w:t>每个</w:t>
      </w:r>
      <w:r>
        <w:rPr>
          <w:rFonts w:ascii="宋体" w:hAnsi="宋体"/>
          <w:sz w:val="24"/>
        </w:rPr>
        <w:t>投标人的资格进行审查</w:t>
      </w:r>
      <w:r>
        <w:rPr>
          <w:rFonts w:hint="eastAsia" w:ascii="宋体" w:hAnsi="宋体"/>
          <w:sz w:val="24"/>
        </w:rPr>
        <w:t>，审查内容详见《资格审查表》；</w:t>
      </w:r>
    </w:p>
    <w:p>
      <w:pPr>
        <w:spacing w:line="440" w:lineRule="exact"/>
        <w:ind w:firstLine="480" w:firstLineChars="200"/>
        <w:rPr>
          <w:rFonts w:ascii="宋体" w:hAnsi="宋体"/>
          <w:sz w:val="24"/>
        </w:rPr>
      </w:pPr>
      <w:r>
        <w:rPr>
          <w:rFonts w:hint="eastAsia" w:ascii="宋体" w:hAnsi="宋体"/>
          <w:sz w:val="24"/>
        </w:rPr>
        <w:t>2）招标人或者采购代理机构以“信用中国”网站（www.creditchina.gov.cn）、广东省政府采购网(http://www.gdgpo.gov.cn/)为查询渠道，对各</w:t>
      </w:r>
      <w:r>
        <w:rPr>
          <w:rFonts w:ascii="宋体" w:hAnsi="宋体"/>
          <w:sz w:val="24"/>
        </w:rPr>
        <w:t>投标人</w:t>
      </w:r>
      <w:r>
        <w:rPr>
          <w:rFonts w:hint="eastAsia" w:ascii="宋体" w:hAnsi="宋体"/>
          <w:sz w:val="24"/>
        </w:rPr>
        <w:t>信用记录进行甄别，对列入失信被执行人、重大税收违法案件当事人名单、政府采购严重违法失信行为记录名单的</w:t>
      </w:r>
      <w:r>
        <w:rPr>
          <w:rFonts w:ascii="宋体" w:hAnsi="宋体"/>
          <w:sz w:val="24"/>
        </w:rPr>
        <w:t>投标人</w:t>
      </w:r>
      <w:r>
        <w:rPr>
          <w:rFonts w:hint="eastAsia" w:ascii="宋体" w:hAnsi="宋体"/>
          <w:sz w:val="24"/>
        </w:rPr>
        <w:t>，应当拒绝其参与政府采购活动。联合体成员存在不良信用记录的，视同联合体存在不良信用记录。同时对信用信息查询记录和证据截图存档；</w:t>
      </w:r>
    </w:p>
    <w:p>
      <w:pPr>
        <w:spacing w:line="440" w:lineRule="exact"/>
        <w:ind w:firstLine="480" w:firstLineChars="200"/>
        <w:rPr>
          <w:rFonts w:ascii="宋体" w:hAnsi="宋体"/>
          <w:sz w:val="24"/>
        </w:rPr>
      </w:pPr>
      <w:r>
        <w:rPr>
          <w:rFonts w:hint="eastAsia" w:ascii="宋体" w:hAnsi="宋体"/>
          <w:sz w:val="24"/>
        </w:rPr>
        <w:t>3）资格审查环节中如招标人或者采购代理机构认定</w:t>
      </w:r>
      <w:r>
        <w:rPr>
          <w:rFonts w:ascii="宋体" w:hAnsi="宋体"/>
          <w:sz w:val="24"/>
        </w:rPr>
        <w:t>投标人</w:t>
      </w:r>
      <w:r>
        <w:rPr>
          <w:rFonts w:hint="eastAsia" w:ascii="宋体" w:hAnsi="宋体"/>
          <w:sz w:val="24"/>
        </w:rPr>
        <w:t>不合格，招标人或者采购代理机构需签署书面意见，并当场书面或电话告知</w:t>
      </w:r>
      <w:r>
        <w:rPr>
          <w:rFonts w:ascii="宋体" w:hAnsi="宋体"/>
          <w:sz w:val="24"/>
        </w:rPr>
        <w:t>投标人</w:t>
      </w:r>
      <w:r>
        <w:rPr>
          <w:rFonts w:hint="eastAsia" w:ascii="宋体" w:hAnsi="宋体"/>
          <w:sz w:val="24"/>
        </w:rPr>
        <w:t>，</w:t>
      </w:r>
      <w:r>
        <w:rPr>
          <w:rFonts w:ascii="宋体" w:hAnsi="宋体"/>
          <w:sz w:val="24"/>
        </w:rPr>
        <w:t>投标人</w:t>
      </w:r>
      <w:r>
        <w:rPr>
          <w:rFonts w:hint="eastAsia" w:ascii="宋体" w:hAnsi="宋体"/>
          <w:sz w:val="24"/>
        </w:rPr>
        <w:t>可在限定的时间内以书面或电话方式进行澄清，但招标人或者采购代理机构不再接受其他外部材料；</w:t>
      </w:r>
    </w:p>
    <w:p>
      <w:pPr>
        <w:spacing w:line="440" w:lineRule="exact"/>
        <w:ind w:firstLine="480" w:firstLineChars="200"/>
        <w:rPr>
          <w:rFonts w:ascii="宋体" w:hAnsi="宋体"/>
          <w:bCs/>
          <w:sz w:val="24"/>
        </w:rPr>
      </w:pPr>
      <w:r>
        <w:rPr>
          <w:rFonts w:hint="eastAsia" w:ascii="宋体" w:hAnsi="宋体"/>
          <w:sz w:val="24"/>
        </w:rPr>
        <w:t>4）不通过资格审查或投标无效的，不作符合性审查。</w:t>
      </w:r>
    </w:p>
    <w:p>
      <w:pPr>
        <w:spacing w:line="440" w:lineRule="exact"/>
        <w:rPr>
          <w:rFonts w:ascii="宋体" w:hAnsi="宋体"/>
          <w:bCs/>
          <w:sz w:val="24"/>
        </w:rPr>
      </w:pPr>
      <w:r>
        <w:rPr>
          <w:rFonts w:hint="eastAsia" w:ascii="宋体" w:hAnsi="宋体"/>
          <w:bCs/>
          <w:sz w:val="24"/>
        </w:rPr>
        <w:t>（2）投标文件符合性检查</w:t>
      </w:r>
    </w:p>
    <w:p>
      <w:pPr>
        <w:spacing w:line="440" w:lineRule="exact"/>
        <w:ind w:firstLine="480" w:firstLineChars="200"/>
        <w:rPr>
          <w:rFonts w:ascii="宋体" w:hAnsi="宋体"/>
          <w:bCs/>
          <w:sz w:val="24"/>
        </w:rPr>
      </w:pPr>
      <w:r>
        <w:rPr>
          <w:rFonts w:hint="eastAsia" w:ascii="宋体" w:hAnsi="宋体"/>
          <w:bCs/>
          <w:sz w:val="24"/>
        </w:rPr>
        <w:t>1）各评委对各投标文件按照招标文件要求的响应情况进行符合性检查。符合性检查必须根据招标文件中对投标人的要求和投标文件中的响应进行。</w:t>
      </w:r>
    </w:p>
    <w:p>
      <w:pPr>
        <w:spacing w:line="440" w:lineRule="exact"/>
        <w:ind w:left="-2" w:leftChars="-1" w:firstLine="480" w:firstLineChars="200"/>
        <w:jc w:val="left"/>
        <w:rPr>
          <w:rFonts w:ascii="宋体" w:hAnsi="宋体"/>
          <w:bCs/>
          <w:sz w:val="24"/>
        </w:rPr>
      </w:pPr>
      <w:r>
        <w:rPr>
          <w:rFonts w:hint="eastAsia" w:ascii="宋体" w:hAnsi="宋体"/>
          <w:bCs/>
          <w:sz w:val="24"/>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rFonts w:ascii="宋体" w:hAnsi="宋体"/>
          <w:bCs/>
          <w:sz w:val="24"/>
        </w:rPr>
      </w:pPr>
      <w:r>
        <w:rPr>
          <w:rFonts w:hint="eastAsia" w:ascii="宋体" w:hAnsi="宋体"/>
          <w:bCs/>
          <w:sz w:val="24"/>
        </w:rPr>
        <w:t>3）在评审中发现关键指标/服务要求等未能达到招标文件中的规定或有虚假情况时，评标委员会有权取消其评审资格。</w:t>
      </w:r>
    </w:p>
    <w:p>
      <w:pPr>
        <w:spacing w:line="440" w:lineRule="exact"/>
        <w:ind w:left="-2" w:leftChars="-1" w:firstLine="480" w:firstLineChars="200"/>
        <w:jc w:val="left"/>
        <w:rPr>
          <w:rFonts w:ascii="宋体" w:hAnsi="宋体"/>
          <w:bCs/>
          <w:sz w:val="24"/>
        </w:rPr>
      </w:pPr>
      <w:r>
        <w:rPr>
          <w:rFonts w:hint="eastAsia" w:ascii="宋体" w:hAnsi="宋体"/>
          <w:bCs/>
          <w:sz w:val="24"/>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ascii="宋体" w:hAnsi="宋体"/>
          <w:bCs/>
          <w:sz w:val="24"/>
        </w:rPr>
      </w:pPr>
      <w:r>
        <w:rPr>
          <w:rFonts w:hint="eastAsia" w:ascii="宋体" w:hAnsi="宋体"/>
          <w:bCs/>
          <w:sz w:val="24"/>
        </w:rPr>
        <w:t>5）投标人只有完全通过符合性检查，才能进入下一阶段的详细评审，否则视为无效投标。（详见符合性检查表）</w:t>
      </w:r>
    </w:p>
    <w:p>
      <w:pPr>
        <w:spacing w:line="440" w:lineRule="exact"/>
        <w:rPr>
          <w:rFonts w:ascii="宋体" w:hAnsi="宋体"/>
          <w:bCs/>
          <w:sz w:val="24"/>
        </w:rPr>
      </w:pPr>
      <w:r>
        <w:rPr>
          <w:rFonts w:hint="eastAsia" w:ascii="宋体" w:hAnsi="宋体"/>
          <w:bCs/>
          <w:sz w:val="24"/>
        </w:rPr>
        <w:t>（3）投标文件详细评审</w:t>
      </w:r>
    </w:p>
    <w:p>
      <w:pPr>
        <w:spacing w:line="440" w:lineRule="exact"/>
        <w:ind w:firstLine="480" w:firstLineChars="200"/>
        <w:rPr>
          <w:rFonts w:ascii="宋体" w:hAnsi="宋体"/>
          <w:bCs/>
          <w:sz w:val="24"/>
        </w:rPr>
      </w:pPr>
      <w:r>
        <w:rPr>
          <w:rFonts w:hint="eastAsia" w:ascii="宋体" w:hAnsi="宋体"/>
          <w:bCs/>
          <w:sz w:val="24"/>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每个投标人的技术评分和商务评分。将技术得分、商务得分和价格得分相加得出综合得分，并按综合得分由高至低排出名次（出现并列得分时，价格低者排名在前）。评标委员会依据得分情况推荐出综合得分排名前两名分别作为第一中标候选人和第二中标候选人。</w:t>
      </w:r>
    </w:p>
    <w:p>
      <w:pPr>
        <w:spacing w:line="440" w:lineRule="exact"/>
        <w:ind w:firstLine="480" w:firstLineChars="200"/>
        <w:rPr>
          <w:rFonts w:ascii="宋体" w:hAnsi="宋体"/>
          <w:bCs/>
          <w:sz w:val="24"/>
        </w:rPr>
      </w:pPr>
      <w:r>
        <w:rPr>
          <w:rFonts w:hint="eastAsia" w:ascii="宋体" w:hAnsi="宋体"/>
          <w:bCs/>
          <w:sz w:val="24"/>
        </w:rPr>
        <w:t>当通过资格性审查或符合性检查的投标人少于三家时，否决所有投标文件，提请依法重新招标。</w:t>
      </w:r>
    </w:p>
    <w:p>
      <w:pPr>
        <w:pStyle w:val="5"/>
        <w:adjustRightInd/>
        <w:spacing w:before="0" w:after="0" w:line="440" w:lineRule="exact"/>
        <w:rPr>
          <w:b w:val="0"/>
          <w:bCs/>
        </w:rPr>
      </w:pPr>
      <w:bookmarkStart w:id="523" w:name="_Toc124401380"/>
      <w:bookmarkStart w:id="524" w:name="_Toc95249605"/>
      <w:bookmarkStart w:id="525" w:name="_Toc124570685"/>
      <w:bookmarkStart w:id="526" w:name="_Toc138568670"/>
      <w:bookmarkStart w:id="527" w:name="_Toc17907"/>
      <w:bookmarkStart w:id="528" w:name="_Toc102211722"/>
      <w:bookmarkStart w:id="529" w:name="_Toc108001798"/>
      <w:bookmarkStart w:id="530" w:name="_Toc113277290"/>
      <w:bookmarkStart w:id="531" w:name="_Toc101553554"/>
      <w:bookmarkStart w:id="532" w:name="_Toc68620010"/>
      <w:bookmarkStart w:id="533" w:name="_Toc148420068"/>
      <w:bookmarkStart w:id="534" w:name="_Toc138506090"/>
      <w:bookmarkStart w:id="535" w:name="_Toc95304221"/>
      <w:bookmarkStart w:id="536" w:name="_Toc67911940"/>
      <w:bookmarkStart w:id="537" w:name="_Toc35834932"/>
      <w:bookmarkStart w:id="538" w:name="_Toc34535378"/>
      <w:bookmarkStart w:id="539" w:name="_Toc148060904"/>
      <w:bookmarkStart w:id="540" w:name="_Toc104902927"/>
      <w:bookmarkStart w:id="541" w:name="_Toc131922501"/>
      <w:bookmarkStart w:id="542" w:name="_Toc28489528"/>
      <w:bookmarkStart w:id="543" w:name="_Toc66722110"/>
      <w:bookmarkStart w:id="544" w:name="_Toc150050900"/>
      <w:bookmarkStart w:id="545" w:name="_Toc28142596"/>
      <w:bookmarkStart w:id="546" w:name="_Toc124646432"/>
      <w:bookmarkStart w:id="547" w:name="_Toc101553659"/>
      <w:bookmarkStart w:id="548" w:name="_Toc125770206"/>
      <w:bookmarkStart w:id="549" w:name="_Toc131904928"/>
      <w:bookmarkStart w:id="550" w:name="_Toc104874463"/>
      <w:bookmarkStart w:id="551" w:name="_Toc108243614"/>
      <w:bookmarkStart w:id="552" w:name="_Toc169334814"/>
      <w:r>
        <w:rPr>
          <w:rFonts w:hint="eastAsia"/>
        </w:rPr>
        <w:t>五.评分标准和权重</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spacing w:line="440" w:lineRule="exact"/>
        <w:rPr>
          <w:rFonts w:ascii="宋体" w:hAnsi="宋体"/>
          <w:b/>
          <w:sz w:val="28"/>
        </w:rPr>
      </w:pPr>
      <w:bookmarkStart w:id="553" w:name="_Toc26163628"/>
      <w:bookmarkStart w:id="554" w:name="_Toc28489529"/>
      <w:bookmarkStart w:id="555" w:name="_Toc31424230"/>
      <w:bookmarkStart w:id="556" w:name="_Toc28142597"/>
      <w:r>
        <w:rPr>
          <w:rFonts w:hint="eastAsia" w:ascii="宋体" w:hAnsi="宋体"/>
          <w:b/>
          <w:sz w:val="28"/>
        </w:rPr>
        <w:t>1.评分标准</w:t>
      </w:r>
      <w:bookmarkEnd w:id="553"/>
      <w:bookmarkEnd w:id="554"/>
      <w:bookmarkEnd w:id="555"/>
      <w:bookmarkEnd w:id="556"/>
    </w:p>
    <w:p>
      <w:pPr>
        <w:spacing w:line="440" w:lineRule="exact"/>
        <w:ind w:left="1" w:firstLine="460" w:firstLineChars="192"/>
        <w:jc w:val="left"/>
        <w:rPr>
          <w:rFonts w:ascii="宋体" w:hAnsi="宋体"/>
          <w:bCs/>
          <w:sz w:val="24"/>
        </w:rPr>
      </w:pPr>
      <w:r>
        <w:rPr>
          <w:rFonts w:hint="eastAsia" w:ascii="宋体" w:hAnsi="宋体"/>
          <w:bCs/>
          <w:sz w:val="24"/>
        </w:rPr>
        <w:t>评委根据各通过资格性审查及符合性检查投标人的投标文件，并逐项列出投标文件的全部投标偏差。</w:t>
      </w:r>
    </w:p>
    <w:p>
      <w:pPr>
        <w:spacing w:line="440" w:lineRule="exact"/>
        <w:ind w:left="1" w:firstLine="460" w:firstLineChars="192"/>
        <w:jc w:val="left"/>
        <w:rPr>
          <w:rFonts w:ascii="宋体" w:hAnsi="宋体"/>
          <w:bCs/>
          <w:sz w:val="24"/>
        </w:rPr>
      </w:pPr>
      <w:r>
        <w:rPr>
          <w:rFonts w:hint="eastAsia" w:ascii="宋体" w:hAnsi="宋体"/>
          <w:bCs/>
          <w:sz w:val="24"/>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ascii="宋体" w:hAnsi="宋体"/>
          <w:bCs/>
          <w:sz w:val="24"/>
        </w:rPr>
      </w:pPr>
      <w:r>
        <w:rPr>
          <w:rFonts w:hint="eastAsia" w:ascii="宋体" w:hAnsi="宋体"/>
          <w:bCs/>
          <w:sz w:val="24"/>
        </w:rPr>
        <w:t>评委对投标文件的技术及商务响应情况进行评分。评分采用量化方法。</w:t>
      </w:r>
    </w:p>
    <w:p>
      <w:pPr>
        <w:spacing w:line="440" w:lineRule="exact"/>
        <w:ind w:firstLine="403" w:firstLineChars="168"/>
        <w:rPr>
          <w:rFonts w:ascii="宋体" w:hAnsi="宋体"/>
          <w:bCs/>
          <w:sz w:val="24"/>
        </w:rPr>
      </w:pPr>
      <w:r>
        <w:rPr>
          <w:rFonts w:hint="eastAsia" w:ascii="宋体" w:hAnsi="宋体"/>
          <w:bCs/>
          <w:sz w:val="24"/>
        </w:rPr>
        <w:t>技术、商务、价格评分应分别考虑下列因素：</w:t>
      </w:r>
    </w:p>
    <w:p>
      <w:pPr>
        <w:spacing w:line="440" w:lineRule="exact"/>
        <w:ind w:left="540"/>
        <w:rPr>
          <w:rFonts w:ascii="宋体" w:hAnsi="宋体"/>
          <w:bCs/>
          <w:sz w:val="24"/>
        </w:rPr>
      </w:pPr>
      <w:r>
        <w:rPr>
          <w:rFonts w:hint="eastAsia" w:ascii="宋体" w:hAnsi="宋体"/>
          <w:bCs/>
          <w:sz w:val="24"/>
        </w:rPr>
        <w:t>（1）技术评分（见技术评分标准）</w:t>
      </w:r>
    </w:p>
    <w:p>
      <w:pPr>
        <w:spacing w:line="440" w:lineRule="exact"/>
        <w:ind w:left="540"/>
        <w:rPr>
          <w:rFonts w:ascii="宋体" w:hAnsi="宋体"/>
          <w:bCs/>
          <w:sz w:val="24"/>
        </w:rPr>
      </w:pPr>
      <w:r>
        <w:rPr>
          <w:rFonts w:hint="eastAsia" w:ascii="宋体" w:hAnsi="宋体"/>
          <w:bCs/>
          <w:sz w:val="24"/>
        </w:rPr>
        <w:t>计算公式：</w:t>
      </w:r>
    </w:p>
    <w:p>
      <w:pPr>
        <w:spacing w:line="440" w:lineRule="exact"/>
        <w:ind w:left="540"/>
        <w:rPr>
          <w:rFonts w:ascii="宋体" w:hAnsi="宋体"/>
          <w:bCs/>
          <w:sz w:val="24"/>
        </w:rPr>
      </w:pPr>
      <w:r>
        <w:rPr>
          <w:rFonts w:hint="eastAsia" w:ascii="宋体" w:hAnsi="宋体"/>
          <w:bCs/>
          <w:sz w:val="24"/>
        </w:rPr>
        <w:t>技术得分=（各评委评分总和）÷（评委人数）</w:t>
      </w:r>
    </w:p>
    <w:p>
      <w:pPr>
        <w:spacing w:line="440" w:lineRule="exact"/>
        <w:ind w:left="540"/>
        <w:rPr>
          <w:rFonts w:ascii="宋体" w:hAnsi="宋体"/>
          <w:bCs/>
          <w:sz w:val="24"/>
        </w:rPr>
      </w:pPr>
      <w:r>
        <w:rPr>
          <w:rFonts w:hint="eastAsia" w:ascii="宋体" w:hAnsi="宋体"/>
          <w:bCs/>
          <w:sz w:val="24"/>
        </w:rPr>
        <w:t>（2）商务评分（见商务评分标准）</w:t>
      </w:r>
    </w:p>
    <w:p>
      <w:pPr>
        <w:spacing w:line="440" w:lineRule="exact"/>
        <w:ind w:left="540"/>
        <w:rPr>
          <w:rFonts w:ascii="宋体" w:hAnsi="宋体"/>
          <w:bCs/>
          <w:sz w:val="24"/>
        </w:rPr>
      </w:pPr>
      <w:r>
        <w:rPr>
          <w:rFonts w:hint="eastAsia" w:ascii="宋体" w:hAnsi="宋体"/>
          <w:bCs/>
          <w:sz w:val="24"/>
        </w:rPr>
        <w:t>计算公式：</w:t>
      </w:r>
    </w:p>
    <w:p>
      <w:pPr>
        <w:spacing w:line="440" w:lineRule="exact"/>
        <w:ind w:left="540"/>
        <w:rPr>
          <w:rFonts w:ascii="宋体" w:hAnsi="宋体"/>
          <w:bCs/>
          <w:sz w:val="24"/>
        </w:rPr>
      </w:pPr>
      <w:r>
        <w:rPr>
          <w:rFonts w:hint="eastAsia" w:ascii="宋体" w:hAnsi="宋体"/>
          <w:bCs/>
          <w:sz w:val="24"/>
        </w:rPr>
        <w:t>商务得分=（各评委评分总和）÷（评委人数）</w:t>
      </w:r>
    </w:p>
    <w:p>
      <w:pPr>
        <w:spacing w:line="440" w:lineRule="exact"/>
        <w:ind w:left="540"/>
        <w:rPr>
          <w:rFonts w:ascii="宋体" w:hAnsi="宋体"/>
          <w:bCs/>
          <w:sz w:val="24"/>
        </w:rPr>
      </w:pPr>
      <w:r>
        <w:rPr>
          <w:rFonts w:hint="eastAsia" w:ascii="宋体" w:hAnsi="宋体"/>
          <w:bCs/>
          <w:sz w:val="24"/>
        </w:rPr>
        <w:t>（3）价格的开启和评分</w:t>
      </w:r>
    </w:p>
    <w:p>
      <w:pPr>
        <w:spacing w:line="440" w:lineRule="exact"/>
        <w:ind w:left="540" w:leftChars="257" w:firstLine="540" w:firstLineChars="225"/>
        <w:rPr>
          <w:rFonts w:ascii="宋体" w:hAnsi="宋体"/>
          <w:bCs/>
          <w:sz w:val="24"/>
        </w:rPr>
      </w:pPr>
      <w:r>
        <w:rPr>
          <w:rFonts w:hint="eastAsia" w:ascii="宋体" w:hAnsi="宋体"/>
          <w:bCs/>
          <w:sz w:val="24"/>
        </w:rPr>
        <w:t>评标委员会将修正后的所有投标人的投标价格，取满足招标文件要求且评标价最低的价格为基准价，其价格分为满分。</w:t>
      </w:r>
    </w:p>
    <w:p>
      <w:pPr>
        <w:spacing w:line="440" w:lineRule="exact"/>
        <w:ind w:firstLine="600" w:firstLineChars="250"/>
        <w:rPr>
          <w:rFonts w:ascii="宋体" w:hAnsi="宋体"/>
          <w:bCs/>
          <w:sz w:val="24"/>
        </w:rPr>
      </w:pPr>
      <w:r>
        <w:rPr>
          <w:rFonts w:hint="eastAsia" w:ascii="宋体" w:hAnsi="宋体"/>
          <w:bCs/>
          <w:sz w:val="24"/>
        </w:rPr>
        <w:t>计算公式：</w:t>
      </w:r>
    </w:p>
    <w:p>
      <w:pPr>
        <w:spacing w:line="440" w:lineRule="exact"/>
        <w:ind w:firstLine="600" w:firstLineChars="250"/>
        <w:rPr>
          <w:rFonts w:ascii="宋体" w:hAnsi="宋体"/>
          <w:bCs/>
          <w:sz w:val="24"/>
        </w:rPr>
      </w:pPr>
      <w:r>
        <w:rPr>
          <w:rFonts w:hint="eastAsia" w:ascii="宋体" w:hAnsi="宋体"/>
          <w:bCs/>
          <w:sz w:val="24"/>
        </w:rPr>
        <w:t>价格得分=基准价格÷投标报价×价格权重×100（精确到0.01）。</w:t>
      </w:r>
    </w:p>
    <w:p>
      <w:pPr>
        <w:spacing w:line="440" w:lineRule="exact"/>
        <w:ind w:firstLine="480" w:firstLineChars="200"/>
        <w:rPr>
          <w:rFonts w:ascii="宋体" w:hAnsi="宋体"/>
          <w:bCs/>
          <w:sz w:val="24"/>
        </w:rPr>
      </w:pPr>
      <w:r>
        <w:rPr>
          <w:rFonts w:hint="eastAsia" w:ascii="宋体" w:hAnsi="宋体"/>
          <w:bCs/>
          <w:sz w:val="24"/>
        </w:rPr>
        <w:t>1）小型和微型企业产品价格扣除</w:t>
      </w:r>
    </w:p>
    <w:p>
      <w:pPr>
        <w:spacing w:line="440" w:lineRule="exact"/>
        <w:ind w:firstLine="600" w:firstLineChars="250"/>
        <w:rPr>
          <w:rFonts w:ascii="宋体" w:hAnsi="宋体"/>
          <w:bCs/>
          <w:sz w:val="24"/>
        </w:rPr>
      </w:pPr>
      <w:r>
        <w:rPr>
          <w:rFonts w:hint="eastAsia" w:ascii="宋体" w:hAnsi="宋体"/>
          <w:bCs/>
          <w:sz w:val="24"/>
        </w:rPr>
        <w:t>1.1根据</w:t>
      </w:r>
      <w:r>
        <w:rPr>
          <w:rFonts w:hint="eastAsia"/>
          <w:szCs w:val="21"/>
        </w:rPr>
        <w:t>《关于进一步加大政府采购支持中小企业力度的通知》（财库〔2022〕19号）</w:t>
      </w:r>
      <w:r>
        <w:rPr>
          <w:rFonts w:hint="eastAsia" w:ascii="宋体" w:hAnsi="宋体"/>
          <w:bCs/>
          <w:sz w:val="24"/>
        </w:rPr>
        <w:t>的规定，对小型和微型企业产品的价格给予15%的扣除，用扣除后的价格参与评审；投标产品中仅有部分小型和微型企业产品的，则此部分按所投小型和微型企业产品的价格予以扣除。</w:t>
      </w:r>
    </w:p>
    <w:p>
      <w:pPr>
        <w:spacing w:line="440" w:lineRule="exact"/>
        <w:ind w:firstLine="600" w:firstLineChars="250"/>
        <w:rPr>
          <w:rFonts w:ascii="宋体" w:hAnsi="宋体"/>
          <w:bCs/>
          <w:sz w:val="24"/>
        </w:rPr>
      </w:pPr>
      <w:r>
        <w:rPr>
          <w:rFonts w:hint="eastAsia" w:ascii="宋体" w:hAnsi="宋体"/>
          <w:bCs/>
          <w:sz w:val="24"/>
        </w:rPr>
        <w:t>1.2《政府采购促进中小企业发展暂行办法》所称中小企业（含中型、小型、微型企业，下同）应当同时符合以下条件：</w:t>
      </w:r>
    </w:p>
    <w:p>
      <w:pPr>
        <w:spacing w:line="440" w:lineRule="exact"/>
        <w:ind w:firstLine="600" w:firstLineChars="250"/>
        <w:rPr>
          <w:rFonts w:ascii="宋体" w:hAnsi="宋体"/>
          <w:bCs/>
          <w:sz w:val="24"/>
        </w:rPr>
      </w:pPr>
      <w:r>
        <w:rPr>
          <w:rFonts w:hint="eastAsia" w:ascii="宋体" w:hAnsi="宋体"/>
          <w:bCs/>
          <w:sz w:val="24"/>
        </w:rPr>
        <w:t xml:space="preserve">1.2.1符合中小企业划分标准； </w:t>
      </w:r>
    </w:p>
    <w:p>
      <w:pPr>
        <w:spacing w:line="440" w:lineRule="exact"/>
        <w:ind w:firstLine="600" w:firstLineChars="250"/>
        <w:rPr>
          <w:rFonts w:ascii="宋体" w:hAnsi="宋体"/>
          <w:bCs/>
          <w:sz w:val="24"/>
        </w:rPr>
      </w:pPr>
      <w:r>
        <w:rPr>
          <w:rFonts w:hint="eastAsia" w:ascii="宋体" w:hAnsi="宋体"/>
          <w:bCs/>
          <w:sz w:val="24"/>
        </w:rPr>
        <w:t>1.2.2提供本企业制造的货物、承担的工程或者服务，或者提供其他中小企业制造的货物。本项所称货物不包括使用大型企业注册商标的货物。</w:t>
      </w:r>
    </w:p>
    <w:p>
      <w:pPr>
        <w:spacing w:line="440" w:lineRule="exact"/>
        <w:ind w:firstLine="600" w:firstLineChars="250"/>
        <w:rPr>
          <w:rFonts w:ascii="宋体" w:hAnsi="宋体"/>
          <w:bCs/>
          <w:sz w:val="24"/>
        </w:rPr>
      </w:pPr>
      <w:r>
        <w:rPr>
          <w:rFonts w:hint="eastAsia" w:ascii="宋体" w:hAnsi="宋体"/>
          <w:bCs/>
          <w:sz w:val="24"/>
        </w:rPr>
        <w:t>中小企业划分标准以《工业和信息化部、国家统计局、国家发展和改革委员会、财政部关于印发中小企业划型标准规定的通知》（工信部联企业[2011]300号）规定的划分标准为准。</w:t>
      </w:r>
    </w:p>
    <w:p>
      <w:pPr>
        <w:spacing w:line="440" w:lineRule="exact"/>
        <w:ind w:firstLine="600" w:firstLineChars="250"/>
        <w:rPr>
          <w:rFonts w:ascii="宋体" w:hAnsi="宋体"/>
          <w:bCs/>
          <w:sz w:val="24"/>
        </w:rPr>
      </w:pPr>
      <w:r>
        <w:rPr>
          <w:rFonts w:hint="eastAsia" w:ascii="宋体" w:hAnsi="宋体"/>
          <w:bCs/>
          <w:sz w:val="24"/>
        </w:rPr>
        <w:t>小型、微型企业提供中型企业制造的货物的，视同为中型企业。</w:t>
      </w:r>
    </w:p>
    <w:p>
      <w:pPr>
        <w:spacing w:line="440" w:lineRule="exact"/>
        <w:ind w:firstLine="600" w:firstLineChars="250"/>
        <w:rPr>
          <w:rFonts w:ascii="宋体" w:hAnsi="宋体"/>
          <w:bCs/>
          <w:sz w:val="24"/>
        </w:rPr>
      </w:pPr>
      <w:r>
        <w:rPr>
          <w:rFonts w:hint="eastAsia" w:ascii="宋体" w:hAnsi="宋体"/>
          <w:bCs/>
          <w:sz w:val="24"/>
        </w:rPr>
        <w:t>1.3参加政府采购活动的中小企业应当提供《中小企业声明函》（格式见第六章投标文件格式），如投标人为非制造商，其代理产品的制造商也应同时提交《中小企业声明函》，否则评审时不能享受相应的价格扣除。</w:t>
      </w:r>
    </w:p>
    <w:p>
      <w:pPr>
        <w:spacing w:line="440" w:lineRule="exact"/>
        <w:ind w:firstLine="600" w:firstLineChars="250"/>
        <w:rPr>
          <w:rFonts w:ascii="宋体" w:hAnsi="宋体"/>
          <w:bCs/>
          <w:sz w:val="24"/>
        </w:rPr>
      </w:pPr>
      <w:r>
        <w:rPr>
          <w:rFonts w:hint="eastAsia" w:ascii="宋体" w:hAnsi="宋体"/>
          <w:bCs/>
          <w:sz w:val="24"/>
        </w:rPr>
        <w:t>1.4监狱企业产品价格扣除</w:t>
      </w:r>
    </w:p>
    <w:p>
      <w:pPr>
        <w:spacing w:line="440" w:lineRule="exact"/>
        <w:ind w:firstLine="600" w:firstLineChars="250"/>
        <w:rPr>
          <w:rFonts w:ascii="宋体" w:hAnsi="宋体"/>
          <w:bCs/>
          <w:sz w:val="24"/>
        </w:rPr>
      </w:pPr>
      <w:r>
        <w:rPr>
          <w:rFonts w:hint="eastAsia" w:ascii="宋体" w:hAnsi="宋体"/>
          <w:bCs/>
          <w:sz w:val="24"/>
        </w:rPr>
        <w:t>1.4.1监狱企业视同小型、微型企业，按上述1.1、1.2条款享受评审中价格扣除。</w:t>
      </w:r>
    </w:p>
    <w:p>
      <w:pPr>
        <w:spacing w:line="440" w:lineRule="exact"/>
        <w:ind w:firstLine="600" w:firstLineChars="250"/>
        <w:rPr>
          <w:rFonts w:ascii="宋体" w:hAnsi="宋体"/>
          <w:bCs/>
          <w:sz w:val="24"/>
        </w:rPr>
      </w:pPr>
      <w:r>
        <w:rPr>
          <w:rFonts w:hint="eastAsia" w:ascii="宋体" w:hAnsi="宋体"/>
          <w:bCs/>
          <w:sz w:val="24"/>
        </w:rPr>
        <w:t>1.4.2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40" w:lineRule="exact"/>
        <w:ind w:firstLine="600" w:firstLineChars="250"/>
        <w:rPr>
          <w:rFonts w:ascii="宋体" w:hAnsi="宋体"/>
          <w:bCs/>
          <w:sz w:val="24"/>
        </w:rPr>
      </w:pPr>
      <w:r>
        <w:rPr>
          <w:rFonts w:hint="eastAsia" w:ascii="宋体" w:hAnsi="宋体"/>
          <w:bCs/>
          <w:sz w:val="24"/>
        </w:rPr>
        <w:t>1.4.3监狱企业参加政府采购活动时，应当提供由省级以上监狱管理局、戒毒管理局（含新疆生产建设兵团）出具的属于监狱企业的证明文件，否则不予认可。</w:t>
      </w:r>
    </w:p>
    <w:p>
      <w:pPr>
        <w:spacing w:line="440" w:lineRule="exact"/>
        <w:ind w:firstLine="600" w:firstLineChars="250"/>
        <w:rPr>
          <w:rFonts w:ascii="宋体" w:hAnsi="宋体"/>
          <w:bCs/>
          <w:sz w:val="24"/>
        </w:rPr>
      </w:pPr>
      <w:r>
        <w:rPr>
          <w:rFonts w:hint="eastAsia" w:ascii="宋体" w:hAnsi="宋体"/>
          <w:bCs/>
          <w:sz w:val="24"/>
        </w:rPr>
        <w:t>1.5残疾人福利性单位产品价格扣除</w:t>
      </w:r>
    </w:p>
    <w:p>
      <w:pPr>
        <w:spacing w:line="440" w:lineRule="exact"/>
        <w:ind w:firstLine="600" w:firstLineChars="250"/>
        <w:rPr>
          <w:rFonts w:ascii="宋体" w:hAnsi="宋体"/>
          <w:bCs/>
          <w:sz w:val="24"/>
        </w:rPr>
      </w:pPr>
      <w:r>
        <w:rPr>
          <w:rFonts w:hint="eastAsia" w:ascii="宋体" w:hAnsi="宋体"/>
          <w:bCs/>
          <w:sz w:val="24"/>
        </w:rPr>
        <w:t>1.5.1.残疾人福利性单位视同小型、微型企业，按上述1.1、1.2条款享受评审中价格扣除。</w:t>
      </w:r>
    </w:p>
    <w:p>
      <w:pPr>
        <w:spacing w:line="440" w:lineRule="exact"/>
        <w:ind w:firstLine="600" w:firstLineChars="250"/>
        <w:rPr>
          <w:rFonts w:ascii="宋体" w:hAnsi="宋体"/>
          <w:bCs/>
          <w:sz w:val="24"/>
        </w:rPr>
      </w:pPr>
      <w:r>
        <w:rPr>
          <w:rFonts w:hint="eastAsia" w:ascii="宋体" w:hAnsi="宋体"/>
          <w:bCs/>
          <w:sz w:val="24"/>
        </w:rPr>
        <w:t>1.5.2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pPr>
        <w:numPr>
          <w:ilvl w:val="0"/>
          <w:numId w:val="23"/>
        </w:numPr>
        <w:spacing w:line="440" w:lineRule="exact"/>
        <w:ind w:firstLine="600" w:firstLineChars="250"/>
        <w:rPr>
          <w:rFonts w:ascii="宋体" w:hAnsi="宋体"/>
          <w:bCs/>
          <w:sz w:val="24"/>
        </w:rPr>
      </w:pPr>
      <w:r>
        <w:rPr>
          <w:rFonts w:hint="eastAsia" w:ascii="宋体" w:hAnsi="宋体"/>
          <w:bCs/>
          <w:sz w:val="24"/>
        </w:rPr>
        <w:t>投标人同时为小型、微型企业、监狱企业、残疾人福利性单位任两种或以上情况的，评审中只享受一次价格扣除，不重复进行价格扣除。</w:t>
      </w:r>
    </w:p>
    <w:p>
      <w:pPr>
        <w:numPr>
          <w:ilvl w:val="0"/>
          <w:numId w:val="23"/>
        </w:numPr>
        <w:spacing w:line="440" w:lineRule="exact"/>
        <w:ind w:firstLine="600" w:firstLineChars="250"/>
        <w:rPr>
          <w:rFonts w:ascii="宋体" w:hAnsi="宋体"/>
          <w:bCs/>
          <w:color w:val="FF0000"/>
          <w:sz w:val="24"/>
          <w:highlight w:val="yellow"/>
        </w:rPr>
      </w:pPr>
      <w:r>
        <w:rPr>
          <w:rFonts w:hint="eastAsia" w:ascii="宋体" w:hAnsi="宋体"/>
          <w:bCs/>
          <w:color w:val="FF0000"/>
          <w:sz w:val="24"/>
          <w:highlight w:val="yellow"/>
        </w:rPr>
        <w:t>投标人价格扣除比例如下：</w:t>
      </w:r>
    </w:p>
    <w:tbl>
      <w:tblPr>
        <w:tblStyle w:val="2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699"/>
        <w:gridCol w:w="216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jc w:val="center"/>
              <w:rPr>
                <w:rFonts w:ascii="宋体" w:hAnsi="宋体"/>
                <w:b/>
                <w:color w:val="FF0000"/>
                <w:szCs w:val="21"/>
                <w:highlight w:val="yellow"/>
                <w:lang w:val="en-GB"/>
              </w:rPr>
            </w:pPr>
            <w:r>
              <w:rPr>
                <w:rFonts w:hint="eastAsia" w:ascii="宋体" w:hAnsi="宋体"/>
                <w:b/>
                <w:color w:val="FF0000"/>
                <w:szCs w:val="21"/>
                <w:highlight w:val="yellow"/>
                <w:lang w:val="en-GB"/>
              </w:rPr>
              <w:t>序号</w:t>
            </w:r>
          </w:p>
        </w:tc>
        <w:tc>
          <w:tcPr>
            <w:tcW w:w="2699" w:type="dxa"/>
            <w:vAlign w:val="center"/>
          </w:tcPr>
          <w:p>
            <w:pPr>
              <w:jc w:val="center"/>
              <w:rPr>
                <w:rFonts w:ascii="宋体" w:hAnsi="宋体"/>
                <w:b/>
                <w:color w:val="FF0000"/>
                <w:szCs w:val="21"/>
                <w:highlight w:val="yellow"/>
                <w:lang w:val="en-GB"/>
              </w:rPr>
            </w:pPr>
            <w:r>
              <w:rPr>
                <w:rFonts w:hint="eastAsia" w:ascii="宋体" w:hAnsi="宋体"/>
                <w:b/>
                <w:color w:val="FF0000"/>
                <w:szCs w:val="21"/>
                <w:highlight w:val="yellow"/>
                <w:lang w:val="en-GB"/>
              </w:rPr>
              <w:t>情形</w:t>
            </w:r>
          </w:p>
        </w:tc>
        <w:tc>
          <w:tcPr>
            <w:tcW w:w="2160" w:type="dxa"/>
            <w:vAlign w:val="center"/>
          </w:tcPr>
          <w:p>
            <w:pPr>
              <w:jc w:val="center"/>
              <w:rPr>
                <w:rFonts w:ascii="宋体" w:hAnsi="宋体"/>
                <w:b/>
                <w:color w:val="FF0000"/>
                <w:szCs w:val="21"/>
                <w:highlight w:val="yellow"/>
                <w:lang w:val="en-GB"/>
              </w:rPr>
            </w:pPr>
            <w:r>
              <w:rPr>
                <w:rFonts w:hint="eastAsia" w:ascii="宋体" w:hAnsi="宋体"/>
                <w:b/>
                <w:color w:val="FF0000"/>
                <w:szCs w:val="21"/>
                <w:highlight w:val="yellow"/>
              </w:rPr>
              <w:t>价格扣除</w:t>
            </w:r>
            <w:r>
              <w:rPr>
                <w:rFonts w:hint="eastAsia" w:ascii="宋体" w:hAnsi="宋体"/>
                <w:b/>
                <w:color w:val="FF0000"/>
                <w:szCs w:val="21"/>
                <w:highlight w:val="yellow"/>
                <w:lang w:val="en-GB"/>
              </w:rPr>
              <w:t>比例</w:t>
            </w:r>
          </w:p>
        </w:tc>
        <w:tc>
          <w:tcPr>
            <w:tcW w:w="3780" w:type="dxa"/>
            <w:vAlign w:val="center"/>
          </w:tcPr>
          <w:p>
            <w:pPr>
              <w:jc w:val="center"/>
              <w:rPr>
                <w:rFonts w:ascii="宋体" w:hAnsi="宋体"/>
                <w:b/>
                <w:color w:val="FF0000"/>
                <w:szCs w:val="21"/>
                <w:highlight w:val="yellow"/>
                <w:lang w:val="en-GB"/>
              </w:rPr>
            </w:pPr>
            <w:r>
              <w:rPr>
                <w:rFonts w:hint="eastAsia" w:ascii="宋体" w:hAnsi="宋体"/>
                <w:b/>
                <w:color w:val="FF0000"/>
                <w:szCs w:val="21"/>
                <w:highlight w:val="yellow"/>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9" w:type="dxa"/>
            <w:vAlign w:val="center"/>
          </w:tcPr>
          <w:p>
            <w:pPr>
              <w:jc w:val="center"/>
              <w:rPr>
                <w:rFonts w:ascii="宋体" w:hAnsi="宋体"/>
                <w:b/>
                <w:color w:val="FF0000"/>
                <w:szCs w:val="21"/>
                <w:highlight w:val="yellow"/>
                <w:lang w:val="en-GB"/>
              </w:rPr>
            </w:pPr>
            <w:r>
              <w:rPr>
                <w:rFonts w:hint="eastAsia" w:ascii="宋体" w:hAnsi="宋体"/>
                <w:b/>
                <w:color w:val="FF0000"/>
                <w:szCs w:val="21"/>
                <w:highlight w:val="yellow"/>
                <w:lang w:val="en-GB"/>
              </w:rPr>
              <w:t>1</w:t>
            </w:r>
          </w:p>
        </w:tc>
        <w:tc>
          <w:tcPr>
            <w:tcW w:w="2699" w:type="dxa"/>
            <w:vAlign w:val="center"/>
          </w:tcPr>
          <w:p>
            <w:pPr>
              <w:jc w:val="center"/>
              <w:rPr>
                <w:rFonts w:ascii="宋体" w:hAnsi="宋体"/>
                <w:color w:val="FF0000"/>
                <w:szCs w:val="21"/>
                <w:highlight w:val="yellow"/>
                <w:lang w:val="en-GB"/>
              </w:rPr>
            </w:pPr>
            <w:r>
              <w:rPr>
                <w:rFonts w:hint="eastAsia" w:ascii="宋体" w:hAnsi="宋体"/>
                <w:color w:val="FF0000"/>
                <w:szCs w:val="21"/>
                <w:highlight w:val="yellow"/>
                <w:lang w:val="en-GB"/>
              </w:rPr>
              <w:t>非联合体投标人</w:t>
            </w:r>
          </w:p>
          <w:p>
            <w:pPr>
              <w:jc w:val="center"/>
              <w:rPr>
                <w:rFonts w:ascii="宋体" w:hAnsi="宋体"/>
                <w:b/>
                <w:color w:val="FF0000"/>
                <w:szCs w:val="21"/>
                <w:highlight w:val="yellow"/>
                <w:lang w:val="en-GB"/>
              </w:rPr>
            </w:pPr>
            <w:r>
              <w:rPr>
                <w:rFonts w:hint="eastAsia" w:ascii="宋体" w:hAnsi="宋体"/>
                <w:color w:val="FF0000"/>
                <w:szCs w:val="21"/>
                <w:highlight w:val="yellow"/>
                <w:lang w:val="en-GB"/>
              </w:rPr>
              <w:t>（投标人须为小型、微型企业）</w:t>
            </w:r>
          </w:p>
        </w:tc>
        <w:tc>
          <w:tcPr>
            <w:tcW w:w="2160" w:type="dxa"/>
            <w:vAlign w:val="center"/>
          </w:tcPr>
          <w:p>
            <w:pPr>
              <w:jc w:val="center"/>
              <w:rPr>
                <w:rFonts w:ascii="宋体" w:hAnsi="宋体"/>
                <w:b/>
                <w:color w:val="FF0000"/>
                <w:szCs w:val="21"/>
                <w:highlight w:val="yellow"/>
                <w:lang w:val="en-GB"/>
              </w:rPr>
            </w:pPr>
            <w:r>
              <w:rPr>
                <w:rFonts w:hint="eastAsia" w:ascii="宋体" w:hAnsi="宋体"/>
                <w:color w:val="FF0000"/>
                <w:szCs w:val="21"/>
                <w:highlight w:val="yellow"/>
              </w:rPr>
              <w:t>对小型和微型企业产品的价格扣除</w:t>
            </w:r>
            <w:r>
              <w:rPr>
                <w:rFonts w:hint="eastAsia" w:ascii="宋体" w:hAnsi="宋体"/>
                <w:color w:val="FF0000"/>
                <w:szCs w:val="21"/>
                <w:highlight w:val="yellow"/>
                <w:u w:val="single"/>
              </w:rPr>
              <w:t xml:space="preserve">15 </w:t>
            </w:r>
            <w:r>
              <w:rPr>
                <w:rFonts w:hint="eastAsia" w:ascii="宋体" w:hAnsi="宋体"/>
                <w:color w:val="FF0000"/>
                <w:szCs w:val="21"/>
                <w:highlight w:val="yellow"/>
              </w:rPr>
              <w:t>%</w:t>
            </w:r>
          </w:p>
        </w:tc>
        <w:tc>
          <w:tcPr>
            <w:tcW w:w="3780" w:type="dxa"/>
            <w:vMerge w:val="restart"/>
            <w:vAlign w:val="center"/>
          </w:tcPr>
          <w:p>
            <w:pPr>
              <w:jc w:val="center"/>
              <w:rPr>
                <w:rFonts w:ascii="宋体" w:hAnsi="宋体"/>
                <w:color w:val="FF0000"/>
                <w:szCs w:val="21"/>
                <w:highlight w:val="yellow"/>
                <w:lang w:val="en-GB"/>
              </w:rPr>
            </w:pPr>
            <w:r>
              <w:rPr>
                <w:rFonts w:hint="eastAsia" w:ascii="宋体" w:hAnsi="宋体"/>
                <w:color w:val="FF0000"/>
                <w:szCs w:val="21"/>
                <w:highlight w:val="yellow"/>
                <w:lang w:val="en-GB"/>
              </w:rPr>
              <w:t>评标价＝总投标报价—</w:t>
            </w:r>
            <w:r>
              <w:rPr>
                <w:rFonts w:hint="eastAsia" w:ascii="宋体" w:hAnsi="宋体"/>
                <w:color w:val="FF0000"/>
                <w:szCs w:val="21"/>
                <w:highlight w:val="yellow"/>
              </w:rPr>
              <w:t>小型和微型企业产品的价格</w:t>
            </w:r>
            <w:r>
              <w:rPr>
                <w:rFonts w:hint="eastAsia" w:ascii="宋体" w:hAnsi="宋体"/>
                <w:color w:val="FF0000"/>
                <w:szCs w:val="21"/>
                <w:highlight w:val="yellow"/>
                <w:lang w:val="en-GB"/>
              </w:rPr>
              <w:t>×</w:t>
            </w:r>
            <w:r>
              <w:rPr>
                <w:rFonts w:hint="eastAsia" w:ascii="宋体" w:hAnsi="宋体"/>
                <w:color w:val="FF0000"/>
                <w:szCs w:val="21"/>
                <w:highlight w:val="yellow"/>
                <w:u w:val="single"/>
              </w:rPr>
              <w:t>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9" w:type="dxa"/>
            <w:vAlign w:val="center"/>
          </w:tcPr>
          <w:p>
            <w:pPr>
              <w:jc w:val="center"/>
              <w:rPr>
                <w:rFonts w:ascii="宋体" w:hAnsi="宋体"/>
                <w:b/>
                <w:color w:val="FF0000"/>
                <w:szCs w:val="21"/>
                <w:highlight w:val="yellow"/>
                <w:lang w:val="en-GB"/>
              </w:rPr>
            </w:pPr>
            <w:r>
              <w:rPr>
                <w:rFonts w:hint="eastAsia" w:ascii="宋体" w:hAnsi="宋体"/>
                <w:b/>
                <w:color w:val="FF0000"/>
                <w:szCs w:val="21"/>
                <w:highlight w:val="yellow"/>
                <w:lang w:val="en-GB"/>
              </w:rPr>
              <w:t>2</w:t>
            </w:r>
          </w:p>
        </w:tc>
        <w:tc>
          <w:tcPr>
            <w:tcW w:w="2699" w:type="dxa"/>
            <w:vAlign w:val="center"/>
          </w:tcPr>
          <w:p>
            <w:pPr>
              <w:jc w:val="center"/>
              <w:rPr>
                <w:rFonts w:ascii="宋体" w:hAnsi="宋体"/>
                <w:b/>
                <w:color w:val="FF0000"/>
                <w:szCs w:val="21"/>
                <w:highlight w:val="yellow"/>
              </w:rPr>
            </w:pPr>
            <w:r>
              <w:rPr>
                <w:rFonts w:hint="eastAsia" w:ascii="宋体" w:hAnsi="宋体"/>
                <w:color w:val="FF0000"/>
                <w:szCs w:val="21"/>
                <w:highlight w:val="yellow"/>
                <w:lang w:val="en-GB"/>
              </w:rPr>
              <w:t>联合体各方均为小型、微型企业</w:t>
            </w:r>
          </w:p>
        </w:tc>
        <w:tc>
          <w:tcPr>
            <w:tcW w:w="2160" w:type="dxa"/>
            <w:vAlign w:val="center"/>
          </w:tcPr>
          <w:p>
            <w:pPr>
              <w:jc w:val="center"/>
              <w:rPr>
                <w:rFonts w:ascii="宋体" w:hAnsi="宋体"/>
                <w:color w:val="FF0000"/>
                <w:szCs w:val="21"/>
                <w:highlight w:val="yellow"/>
              </w:rPr>
            </w:pPr>
            <w:r>
              <w:rPr>
                <w:rFonts w:hint="eastAsia" w:ascii="宋体" w:hAnsi="宋体"/>
                <w:color w:val="FF0000"/>
                <w:szCs w:val="21"/>
                <w:highlight w:val="yellow"/>
              </w:rPr>
              <w:t>对小型和微型企业产品的价格扣除</w:t>
            </w:r>
            <w:r>
              <w:rPr>
                <w:rFonts w:hint="eastAsia" w:ascii="宋体" w:hAnsi="宋体"/>
                <w:color w:val="FF0000"/>
                <w:szCs w:val="21"/>
                <w:highlight w:val="yellow"/>
                <w:u w:val="single"/>
              </w:rPr>
              <w:t xml:space="preserve">15 </w:t>
            </w:r>
            <w:r>
              <w:rPr>
                <w:rFonts w:hint="eastAsia" w:ascii="宋体" w:hAnsi="宋体"/>
                <w:color w:val="FF0000"/>
                <w:szCs w:val="21"/>
                <w:highlight w:val="yellow"/>
              </w:rPr>
              <w:t>%</w:t>
            </w:r>
          </w:p>
          <w:p>
            <w:pPr>
              <w:jc w:val="center"/>
              <w:rPr>
                <w:rFonts w:ascii="宋体" w:hAnsi="宋体"/>
                <w:b/>
                <w:color w:val="FF0000"/>
                <w:szCs w:val="21"/>
                <w:highlight w:val="yellow"/>
                <w:lang w:val="en-GB"/>
              </w:rPr>
            </w:pPr>
            <w:r>
              <w:rPr>
                <w:rFonts w:hint="eastAsia" w:ascii="宋体" w:hAnsi="宋体"/>
                <w:color w:val="FF0000"/>
                <w:szCs w:val="21"/>
                <w:highlight w:val="yellow"/>
              </w:rPr>
              <w:t>（不再享受序号3的价格折扣）</w:t>
            </w:r>
          </w:p>
        </w:tc>
        <w:tc>
          <w:tcPr>
            <w:tcW w:w="3780" w:type="dxa"/>
            <w:vMerge w:val="continue"/>
          </w:tcPr>
          <w:p>
            <w:pPr>
              <w:rPr>
                <w:rFonts w:ascii="宋体" w:hAnsi="宋体"/>
                <w:color w:val="FF0000"/>
                <w:szCs w:val="21"/>
                <w:highlight w:val="yellow"/>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29" w:type="dxa"/>
            <w:vAlign w:val="center"/>
          </w:tcPr>
          <w:p>
            <w:pPr>
              <w:jc w:val="center"/>
              <w:rPr>
                <w:rFonts w:ascii="宋体" w:hAnsi="宋体"/>
                <w:b/>
                <w:color w:val="FF0000"/>
                <w:szCs w:val="21"/>
                <w:highlight w:val="yellow"/>
                <w:lang w:val="en-GB"/>
              </w:rPr>
            </w:pPr>
            <w:r>
              <w:rPr>
                <w:rFonts w:hint="eastAsia" w:ascii="宋体" w:hAnsi="宋体"/>
                <w:b/>
                <w:color w:val="FF0000"/>
                <w:szCs w:val="21"/>
                <w:highlight w:val="yellow"/>
                <w:lang w:val="en-GB"/>
              </w:rPr>
              <w:t>3</w:t>
            </w:r>
          </w:p>
        </w:tc>
        <w:tc>
          <w:tcPr>
            <w:tcW w:w="2699" w:type="dxa"/>
            <w:vAlign w:val="center"/>
          </w:tcPr>
          <w:p>
            <w:pPr>
              <w:jc w:val="center"/>
              <w:rPr>
                <w:rFonts w:ascii="宋体" w:hAnsi="宋体"/>
                <w:b/>
                <w:color w:val="FF0000"/>
                <w:szCs w:val="21"/>
                <w:highlight w:val="yellow"/>
                <w:lang w:val="en-GB"/>
              </w:rPr>
            </w:pPr>
            <w:r>
              <w:rPr>
                <w:rFonts w:hint="eastAsia" w:ascii="宋体" w:hAnsi="宋体"/>
                <w:color w:val="FF0000"/>
                <w:szCs w:val="21"/>
                <w:highlight w:val="yellow"/>
                <w:lang w:val="en-GB"/>
              </w:rPr>
              <w:t>联合体一方为小型、微型企业且小型、微型企业协议合同金额占联合体协议合同总金额30%以上的</w:t>
            </w:r>
          </w:p>
        </w:tc>
        <w:tc>
          <w:tcPr>
            <w:tcW w:w="2160" w:type="dxa"/>
            <w:vAlign w:val="center"/>
          </w:tcPr>
          <w:p>
            <w:pPr>
              <w:jc w:val="center"/>
              <w:rPr>
                <w:rFonts w:ascii="宋体" w:hAnsi="宋体"/>
                <w:color w:val="FF0000"/>
                <w:szCs w:val="21"/>
                <w:highlight w:val="yellow"/>
                <w:lang w:val="en-GB"/>
              </w:rPr>
            </w:pPr>
            <w:r>
              <w:rPr>
                <w:rFonts w:hint="eastAsia" w:ascii="宋体" w:hAnsi="宋体"/>
                <w:color w:val="FF0000"/>
                <w:szCs w:val="21"/>
                <w:highlight w:val="yellow"/>
                <w:lang w:val="en-GB"/>
              </w:rPr>
              <w:t>对联合体总金额扣除</w:t>
            </w:r>
          </w:p>
          <w:p>
            <w:pPr>
              <w:jc w:val="center"/>
              <w:rPr>
                <w:rFonts w:ascii="宋体" w:hAnsi="宋体"/>
                <w:b/>
                <w:color w:val="FF0000"/>
                <w:szCs w:val="21"/>
                <w:highlight w:val="yellow"/>
                <w:lang w:val="en-GB"/>
              </w:rPr>
            </w:pPr>
            <w:r>
              <w:rPr>
                <w:rFonts w:hint="eastAsia" w:ascii="宋体" w:hAnsi="宋体"/>
                <w:color w:val="FF0000"/>
                <w:szCs w:val="21"/>
                <w:highlight w:val="yellow"/>
                <w:u w:val="single"/>
              </w:rPr>
              <w:t>5</w:t>
            </w:r>
            <w:r>
              <w:rPr>
                <w:rFonts w:hint="eastAsia" w:ascii="宋体" w:hAnsi="宋体"/>
                <w:color w:val="FF0000"/>
                <w:szCs w:val="21"/>
                <w:highlight w:val="yellow"/>
              </w:rPr>
              <w:t>%</w:t>
            </w:r>
          </w:p>
        </w:tc>
        <w:tc>
          <w:tcPr>
            <w:tcW w:w="3780" w:type="dxa"/>
            <w:vAlign w:val="center"/>
          </w:tcPr>
          <w:p>
            <w:pPr>
              <w:jc w:val="center"/>
              <w:rPr>
                <w:rFonts w:ascii="宋体" w:hAnsi="宋体"/>
                <w:color w:val="FF0000"/>
                <w:szCs w:val="21"/>
                <w:highlight w:val="yellow"/>
                <w:lang w:val="en-GB"/>
              </w:rPr>
            </w:pPr>
            <w:r>
              <w:rPr>
                <w:rFonts w:hint="eastAsia" w:ascii="宋体" w:hAnsi="宋体"/>
                <w:color w:val="FF0000"/>
                <w:szCs w:val="21"/>
                <w:highlight w:val="yellow"/>
                <w:lang w:val="en-GB"/>
              </w:rPr>
              <w:t>评标价＝总投标报价×</w:t>
            </w:r>
            <w:r>
              <w:rPr>
                <w:rFonts w:hint="eastAsia" w:ascii="宋体" w:hAnsi="宋体"/>
                <w:color w:val="FF0000"/>
                <w:szCs w:val="21"/>
                <w:highlight w:val="yellow"/>
              </w:rPr>
              <w:t>(1-</w:t>
            </w:r>
            <w:r>
              <w:rPr>
                <w:rFonts w:hint="eastAsia" w:ascii="宋体" w:hAnsi="宋体"/>
                <w:color w:val="FF0000"/>
                <w:szCs w:val="21"/>
                <w:highlight w:val="yellow"/>
                <w:u w:val="single"/>
              </w:rPr>
              <w:t>5 %)</w:t>
            </w:r>
          </w:p>
        </w:tc>
      </w:tr>
    </w:tbl>
    <w:p>
      <w:pPr>
        <w:pStyle w:val="2"/>
      </w:pPr>
    </w:p>
    <w:p>
      <w:pPr>
        <w:spacing w:line="440" w:lineRule="exact"/>
        <w:rPr>
          <w:rFonts w:ascii="宋体" w:hAnsi="宋体"/>
          <w:b/>
          <w:sz w:val="28"/>
        </w:rPr>
      </w:pPr>
      <w:bookmarkStart w:id="557" w:name="_Toc28489530"/>
      <w:bookmarkStart w:id="558" w:name="_Toc26163629"/>
      <w:bookmarkStart w:id="559" w:name="_Toc28142598"/>
      <w:r>
        <w:rPr>
          <w:rFonts w:hint="eastAsia" w:ascii="宋体" w:hAnsi="宋体"/>
          <w:b/>
          <w:sz w:val="28"/>
        </w:rPr>
        <w:t>2.权重分配</w:t>
      </w:r>
      <w:bookmarkEnd w:id="557"/>
      <w:bookmarkEnd w:id="558"/>
      <w:bookmarkEnd w:id="559"/>
    </w:p>
    <w:tbl>
      <w:tblPr>
        <w:tblStyle w:val="21"/>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843"/>
        <w:gridCol w:w="1701"/>
        <w:gridCol w:w="1559"/>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spacing w:line="440" w:lineRule="exact"/>
              <w:jc w:val="center"/>
              <w:rPr>
                <w:rFonts w:ascii="宋体" w:hAnsi="宋体"/>
                <w:bCs/>
                <w:sz w:val="24"/>
              </w:rPr>
            </w:pPr>
            <w:r>
              <w:rPr>
                <w:rFonts w:hint="eastAsia" w:ascii="宋体" w:hAnsi="宋体"/>
                <w:bCs/>
                <w:sz w:val="24"/>
              </w:rPr>
              <w:t>序号</w:t>
            </w:r>
          </w:p>
        </w:tc>
        <w:tc>
          <w:tcPr>
            <w:tcW w:w="1843" w:type="dxa"/>
            <w:vAlign w:val="center"/>
          </w:tcPr>
          <w:p>
            <w:pPr>
              <w:spacing w:line="440" w:lineRule="exact"/>
              <w:jc w:val="center"/>
              <w:rPr>
                <w:rFonts w:ascii="宋体" w:hAnsi="宋体"/>
                <w:bCs/>
                <w:sz w:val="24"/>
              </w:rPr>
            </w:pPr>
            <w:r>
              <w:rPr>
                <w:rFonts w:hint="eastAsia" w:ascii="宋体" w:hAnsi="宋体"/>
                <w:bCs/>
                <w:sz w:val="24"/>
              </w:rPr>
              <w:t>评分项目</w:t>
            </w:r>
          </w:p>
        </w:tc>
        <w:tc>
          <w:tcPr>
            <w:tcW w:w="1701" w:type="dxa"/>
            <w:vAlign w:val="center"/>
          </w:tcPr>
          <w:p>
            <w:pPr>
              <w:spacing w:line="440" w:lineRule="exact"/>
              <w:jc w:val="center"/>
              <w:rPr>
                <w:rFonts w:ascii="宋体" w:hAnsi="宋体"/>
                <w:bCs/>
                <w:sz w:val="24"/>
              </w:rPr>
            </w:pPr>
            <w:r>
              <w:rPr>
                <w:rFonts w:hint="eastAsia" w:ascii="宋体" w:hAnsi="宋体"/>
                <w:bCs/>
                <w:sz w:val="24"/>
              </w:rPr>
              <w:t>技术部分</w:t>
            </w:r>
          </w:p>
        </w:tc>
        <w:tc>
          <w:tcPr>
            <w:tcW w:w="1559" w:type="dxa"/>
            <w:vAlign w:val="center"/>
          </w:tcPr>
          <w:p>
            <w:pPr>
              <w:spacing w:line="440" w:lineRule="exact"/>
              <w:jc w:val="center"/>
              <w:rPr>
                <w:rFonts w:ascii="宋体" w:hAnsi="宋体"/>
                <w:bCs/>
                <w:sz w:val="24"/>
              </w:rPr>
            </w:pPr>
            <w:r>
              <w:rPr>
                <w:rFonts w:hint="eastAsia" w:ascii="宋体" w:hAnsi="宋体"/>
                <w:bCs/>
                <w:sz w:val="24"/>
              </w:rPr>
              <w:t>商务部分</w:t>
            </w:r>
          </w:p>
        </w:tc>
        <w:tc>
          <w:tcPr>
            <w:tcW w:w="1482" w:type="dxa"/>
            <w:vAlign w:val="center"/>
          </w:tcPr>
          <w:p>
            <w:pPr>
              <w:spacing w:line="440" w:lineRule="exact"/>
              <w:jc w:val="center"/>
              <w:rPr>
                <w:rFonts w:ascii="宋体" w:hAnsi="宋体"/>
                <w:bCs/>
                <w:sz w:val="24"/>
              </w:rPr>
            </w:pPr>
            <w:r>
              <w:rPr>
                <w:rFonts w:hint="eastAsia" w:ascii="宋体" w:hAnsi="宋体"/>
                <w:bCs/>
                <w:sz w:val="24"/>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843" w:type="dxa"/>
          </w:tcPr>
          <w:p>
            <w:pPr>
              <w:spacing w:line="440" w:lineRule="exact"/>
              <w:jc w:val="center"/>
              <w:rPr>
                <w:rFonts w:ascii="宋体" w:hAnsi="宋体"/>
                <w:bCs/>
                <w:sz w:val="24"/>
              </w:rPr>
            </w:pPr>
            <w:r>
              <w:rPr>
                <w:rFonts w:hint="eastAsia" w:ascii="宋体" w:hAnsi="宋体"/>
                <w:bCs/>
                <w:sz w:val="24"/>
              </w:rPr>
              <w:t>1</w:t>
            </w:r>
          </w:p>
        </w:tc>
        <w:tc>
          <w:tcPr>
            <w:tcW w:w="1843" w:type="dxa"/>
            <w:vAlign w:val="center"/>
          </w:tcPr>
          <w:p>
            <w:pPr>
              <w:spacing w:line="440" w:lineRule="exact"/>
              <w:jc w:val="center"/>
              <w:rPr>
                <w:rFonts w:ascii="宋体" w:hAnsi="宋体"/>
                <w:bCs/>
                <w:sz w:val="24"/>
              </w:rPr>
            </w:pPr>
            <w:r>
              <w:rPr>
                <w:rFonts w:hint="eastAsia" w:ascii="宋体" w:hAnsi="宋体"/>
                <w:bCs/>
                <w:sz w:val="24"/>
              </w:rPr>
              <w:t>权重</w:t>
            </w:r>
          </w:p>
        </w:tc>
        <w:tc>
          <w:tcPr>
            <w:tcW w:w="1701" w:type="dxa"/>
            <w:vAlign w:val="center"/>
          </w:tcPr>
          <w:p>
            <w:pPr>
              <w:spacing w:line="440" w:lineRule="exact"/>
              <w:jc w:val="center"/>
              <w:rPr>
                <w:rFonts w:ascii="宋体" w:hAnsi="宋体"/>
                <w:bCs/>
                <w:sz w:val="24"/>
              </w:rPr>
            </w:pPr>
            <w:r>
              <w:rPr>
                <w:rFonts w:hint="eastAsia" w:ascii="宋体" w:hAnsi="宋体"/>
                <w:bCs/>
                <w:sz w:val="24"/>
              </w:rPr>
              <w:t>45%</w:t>
            </w:r>
          </w:p>
        </w:tc>
        <w:tc>
          <w:tcPr>
            <w:tcW w:w="1559" w:type="dxa"/>
            <w:vAlign w:val="center"/>
          </w:tcPr>
          <w:p>
            <w:pPr>
              <w:spacing w:line="440" w:lineRule="exact"/>
              <w:jc w:val="center"/>
              <w:rPr>
                <w:rFonts w:ascii="宋体" w:hAnsi="宋体"/>
                <w:bCs/>
                <w:sz w:val="24"/>
              </w:rPr>
            </w:pPr>
            <w:r>
              <w:rPr>
                <w:rFonts w:hint="eastAsia" w:ascii="宋体" w:hAnsi="宋体"/>
                <w:bCs/>
                <w:sz w:val="24"/>
              </w:rPr>
              <w:t>45%</w:t>
            </w:r>
          </w:p>
        </w:tc>
        <w:tc>
          <w:tcPr>
            <w:tcW w:w="1482" w:type="dxa"/>
            <w:vAlign w:val="center"/>
          </w:tcPr>
          <w:p>
            <w:pPr>
              <w:spacing w:line="440" w:lineRule="exact"/>
              <w:jc w:val="center"/>
              <w:rPr>
                <w:rFonts w:ascii="宋体" w:hAnsi="宋体"/>
                <w:bCs/>
                <w:sz w:val="24"/>
              </w:rPr>
            </w:pPr>
            <w:r>
              <w:rPr>
                <w:rFonts w:hint="eastAsia" w:ascii="宋体" w:hAnsi="宋体"/>
                <w:bCs/>
                <w:sz w:val="24"/>
              </w:rPr>
              <w:t>10%</w:t>
            </w:r>
          </w:p>
        </w:tc>
      </w:tr>
    </w:tbl>
    <w:p>
      <w:pPr>
        <w:spacing w:line="440" w:lineRule="exact"/>
        <w:rPr>
          <w:rFonts w:ascii="宋体" w:hAnsi="宋体"/>
          <w:b/>
          <w:sz w:val="28"/>
        </w:rPr>
      </w:pPr>
      <w:bookmarkStart w:id="560" w:name="_Toc26163630"/>
      <w:bookmarkStart w:id="561" w:name="_Toc28489531"/>
      <w:bookmarkStart w:id="562" w:name="_Toc28142599"/>
      <w:r>
        <w:rPr>
          <w:rFonts w:hint="eastAsia" w:ascii="宋体" w:hAnsi="宋体"/>
          <w:b/>
          <w:sz w:val="28"/>
        </w:rPr>
        <w:t>3.综合得分</w:t>
      </w:r>
      <w:bookmarkEnd w:id="560"/>
      <w:bookmarkEnd w:id="561"/>
      <w:bookmarkEnd w:id="562"/>
    </w:p>
    <w:p>
      <w:pPr>
        <w:spacing w:line="440" w:lineRule="exact"/>
        <w:ind w:left="540"/>
        <w:rPr>
          <w:rFonts w:ascii="宋体" w:hAnsi="宋体"/>
          <w:bCs/>
          <w:sz w:val="24"/>
        </w:rPr>
      </w:pPr>
      <w:r>
        <w:rPr>
          <w:rFonts w:hint="eastAsia" w:ascii="宋体" w:hAnsi="宋体"/>
          <w:sz w:val="24"/>
        </w:rPr>
        <w:t>综合得分=技术部分得分+商务部分得分+价格部分得分</w:t>
      </w:r>
    </w:p>
    <w:p>
      <w:pPr>
        <w:spacing w:line="440" w:lineRule="exact"/>
        <w:ind w:firstLine="540" w:firstLineChars="225"/>
        <w:rPr>
          <w:rFonts w:ascii="宋体" w:hAnsi="宋体"/>
          <w:bCs/>
          <w:sz w:val="24"/>
        </w:rPr>
      </w:pPr>
      <w:r>
        <w:rPr>
          <w:rFonts w:hint="eastAsia" w:ascii="宋体" w:hAnsi="宋体"/>
          <w:bCs/>
          <w:sz w:val="24"/>
        </w:rPr>
        <w:t>评标委员会根据每个投标人</w:t>
      </w:r>
      <w:r>
        <w:rPr>
          <w:rFonts w:hint="eastAsia" w:ascii="宋体" w:hAnsi="宋体"/>
          <w:sz w:val="24"/>
        </w:rPr>
        <w:t>综合得分</w:t>
      </w:r>
      <w:r>
        <w:rPr>
          <w:rFonts w:hint="eastAsia" w:ascii="宋体" w:hAnsi="宋体"/>
          <w:bCs/>
          <w:sz w:val="24"/>
        </w:rPr>
        <w:t>高低排定名次</w:t>
      </w:r>
      <w:r>
        <w:rPr>
          <w:rFonts w:hint="eastAsia"/>
          <w:sz w:val="24"/>
        </w:rPr>
        <w:t>，如果综合得分相同时，以有效投标报价低者排前，评标委员会编写评标报告，并全体签字确认，推荐满足招标文件要求且综合得分排序的名次最高者为第一中标候选人，推荐满足招标文件要求且综合得分排序的名次次高者为第二中标候选人</w:t>
      </w:r>
      <w:r>
        <w:rPr>
          <w:rFonts w:hint="eastAsia" w:ascii="宋体" w:hAnsi="宋体"/>
          <w:bCs/>
          <w:sz w:val="24"/>
        </w:rPr>
        <w:t>。</w:t>
      </w:r>
    </w:p>
    <w:p>
      <w:pPr>
        <w:pStyle w:val="5"/>
        <w:adjustRightInd/>
        <w:spacing w:before="0" w:after="0" w:line="440" w:lineRule="exact"/>
        <w:rPr>
          <w:b w:val="0"/>
          <w:bCs/>
        </w:rPr>
      </w:pPr>
      <w:bookmarkStart w:id="563" w:name="_Toc104874464"/>
      <w:bookmarkStart w:id="564" w:name="_Toc35834933"/>
      <w:bookmarkStart w:id="565" w:name="_Toc104902928"/>
      <w:bookmarkStart w:id="566" w:name="_Toc113277291"/>
      <w:bookmarkStart w:id="567" w:name="_Toc131922502"/>
      <w:bookmarkStart w:id="568" w:name="_Toc125770207"/>
      <w:bookmarkStart w:id="569" w:name="_Toc148060905"/>
      <w:bookmarkStart w:id="570" w:name="_Toc124646433"/>
      <w:bookmarkStart w:id="571" w:name="_Toc95304222"/>
      <w:bookmarkStart w:id="572" w:name="_Toc148420069"/>
      <w:bookmarkStart w:id="573" w:name="_Toc131904929"/>
      <w:bookmarkStart w:id="574" w:name="_Toc101553660"/>
      <w:bookmarkStart w:id="575" w:name="_Toc124570686"/>
      <w:bookmarkStart w:id="576" w:name="_Toc20681"/>
      <w:bookmarkStart w:id="577" w:name="_Toc28489532"/>
      <w:bookmarkStart w:id="578" w:name="_Toc138568671"/>
      <w:bookmarkStart w:id="579" w:name="_Toc95249606"/>
      <w:bookmarkStart w:id="580" w:name="_Toc66722111"/>
      <w:bookmarkStart w:id="581" w:name="_Toc108243615"/>
      <w:bookmarkStart w:id="582" w:name="_Toc67911941"/>
      <w:bookmarkStart w:id="583" w:name="_Toc28142600"/>
      <w:bookmarkStart w:id="584" w:name="_Toc101553555"/>
      <w:bookmarkStart w:id="585" w:name="_Toc34535379"/>
      <w:bookmarkStart w:id="586" w:name="_Toc169334815"/>
      <w:bookmarkStart w:id="587" w:name="_Toc124401381"/>
      <w:bookmarkStart w:id="588" w:name="_Toc150050901"/>
      <w:bookmarkStart w:id="589" w:name="_Toc108001799"/>
      <w:bookmarkStart w:id="590" w:name="_Toc102211723"/>
      <w:bookmarkStart w:id="591" w:name="_Toc68620011"/>
      <w:bookmarkStart w:id="592" w:name="_Toc138506091"/>
      <w:r>
        <w:rPr>
          <w:rFonts w:hint="eastAsia"/>
        </w:rPr>
        <w:t>六.定标和授标</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spacing w:line="440" w:lineRule="exact"/>
        <w:ind w:left="1" w:firstLine="460" w:firstLineChars="192"/>
        <w:jc w:val="left"/>
        <w:rPr>
          <w:rFonts w:ascii="宋体" w:hAnsi="宋体"/>
          <w:bCs/>
          <w:sz w:val="24"/>
        </w:rPr>
      </w:pPr>
      <w:r>
        <w:rPr>
          <w:rFonts w:hint="eastAsia" w:ascii="宋体" w:hAnsi="宋体"/>
          <w:bCs/>
          <w:sz w:val="24"/>
        </w:rPr>
        <w:t>第一中标候选人未能通过资格后审或放弃中标、或因不可抗力提出不能履行合同的，招标人可以确定排名次高的第二中标候选人为中标人。</w:t>
      </w:r>
    </w:p>
    <w:p>
      <w:pPr>
        <w:spacing w:line="440" w:lineRule="exact"/>
        <w:ind w:firstLine="480" w:firstLineChars="200"/>
        <w:rPr>
          <w:rFonts w:ascii="宋体" w:hAnsi="宋体"/>
          <w:bCs/>
          <w:sz w:val="24"/>
        </w:rPr>
      </w:pPr>
      <w:r>
        <w:rPr>
          <w:rFonts w:hint="eastAsia" w:ascii="宋体" w:hAnsi="宋体"/>
          <w:bCs/>
          <w:sz w:val="24"/>
        </w:rPr>
        <w:t>评标委员会提出评标书面报告和推荐候选中标意见报招标人确认，确认后由招标人、招标代理机构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ascii="宋体" w:hAnsi="宋体"/>
          <w:bCs/>
          <w:sz w:val="24"/>
        </w:rPr>
      </w:pPr>
      <w:r>
        <w:rPr>
          <w:rFonts w:hint="eastAsia" w:ascii="宋体" w:hAnsi="宋体"/>
          <w:bCs/>
          <w:sz w:val="24"/>
        </w:rPr>
        <w:t>最终澄清完成后，由招标代理机构根据招标人确认的结果发出中标通知书。中标人应按招标文件规定向招标人和招标代理机构提交相应文件，并在规定时间内与招标人签订合同。</w:t>
      </w:r>
    </w:p>
    <w:p>
      <w:pPr>
        <w:pStyle w:val="5"/>
        <w:adjustRightInd/>
        <w:spacing w:before="0" w:after="0" w:line="440" w:lineRule="exact"/>
        <w:rPr>
          <w:bCs/>
        </w:rPr>
      </w:pPr>
      <w:bookmarkStart w:id="593" w:name="_Toc124401382"/>
      <w:bookmarkStart w:id="594" w:name="_Toc124646434"/>
      <w:bookmarkStart w:id="595" w:name="_Toc138506092"/>
      <w:bookmarkStart w:id="596" w:name="_Toc14214"/>
      <w:bookmarkStart w:id="597" w:name="_Toc67911942"/>
      <w:bookmarkStart w:id="598" w:name="_Toc102211724"/>
      <w:bookmarkStart w:id="599" w:name="_Toc148060906"/>
      <w:bookmarkStart w:id="600" w:name="_Toc131922503"/>
      <w:bookmarkStart w:id="601" w:name="_Toc101553661"/>
      <w:bookmarkStart w:id="602" w:name="_Toc95304223"/>
      <w:bookmarkStart w:id="603" w:name="_Toc34535380"/>
      <w:bookmarkStart w:id="604" w:name="_Toc68620012"/>
      <w:bookmarkStart w:id="605" w:name="_Toc108243616"/>
      <w:bookmarkStart w:id="606" w:name="_Toc131904930"/>
      <w:bookmarkStart w:id="607" w:name="_Toc150050902"/>
      <w:bookmarkStart w:id="608" w:name="_Toc169334816"/>
      <w:bookmarkStart w:id="609" w:name="_Toc124570687"/>
      <w:bookmarkStart w:id="610" w:name="_Toc28489533"/>
      <w:bookmarkStart w:id="611" w:name="_Toc104902929"/>
      <w:bookmarkStart w:id="612" w:name="_Toc113277292"/>
      <w:bookmarkStart w:id="613" w:name="_Toc28142601"/>
      <w:bookmarkStart w:id="614" w:name="_Toc104874465"/>
      <w:bookmarkStart w:id="615" w:name="_Toc138568672"/>
      <w:bookmarkStart w:id="616" w:name="_Toc66722112"/>
      <w:bookmarkStart w:id="617" w:name="_Toc148420070"/>
      <w:bookmarkStart w:id="618" w:name="_Toc125770208"/>
      <w:bookmarkStart w:id="619" w:name="_Toc95249607"/>
      <w:bookmarkStart w:id="620" w:name="_Toc35834934"/>
      <w:bookmarkStart w:id="621" w:name="_Toc108001800"/>
      <w:bookmarkStart w:id="622" w:name="_Toc101553556"/>
      <w:r>
        <w:rPr>
          <w:rFonts w:hint="eastAsia"/>
        </w:rPr>
        <w:t>七.附件</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pPr>
        <w:spacing w:line="440" w:lineRule="exact"/>
        <w:ind w:firstLine="460" w:firstLineChars="192"/>
        <w:rPr>
          <w:rFonts w:ascii="宋体" w:hAnsi="宋体"/>
          <w:bCs/>
          <w:sz w:val="24"/>
        </w:rPr>
      </w:pPr>
      <w:r>
        <w:rPr>
          <w:rFonts w:hint="eastAsia" w:ascii="宋体" w:hAnsi="宋体"/>
          <w:bCs/>
          <w:sz w:val="24"/>
        </w:rPr>
        <w:t>本评标文件包括以下评标过程中所需文件附件：</w:t>
      </w:r>
    </w:p>
    <w:p>
      <w:pPr>
        <w:spacing w:line="440" w:lineRule="exact"/>
        <w:ind w:left="720" w:leftChars="343"/>
        <w:outlineLvl w:val="0"/>
        <w:rPr>
          <w:rFonts w:ascii="宋体" w:hAnsi="宋体"/>
          <w:bCs/>
          <w:sz w:val="24"/>
        </w:rPr>
      </w:pPr>
      <w:bookmarkStart w:id="623" w:name="_Toc27219"/>
      <w:r>
        <w:rPr>
          <w:rFonts w:hint="eastAsia" w:ascii="宋体" w:hAnsi="宋体"/>
          <w:bCs/>
          <w:sz w:val="24"/>
        </w:rPr>
        <w:t>附件1      资格性审查</w:t>
      </w:r>
      <w:bookmarkEnd w:id="623"/>
    </w:p>
    <w:p>
      <w:pPr>
        <w:spacing w:line="440" w:lineRule="exact"/>
        <w:ind w:firstLine="720" w:firstLineChars="300"/>
        <w:outlineLvl w:val="0"/>
        <w:rPr>
          <w:rFonts w:ascii="宋体" w:hAnsi="宋体"/>
          <w:bCs/>
          <w:sz w:val="24"/>
        </w:rPr>
      </w:pPr>
      <w:bookmarkStart w:id="624" w:name="_Toc8618"/>
      <w:r>
        <w:rPr>
          <w:rFonts w:hint="eastAsia" w:ascii="宋体" w:hAnsi="宋体"/>
          <w:bCs/>
          <w:sz w:val="24"/>
        </w:rPr>
        <w:t>附件2      符合性检查表</w:t>
      </w:r>
      <w:bookmarkEnd w:id="624"/>
    </w:p>
    <w:p>
      <w:pPr>
        <w:spacing w:line="440" w:lineRule="exact"/>
        <w:ind w:left="720" w:leftChars="343"/>
        <w:outlineLvl w:val="0"/>
        <w:rPr>
          <w:rFonts w:ascii="宋体" w:hAnsi="宋体"/>
          <w:bCs/>
          <w:sz w:val="24"/>
        </w:rPr>
      </w:pPr>
      <w:bookmarkStart w:id="625" w:name="_Toc17505"/>
      <w:r>
        <w:rPr>
          <w:rFonts w:hint="eastAsia" w:ascii="宋体" w:hAnsi="宋体"/>
          <w:bCs/>
          <w:sz w:val="24"/>
        </w:rPr>
        <w:t>附件3      技术评分标准</w:t>
      </w:r>
      <w:bookmarkEnd w:id="625"/>
    </w:p>
    <w:p>
      <w:pPr>
        <w:spacing w:line="440" w:lineRule="exact"/>
        <w:ind w:left="720" w:leftChars="343"/>
        <w:outlineLvl w:val="0"/>
        <w:rPr>
          <w:rFonts w:ascii="宋体" w:hAnsi="宋体"/>
          <w:bCs/>
          <w:sz w:val="24"/>
        </w:rPr>
      </w:pPr>
      <w:bookmarkStart w:id="626" w:name="_Toc15158"/>
      <w:r>
        <w:rPr>
          <w:rFonts w:hint="eastAsia" w:ascii="宋体" w:hAnsi="宋体"/>
          <w:bCs/>
          <w:sz w:val="24"/>
        </w:rPr>
        <w:t>附件4      商务评分标准</w:t>
      </w:r>
      <w:bookmarkEnd w:id="626"/>
    </w:p>
    <w:p>
      <w:pPr>
        <w:spacing w:line="440" w:lineRule="exact"/>
        <w:ind w:firstLine="720" w:firstLineChars="300"/>
        <w:outlineLvl w:val="0"/>
        <w:rPr>
          <w:rFonts w:ascii="宋体" w:hAnsi="宋体"/>
          <w:bCs/>
          <w:sz w:val="24"/>
        </w:rPr>
      </w:pPr>
      <w:bookmarkStart w:id="627" w:name="_Toc20026"/>
      <w:r>
        <w:rPr>
          <w:rFonts w:hint="eastAsia" w:ascii="宋体" w:hAnsi="宋体"/>
          <w:bCs/>
          <w:sz w:val="24"/>
        </w:rPr>
        <w:t>附件5      价格响应性评审表</w:t>
      </w:r>
      <w:bookmarkEnd w:id="627"/>
    </w:p>
    <w:p>
      <w:pPr>
        <w:pStyle w:val="42"/>
        <w:spacing w:beforeLines="100" w:afterLines="100"/>
        <w:ind w:firstLine="0" w:firstLineChars="0"/>
        <w:jc w:val="left"/>
        <w:outlineLvl w:val="0"/>
        <w:rPr>
          <w:sz w:val="28"/>
          <w:szCs w:val="28"/>
        </w:rPr>
      </w:pPr>
      <w:r>
        <w:br w:type="page"/>
      </w:r>
      <w:bookmarkStart w:id="628" w:name="_Toc12634"/>
      <w:r>
        <w:rPr>
          <w:rFonts w:hint="eastAsia" w:ascii="宋体" w:hAnsi="宋体"/>
          <w:b/>
          <w:sz w:val="24"/>
        </w:rPr>
        <w:t>附件1                       资格性审查表</w:t>
      </w:r>
      <w:bookmarkEnd w:id="628"/>
      <w:r>
        <w:rPr>
          <w:rFonts w:hint="eastAsia" w:ascii="宋体" w:hAnsi="宋体"/>
          <w:bCs/>
          <w:sz w:val="24"/>
        </w:rPr>
        <w:t>　　　　　　</w:t>
      </w:r>
    </w:p>
    <w:tbl>
      <w:tblPr>
        <w:tblStyle w:val="21"/>
        <w:tblW w:w="95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6281"/>
        <w:gridCol w:w="975"/>
        <w:gridCol w:w="1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704" w:type="dxa"/>
            <w:vAlign w:val="center"/>
          </w:tcPr>
          <w:p>
            <w:pPr>
              <w:jc w:val="center"/>
              <w:rPr>
                <w:szCs w:val="21"/>
              </w:rPr>
            </w:pPr>
            <w:r>
              <w:rPr>
                <w:rFonts w:hint="eastAsia"/>
                <w:szCs w:val="21"/>
              </w:rPr>
              <w:t>序号</w:t>
            </w:r>
          </w:p>
        </w:tc>
        <w:tc>
          <w:tcPr>
            <w:tcW w:w="6281" w:type="dxa"/>
            <w:tcBorders>
              <w:tl2br w:val="single" w:color="auto" w:sz="4" w:space="0"/>
            </w:tcBorders>
          </w:tcPr>
          <w:p>
            <w:pPr>
              <w:rPr>
                <w:szCs w:val="21"/>
              </w:rPr>
            </w:pPr>
            <w:r>
              <w:rPr>
                <w:rFonts w:hint="eastAsia"/>
                <w:szCs w:val="21"/>
              </w:rPr>
              <w:t xml:space="preserve">                 投标人名称</w:t>
            </w:r>
          </w:p>
          <w:p>
            <w:pPr>
              <w:rPr>
                <w:szCs w:val="21"/>
              </w:rPr>
            </w:pPr>
          </w:p>
          <w:p>
            <w:pPr>
              <w:rPr>
                <w:szCs w:val="21"/>
              </w:rPr>
            </w:pPr>
            <w:r>
              <w:rPr>
                <w:rFonts w:hint="eastAsia"/>
                <w:szCs w:val="21"/>
              </w:rPr>
              <w:t>资格性审查内容</w:t>
            </w:r>
          </w:p>
        </w:tc>
        <w:tc>
          <w:tcPr>
            <w:tcW w:w="975" w:type="dxa"/>
          </w:tcPr>
          <w:p>
            <w:pPr>
              <w:rPr>
                <w:szCs w:val="21"/>
              </w:rPr>
            </w:pPr>
          </w:p>
        </w:tc>
        <w:tc>
          <w:tcPr>
            <w:tcW w:w="158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704" w:type="dxa"/>
            <w:vAlign w:val="center"/>
          </w:tcPr>
          <w:p>
            <w:pPr>
              <w:jc w:val="center"/>
              <w:rPr>
                <w:szCs w:val="21"/>
              </w:rPr>
            </w:pPr>
            <w:r>
              <w:rPr>
                <w:rFonts w:hint="eastAsia"/>
                <w:szCs w:val="21"/>
              </w:rPr>
              <w:t>1</w:t>
            </w:r>
          </w:p>
        </w:tc>
        <w:tc>
          <w:tcPr>
            <w:tcW w:w="6281" w:type="dxa"/>
            <w:vAlign w:val="center"/>
          </w:tcPr>
          <w:p>
            <w:pPr>
              <w:adjustRightInd w:val="0"/>
              <w:spacing w:line="264" w:lineRule="auto"/>
              <w:rPr>
                <w:szCs w:val="21"/>
              </w:rPr>
            </w:pPr>
            <w:r>
              <w:rPr>
                <w:rFonts w:hint="eastAsia" w:ascii="宋体" w:hAnsi="宋体"/>
                <w:bCs/>
                <w:szCs w:val="21"/>
              </w:rPr>
              <w:t>投标人应具备《政府采购法》第二十二条规定的条件</w:t>
            </w:r>
            <w:r>
              <w:rPr>
                <w:rFonts w:hint="eastAsia" w:ascii="宋体" w:hAnsi="宋体"/>
                <w:szCs w:val="21"/>
              </w:rPr>
              <w:t>；</w:t>
            </w:r>
          </w:p>
        </w:tc>
        <w:tc>
          <w:tcPr>
            <w:tcW w:w="975" w:type="dxa"/>
          </w:tcPr>
          <w:p>
            <w:pPr>
              <w:rPr>
                <w:szCs w:val="21"/>
              </w:rPr>
            </w:pPr>
          </w:p>
        </w:tc>
        <w:tc>
          <w:tcPr>
            <w:tcW w:w="158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704" w:type="dxa"/>
            <w:vAlign w:val="center"/>
          </w:tcPr>
          <w:p>
            <w:pPr>
              <w:jc w:val="center"/>
              <w:rPr>
                <w:szCs w:val="21"/>
              </w:rPr>
            </w:pPr>
            <w:r>
              <w:rPr>
                <w:rFonts w:hint="eastAsia"/>
                <w:szCs w:val="21"/>
              </w:rPr>
              <w:t>2</w:t>
            </w:r>
          </w:p>
        </w:tc>
        <w:tc>
          <w:tcPr>
            <w:tcW w:w="6281" w:type="dxa"/>
            <w:vAlign w:val="center"/>
          </w:tcPr>
          <w:p>
            <w:pPr>
              <w:adjustRightInd w:val="0"/>
              <w:spacing w:line="264" w:lineRule="auto"/>
              <w:rPr>
                <w:rFonts w:ascii="宋体" w:hAnsi="宋体"/>
                <w:bCs/>
                <w:szCs w:val="21"/>
              </w:rPr>
            </w:pPr>
            <w:r>
              <w:rPr>
                <w:rFonts w:hint="eastAsia" w:ascii="宋体" w:hAnsi="宋体"/>
                <w:szCs w:val="21"/>
              </w:rPr>
              <w:t>投标人必须具有独立承担民事责任能力的在中华人民共和国境内注册的法人或者其他组织或自然人，投标时提供有效的企业营业执照（三证合一或五证合一）（或事业法人登记证或身份证等相关证明）副本复印件并具有履行合同所必须的人员、设施、设备和专业技术能力；</w:t>
            </w:r>
          </w:p>
        </w:tc>
        <w:tc>
          <w:tcPr>
            <w:tcW w:w="975" w:type="dxa"/>
          </w:tcPr>
          <w:p>
            <w:pPr>
              <w:rPr>
                <w:szCs w:val="21"/>
              </w:rPr>
            </w:pPr>
          </w:p>
        </w:tc>
        <w:tc>
          <w:tcPr>
            <w:tcW w:w="158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704" w:type="dxa"/>
            <w:vAlign w:val="center"/>
          </w:tcPr>
          <w:p>
            <w:pPr>
              <w:jc w:val="center"/>
              <w:rPr>
                <w:szCs w:val="21"/>
              </w:rPr>
            </w:pPr>
            <w:r>
              <w:rPr>
                <w:rFonts w:hint="eastAsia"/>
                <w:szCs w:val="21"/>
              </w:rPr>
              <w:t>3</w:t>
            </w:r>
          </w:p>
        </w:tc>
        <w:tc>
          <w:tcPr>
            <w:tcW w:w="6281" w:type="dxa"/>
            <w:vAlign w:val="center"/>
          </w:tcPr>
          <w:p>
            <w:pPr>
              <w:adjustRightInd w:val="0"/>
              <w:spacing w:line="264" w:lineRule="auto"/>
              <w:rPr>
                <w:rFonts w:ascii="宋体" w:hAnsi="宋体" w:cs="宋体"/>
                <w:szCs w:val="21"/>
              </w:rPr>
            </w:pPr>
            <w:r>
              <w:rPr>
                <w:rFonts w:hint="eastAsia" w:ascii="宋体" w:hAnsi="宋体" w:cs="宋体"/>
                <w:szCs w:val="21"/>
              </w:rPr>
              <w:t>为采购项目提供整体设计、规范编制或者项目管理、监理、检测等服务的供应商及其附属机构，不得再参加同一采购项目的其他采购活动；（提供</w:t>
            </w:r>
            <w:r>
              <w:rPr>
                <w:rFonts w:ascii="宋体" w:hAnsi="宋体" w:cs="Futura-Heavy"/>
                <w:szCs w:val="21"/>
                <w:shd w:val="clear" w:color="auto" w:fill="FFFFFF"/>
              </w:rPr>
              <w:t>《关于资格的声明函》</w:t>
            </w:r>
            <w:r>
              <w:rPr>
                <w:rFonts w:hint="eastAsia" w:ascii="宋体" w:hAnsi="宋体" w:cs="宋体"/>
                <w:szCs w:val="21"/>
              </w:rPr>
              <w:t>）</w:t>
            </w:r>
          </w:p>
        </w:tc>
        <w:tc>
          <w:tcPr>
            <w:tcW w:w="975" w:type="dxa"/>
          </w:tcPr>
          <w:p>
            <w:pPr>
              <w:rPr>
                <w:szCs w:val="21"/>
              </w:rPr>
            </w:pPr>
          </w:p>
        </w:tc>
        <w:tc>
          <w:tcPr>
            <w:tcW w:w="158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704" w:type="dxa"/>
            <w:vAlign w:val="center"/>
          </w:tcPr>
          <w:p>
            <w:pPr>
              <w:jc w:val="center"/>
              <w:rPr>
                <w:szCs w:val="21"/>
              </w:rPr>
            </w:pPr>
            <w:r>
              <w:rPr>
                <w:rFonts w:hint="eastAsia"/>
                <w:szCs w:val="21"/>
              </w:rPr>
              <w:t>4</w:t>
            </w:r>
          </w:p>
        </w:tc>
        <w:tc>
          <w:tcPr>
            <w:tcW w:w="6281" w:type="dxa"/>
            <w:vAlign w:val="center"/>
          </w:tcPr>
          <w:p>
            <w:pPr>
              <w:adjustRightInd w:val="0"/>
              <w:spacing w:line="264" w:lineRule="auto"/>
              <w:rPr>
                <w:rFonts w:ascii="宋体" w:hAnsi="宋体" w:cs="宋体"/>
                <w:szCs w:val="21"/>
              </w:rPr>
            </w:pPr>
            <w:r>
              <w:rPr>
                <w:rFonts w:hint="eastAsia" w:ascii="宋体" w:hAnsi="宋体" w:cs="Tahoma"/>
              </w:rPr>
              <w:t>单位负责人为同一人或者存在直接控股、管理关系的不同供应商，不得参加同一合同项下的政府采购活动；</w:t>
            </w:r>
            <w:r>
              <w:rPr>
                <w:rFonts w:hint="eastAsia" w:ascii="宋体" w:hAnsi="宋体"/>
                <w:spacing w:val="-6"/>
                <w:szCs w:val="21"/>
              </w:rPr>
              <w:t>（</w:t>
            </w:r>
            <w:r>
              <w:rPr>
                <w:rFonts w:hint="eastAsia" w:ascii="宋体" w:hAnsi="宋体" w:cs="宋体"/>
                <w:szCs w:val="21"/>
              </w:rPr>
              <w:t>提供</w:t>
            </w:r>
            <w:r>
              <w:rPr>
                <w:rFonts w:ascii="宋体" w:hAnsi="宋体" w:cs="Futura-Heavy"/>
                <w:szCs w:val="21"/>
                <w:shd w:val="clear" w:color="auto" w:fill="FFFFFF"/>
              </w:rPr>
              <w:t>《关于资格的声明函》</w:t>
            </w:r>
            <w:r>
              <w:rPr>
                <w:rFonts w:hint="eastAsia" w:ascii="宋体" w:hAnsi="宋体"/>
                <w:spacing w:val="-6"/>
                <w:szCs w:val="21"/>
              </w:rPr>
              <w:t>）</w:t>
            </w:r>
          </w:p>
        </w:tc>
        <w:tc>
          <w:tcPr>
            <w:tcW w:w="975" w:type="dxa"/>
          </w:tcPr>
          <w:p>
            <w:pPr>
              <w:rPr>
                <w:szCs w:val="21"/>
              </w:rPr>
            </w:pPr>
          </w:p>
        </w:tc>
        <w:tc>
          <w:tcPr>
            <w:tcW w:w="158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704" w:type="dxa"/>
            <w:vAlign w:val="center"/>
          </w:tcPr>
          <w:p>
            <w:pPr>
              <w:jc w:val="center"/>
              <w:rPr>
                <w:szCs w:val="21"/>
              </w:rPr>
            </w:pPr>
            <w:r>
              <w:rPr>
                <w:rFonts w:hint="eastAsia"/>
                <w:szCs w:val="21"/>
              </w:rPr>
              <w:t>5</w:t>
            </w:r>
          </w:p>
        </w:tc>
        <w:tc>
          <w:tcPr>
            <w:tcW w:w="6281" w:type="dxa"/>
            <w:vAlign w:val="center"/>
          </w:tcPr>
          <w:p>
            <w:pPr>
              <w:adjustRightInd w:val="0"/>
              <w:spacing w:line="264" w:lineRule="auto"/>
              <w:rPr>
                <w:rFonts w:ascii="宋体" w:hAnsi="宋体" w:cs="宋体"/>
                <w:szCs w:val="21"/>
              </w:rPr>
            </w:pPr>
            <w:r>
              <w:rPr>
                <w:rFonts w:hint="eastAsia" w:ascii="宋体" w:hAnsi="宋体" w:cs="宋体"/>
                <w:szCs w:val="21"/>
              </w:rPr>
              <w:t>采购代理机构根据评审时“信用中国”网站（www.creditchina.gov.cn）、中国政采购网（http://www.gdgpo.gov.cn/）查询的主体信用记录信息，对列入失信被执行人、重大税收违法案件当事人、政府采购不良行为记录等严重失信行为的主体，依法拒绝其参与政府采购活动。如查询结果未显示存在失信记录，视为评审时未发现不良信用记录；（提供相关网页截图并加盖公章）</w:t>
            </w:r>
          </w:p>
        </w:tc>
        <w:tc>
          <w:tcPr>
            <w:tcW w:w="975" w:type="dxa"/>
          </w:tcPr>
          <w:p>
            <w:pPr>
              <w:rPr>
                <w:szCs w:val="21"/>
              </w:rPr>
            </w:pPr>
          </w:p>
        </w:tc>
        <w:tc>
          <w:tcPr>
            <w:tcW w:w="158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704" w:type="dxa"/>
            <w:vAlign w:val="center"/>
          </w:tcPr>
          <w:p>
            <w:pPr>
              <w:jc w:val="center"/>
              <w:rPr>
                <w:szCs w:val="21"/>
              </w:rPr>
            </w:pPr>
            <w:r>
              <w:rPr>
                <w:rFonts w:hint="eastAsia"/>
                <w:szCs w:val="21"/>
              </w:rPr>
              <w:t>6</w:t>
            </w:r>
          </w:p>
        </w:tc>
        <w:tc>
          <w:tcPr>
            <w:tcW w:w="6281" w:type="dxa"/>
            <w:vAlign w:val="center"/>
          </w:tcPr>
          <w:p>
            <w:pPr>
              <w:adjustRightInd w:val="0"/>
              <w:spacing w:line="264" w:lineRule="auto"/>
              <w:rPr>
                <w:rFonts w:ascii="宋体" w:hAnsi="宋体" w:cs="宋体"/>
                <w:szCs w:val="21"/>
              </w:rPr>
            </w:pPr>
            <w:r>
              <w:rPr>
                <w:rFonts w:hint="eastAsia" w:asciiTheme="minorEastAsia" w:hAnsiTheme="minorEastAsia" w:eastAsiaTheme="minorEastAsia" w:cstheme="minorEastAsia"/>
                <w:szCs w:val="21"/>
              </w:rPr>
              <w:t>本项目不接受联合投标</w:t>
            </w:r>
          </w:p>
        </w:tc>
        <w:tc>
          <w:tcPr>
            <w:tcW w:w="975" w:type="dxa"/>
          </w:tcPr>
          <w:p>
            <w:pPr>
              <w:rPr>
                <w:szCs w:val="21"/>
              </w:rPr>
            </w:pPr>
          </w:p>
        </w:tc>
        <w:tc>
          <w:tcPr>
            <w:tcW w:w="158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704" w:type="dxa"/>
            <w:vAlign w:val="center"/>
          </w:tcPr>
          <w:p>
            <w:pPr>
              <w:jc w:val="center"/>
              <w:rPr>
                <w:szCs w:val="21"/>
              </w:rPr>
            </w:pPr>
            <w:r>
              <w:rPr>
                <w:rFonts w:hint="eastAsia"/>
                <w:szCs w:val="21"/>
              </w:rPr>
              <w:t>7</w:t>
            </w:r>
          </w:p>
        </w:tc>
        <w:tc>
          <w:tcPr>
            <w:tcW w:w="6281" w:type="dxa"/>
            <w:vAlign w:val="center"/>
          </w:tcPr>
          <w:p>
            <w:pPr>
              <w:adjustRightInd w:val="0"/>
              <w:spacing w:line="264" w:lineRule="auto"/>
              <w:rPr>
                <w:rFonts w:ascii="宋体" w:hAnsi="宋体" w:cs="宋体"/>
                <w:szCs w:val="21"/>
              </w:rPr>
            </w:pPr>
            <w:r>
              <w:rPr>
                <w:rFonts w:hint="eastAsia" w:ascii="宋体"/>
                <w:bCs/>
              </w:rPr>
              <w:t>已办理报名并成功购买本招标文件的投标人。</w:t>
            </w:r>
          </w:p>
        </w:tc>
        <w:tc>
          <w:tcPr>
            <w:tcW w:w="975" w:type="dxa"/>
          </w:tcPr>
          <w:p>
            <w:pPr>
              <w:rPr>
                <w:szCs w:val="21"/>
              </w:rPr>
            </w:pPr>
          </w:p>
        </w:tc>
        <w:tc>
          <w:tcPr>
            <w:tcW w:w="158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704" w:type="dxa"/>
            <w:vAlign w:val="center"/>
          </w:tcPr>
          <w:p>
            <w:pPr>
              <w:jc w:val="center"/>
              <w:rPr>
                <w:szCs w:val="21"/>
              </w:rPr>
            </w:pPr>
            <w:r>
              <w:rPr>
                <w:rFonts w:hint="eastAsia"/>
                <w:szCs w:val="21"/>
              </w:rPr>
              <w:t>结论</w:t>
            </w:r>
          </w:p>
        </w:tc>
        <w:tc>
          <w:tcPr>
            <w:tcW w:w="6281" w:type="dxa"/>
            <w:vAlign w:val="center"/>
          </w:tcPr>
          <w:p>
            <w:pPr>
              <w:rPr>
                <w:szCs w:val="21"/>
              </w:rPr>
            </w:pPr>
            <w:r>
              <w:rPr>
                <w:rFonts w:hint="eastAsia"/>
                <w:szCs w:val="21"/>
              </w:rPr>
              <w:t>是否通过资格性审查，进入下一阶段</w:t>
            </w:r>
          </w:p>
        </w:tc>
        <w:tc>
          <w:tcPr>
            <w:tcW w:w="975" w:type="dxa"/>
          </w:tcPr>
          <w:p>
            <w:pPr>
              <w:rPr>
                <w:szCs w:val="21"/>
              </w:rPr>
            </w:pPr>
          </w:p>
        </w:tc>
        <w:tc>
          <w:tcPr>
            <w:tcW w:w="1583" w:type="dxa"/>
          </w:tcPr>
          <w:p>
            <w:pPr>
              <w:rPr>
                <w:szCs w:val="21"/>
              </w:rPr>
            </w:pPr>
          </w:p>
        </w:tc>
      </w:tr>
    </w:tbl>
    <w:p>
      <w:pPr>
        <w:tabs>
          <w:tab w:val="left" w:pos="720"/>
        </w:tabs>
        <w:snapToGrid w:val="0"/>
        <w:rPr>
          <w:rFonts w:ascii="宋体"/>
          <w:szCs w:val="21"/>
        </w:rPr>
      </w:pPr>
      <w:r>
        <w:rPr>
          <w:rFonts w:hint="eastAsia" w:ascii="宋体"/>
          <w:szCs w:val="21"/>
        </w:rPr>
        <w:t>备注：1、“是否通过并进入下一阶段评审”一栏应写“通过”或“不通过”。</w:t>
      </w:r>
    </w:p>
    <w:p>
      <w:pPr>
        <w:tabs>
          <w:tab w:val="left" w:pos="720"/>
        </w:tabs>
        <w:snapToGrid w:val="0"/>
        <w:ind w:firstLine="630" w:firstLineChars="300"/>
        <w:rPr>
          <w:rFonts w:ascii="宋体"/>
          <w:szCs w:val="21"/>
        </w:rPr>
      </w:pPr>
      <w:r>
        <w:rPr>
          <w:rFonts w:hint="eastAsia" w:ascii="宋体"/>
          <w:szCs w:val="21"/>
        </w:rPr>
        <w:t>2、满足以上任何一种情形用“</w:t>
      </w:r>
      <w:r>
        <w:rPr>
          <w:rFonts w:hint="eastAsia" w:ascii="宋体" w:hAnsi="宋体"/>
          <w:szCs w:val="21"/>
        </w:rPr>
        <w:t>√</w:t>
      </w:r>
      <w:r>
        <w:rPr>
          <w:rFonts w:hint="eastAsia" w:ascii="宋体"/>
          <w:szCs w:val="21"/>
        </w:rPr>
        <w:t>”表示，不满足用“×”表示。出现一个“×”的结论为“不通过”。表中全部为“</w:t>
      </w:r>
      <w:r>
        <w:rPr>
          <w:rFonts w:hint="eastAsia" w:ascii="宋体" w:hAnsi="宋体"/>
          <w:szCs w:val="21"/>
        </w:rPr>
        <w:t>√</w:t>
      </w:r>
      <w:r>
        <w:rPr>
          <w:rFonts w:hint="eastAsia" w:ascii="宋体"/>
          <w:szCs w:val="21"/>
        </w:rPr>
        <w:t>”，同意进入下一阶段评审。</w:t>
      </w:r>
    </w:p>
    <w:p>
      <w:pPr>
        <w:tabs>
          <w:tab w:val="left" w:pos="720"/>
        </w:tabs>
        <w:snapToGrid w:val="0"/>
        <w:ind w:firstLine="630" w:firstLineChars="300"/>
        <w:rPr>
          <w:rFonts w:ascii="宋体"/>
          <w:szCs w:val="21"/>
        </w:rPr>
      </w:pPr>
      <w:r>
        <w:rPr>
          <w:rFonts w:hint="eastAsia" w:ascii="宋体"/>
          <w:szCs w:val="21"/>
        </w:rPr>
        <w:t>3、若评审人员意见不一致时，则按少数服从多数的原则，投票决定该投标人是否通过资格性审查，进入下一阶段评审。</w:t>
      </w:r>
    </w:p>
    <w:p>
      <w:pPr>
        <w:pStyle w:val="42"/>
        <w:spacing w:beforeLines="100" w:afterLines="100"/>
        <w:ind w:firstLine="0" w:firstLineChars="0"/>
        <w:jc w:val="center"/>
        <w:rPr>
          <w:rFonts w:ascii="宋体" w:hAnsi="宋体"/>
          <w:b/>
          <w:sz w:val="24"/>
        </w:rPr>
      </w:pPr>
      <w:r>
        <w:rPr>
          <w:rFonts w:ascii="宋体"/>
          <w:szCs w:val="21"/>
        </w:rPr>
        <w:br w:type="page"/>
      </w:r>
    </w:p>
    <w:p>
      <w:pPr>
        <w:spacing w:beforeLines="100" w:afterLines="100"/>
        <w:outlineLvl w:val="0"/>
        <w:rPr>
          <w:rFonts w:ascii="宋体" w:hAnsi="宋体"/>
          <w:b/>
          <w:sz w:val="24"/>
        </w:rPr>
      </w:pPr>
      <w:bookmarkStart w:id="629" w:name="_Toc27490"/>
      <w:r>
        <w:rPr>
          <w:rFonts w:hint="eastAsia" w:ascii="宋体" w:hAnsi="宋体"/>
          <w:b/>
          <w:sz w:val="24"/>
        </w:rPr>
        <w:t>附件2                       符合性审查表</w:t>
      </w:r>
      <w:bookmarkEnd w:id="629"/>
    </w:p>
    <w:tbl>
      <w:tblPr>
        <w:tblStyle w:val="21"/>
        <w:tblW w:w="95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3755"/>
        <w:gridCol w:w="2541"/>
        <w:gridCol w:w="2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704" w:type="dxa"/>
            <w:vAlign w:val="center"/>
          </w:tcPr>
          <w:p>
            <w:pPr>
              <w:jc w:val="center"/>
              <w:rPr>
                <w:szCs w:val="21"/>
              </w:rPr>
            </w:pPr>
            <w:r>
              <w:rPr>
                <w:rFonts w:hint="eastAsia"/>
                <w:szCs w:val="21"/>
              </w:rPr>
              <w:t>序号</w:t>
            </w:r>
          </w:p>
        </w:tc>
        <w:tc>
          <w:tcPr>
            <w:tcW w:w="3755" w:type="dxa"/>
            <w:tcBorders>
              <w:tl2br w:val="single" w:color="auto" w:sz="4" w:space="0"/>
            </w:tcBorders>
          </w:tcPr>
          <w:p>
            <w:pPr>
              <w:rPr>
                <w:szCs w:val="21"/>
              </w:rPr>
            </w:pPr>
            <w:r>
              <w:rPr>
                <w:rFonts w:hint="eastAsia"/>
                <w:szCs w:val="21"/>
              </w:rPr>
              <w:t xml:space="preserve">                 投标人名称</w:t>
            </w:r>
          </w:p>
          <w:p>
            <w:pPr>
              <w:rPr>
                <w:szCs w:val="21"/>
              </w:rPr>
            </w:pPr>
          </w:p>
          <w:p>
            <w:pPr>
              <w:rPr>
                <w:szCs w:val="21"/>
              </w:rPr>
            </w:pPr>
            <w:r>
              <w:rPr>
                <w:rFonts w:hint="eastAsia"/>
                <w:szCs w:val="21"/>
              </w:rPr>
              <w:t>符合性审查内容</w:t>
            </w:r>
          </w:p>
        </w:tc>
        <w:tc>
          <w:tcPr>
            <w:tcW w:w="2541" w:type="dxa"/>
          </w:tcPr>
          <w:p>
            <w:pPr>
              <w:rPr>
                <w:szCs w:val="21"/>
              </w:rPr>
            </w:pPr>
          </w:p>
        </w:tc>
        <w:tc>
          <w:tcPr>
            <w:tcW w:w="254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7" w:hRule="atLeast"/>
          <w:jc w:val="center"/>
        </w:trPr>
        <w:tc>
          <w:tcPr>
            <w:tcW w:w="704" w:type="dxa"/>
            <w:vAlign w:val="center"/>
          </w:tcPr>
          <w:p>
            <w:pPr>
              <w:jc w:val="center"/>
              <w:rPr>
                <w:szCs w:val="21"/>
              </w:rPr>
            </w:pPr>
            <w:r>
              <w:rPr>
                <w:rFonts w:hint="eastAsia"/>
                <w:szCs w:val="21"/>
              </w:rPr>
              <w:t>1</w:t>
            </w:r>
          </w:p>
        </w:tc>
        <w:tc>
          <w:tcPr>
            <w:tcW w:w="3755" w:type="dxa"/>
            <w:vAlign w:val="center"/>
          </w:tcPr>
          <w:p>
            <w:pPr>
              <w:rPr>
                <w:szCs w:val="21"/>
              </w:rPr>
            </w:pPr>
            <w:r>
              <w:rPr>
                <w:rFonts w:hint="eastAsia" w:ascii="宋体" w:hAnsi="宋体"/>
                <w:szCs w:val="21"/>
              </w:rPr>
              <w:t>服务期：自合同签订之日起至2025年12月31日。若中标人年度内累计2个月以上服务质量及综合指标考核不合格(考核标准详见附件)，采购人可向中标人送达《终止合同通知书》，并终止合同。</w:t>
            </w:r>
          </w:p>
        </w:tc>
        <w:tc>
          <w:tcPr>
            <w:tcW w:w="2541" w:type="dxa"/>
          </w:tcPr>
          <w:p>
            <w:pPr>
              <w:rPr>
                <w:szCs w:val="21"/>
              </w:rPr>
            </w:pPr>
          </w:p>
        </w:tc>
        <w:tc>
          <w:tcPr>
            <w:tcW w:w="254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704" w:type="dxa"/>
            <w:vAlign w:val="center"/>
          </w:tcPr>
          <w:p>
            <w:pPr>
              <w:jc w:val="center"/>
              <w:rPr>
                <w:szCs w:val="21"/>
              </w:rPr>
            </w:pPr>
            <w:r>
              <w:rPr>
                <w:rFonts w:hint="eastAsia"/>
                <w:szCs w:val="21"/>
              </w:rPr>
              <w:t>2</w:t>
            </w:r>
          </w:p>
        </w:tc>
        <w:tc>
          <w:tcPr>
            <w:tcW w:w="3755" w:type="dxa"/>
            <w:vAlign w:val="center"/>
          </w:tcPr>
          <w:p>
            <w:pPr>
              <w:rPr>
                <w:szCs w:val="21"/>
              </w:rPr>
            </w:pPr>
            <w:r>
              <w:rPr>
                <w:rFonts w:hint="eastAsia" w:ascii="宋体" w:hAnsi="宋体"/>
                <w:szCs w:val="21"/>
              </w:rPr>
              <w:t>投标报价未超出报价上限要求:投标报价不得超出招标文件规定的报价上限</w:t>
            </w:r>
          </w:p>
        </w:tc>
        <w:tc>
          <w:tcPr>
            <w:tcW w:w="2541" w:type="dxa"/>
          </w:tcPr>
          <w:p>
            <w:pPr>
              <w:rPr>
                <w:szCs w:val="21"/>
              </w:rPr>
            </w:pPr>
          </w:p>
        </w:tc>
        <w:tc>
          <w:tcPr>
            <w:tcW w:w="254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704" w:type="dxa"/>
            <w:vAlign w:val="center"/>
          </w:tcPr>
          <w:p>
            <w:pPr>
              <w:jc w:val="center"/>
              <w:rPr>
                <w:szCs w:val="21"/>
              </w:rPr>
            </w:pPr>
            <w:r>
              <w:rPr>
                <w:rFonts w:hint="eastAsia"/>
                <w:szCs w:val="21"/>
              </w:rPr>
              <w:t>4</w:t>
            </w:r>
          </w:p>
        </w:tc>
        <w:tc>
          <w:tcPr>
            <w:tcW w:w="3755" w:type="dxa"/>
            <w:vAlign w:val="center"/>
          </w:tcPr>
          <w:p>
            <w:pPr>
              <w:rPr>
                <w:szCs w:val="21"/>
              </w:rPr>
            </w:pPr>
            <w:r>
              <w:rPr>
                <w:rFonts w:hint="eastAsia" w:ascii="宋体" w:hAnsi="宋体"/>
                <w:szCs w:val="21"/>
              </w:rPr>
              <w:t>法定代表人证明书要求:提交原件</w:t>
            </w:r>
          </w:p>
        </w:tc>
        <w:tc>
          <w:tcPr>
            <w:tcW w:w="2541" w:type="dxa"/>
          </w:tcPr>
          <w:p>
            <w:pPr>
              <w:rPr>
                <w:szCs w:val="21"/>
              </w:rPr>
            </w:pPr>
          </w:p>
        </w:tc>
        <w:tc>
          <w:tcPr>
            <w:tcW w:w="254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jc w:val="center"/>
        </w:trPr>
        <w:tc>
          <w:tcPr>
            <w:tcW w:w="704" w:type="dxa"/>
            <w:vAlign w:val="center"/>
          </w:tcPr>
          <w:p>
            <w:pPr>
              <w:jc w:val="center"/>
              <w:rPr>
                <w:szCs w:val="21"/>
              </w:rPr>
            </w:pPr>
            <w:r>
              <w:rPr>
                <w:rFonts w:hint="eastAsia"/>
                <w:szCs w:val="21"/>
              </w:rPr>
              <w:t>5</w:t>
            </w:r>
          </w:p>
        </w:tc>
        <w:tc>
          <w:tcPr>
            <w:tcW w:w="3755" w:type="dxa"/>
            <w:vAlign w:val="center"/>
          </w:tcPr>
          <w:p>
            <w:pPr>
              <w:rPr>
                <w:szCs w:val="21"/>
              </w:rPr>
            </w:pPr>
            <w:r>
              <w:rPr>
                <w:rFonts w:hint="eastAsia" w:ascii="宋体" w:hAnsi="宋体"/>
                <w:szCs w:val="21"/>
              </w:rPr>
              <w:t>法定代表人授权书要求:提交原件</w:t>
            </w:r>
          </w:p>
        </w:tc>
        <w:tc>
          <w:tcPr>
            <w:tcW w:w="2541" w:type="dxa"/>
          </w:tcPr>
          <w:p>
            <w:pPr>
              <w:rPr>
                <w:szCs w:val="21"/>
              </w:rPr>
            </w:pPr>
          </w:p>
        </w:tc>
        <w:tc>
          <w:tcPr>
            <w:tcW w:w="254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704" w:type="dxa"/>
            <w:vAlign w:val="center"/>
          </w:tcPr>
          <w:p>
            <w:pPr>
              <w:jc w:val="center"/>
              <w:rPr>
                <w:szCs w:val="21"/>
              </w:rPr>
            </w:pPr>
            <w:r>
              <w:rPr>
                <w:rFonts w:hint="eastAsia"/>
                <w:szCs w:val="21"/>
              </w:rPr>
              <w:t>6</w:t>
            </w:r>
          </w:p>
        </w:tc>
        <w:tc>
          <w:tcPr>
            <w:tcW w:w="3755" w:type="dxa"/>
            <w:vAlign w:val="center"/>
          </w:tcPr>
          <w:p>
            <w:pPr>
              <w:rPr>
                <w:szCs w:val="21"/>
              </w:rPr>
            </w:pPr>
            <w:r>
              <w:rPr>
                <w:rFonts w:hint="eastAsia" w:ascii="宋体" w:hAnsi="宋体"/>
                <w:szCs w:val="21"/>
              </w:rPr>
              <w:t>法定代表人及代理人身份证要求：提交复印件加盖公章</w:t>
            </w:r>
          </w:p>
        </w:tc>
        <w:tc>
          <w:tcPr>
            <w:tcW w:w="2541" w:type="dxa"/>
          </w:tcPr>
          <w:p>
            <w:pPr>
              <w:rPr>
                <w:szCs w:val="21"/>
              </w:rPr>
            </w:pPr>
          </w:p>
        </w:tc>
        <w:tc>
          <w:tcPr>
            <w:tcW w:w="254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jc w:val="center"/>
        </w:trPr>
        <w:tc>
          <w:tcPr>
            <w:tcW w:w="704" w:type="dxa"/>
            <w:vAlign w:val="center"/>
          </w:tcPr>
          <w:p>
            <w:pPr>
              <w:jc w:val="center"/>
              <w:rPr>
                <w:szCs w:val="21"/>
              </w:rPr>
            </w:pPr>
            <w:r>
              <w:rPr>
                <w:rFonts w:hint="eastAsia"/>
                <w:szCs w:val="21"/>
              </w:rPr>
              <w:t>7</w:t>
            </w:r>
          </w:p>
        </w:tc>
        <w:tc>
          <w:tcPr>
            <w:tcW w:w="3755" w:type="dxa"/>
            <w:vAlign w:val="center"/>
          </w:tcPr>
          <w:p>
            <w:pPr>
              <w:rPr>
                <w:szCs w:val="21"/>
              </w:rPr>
            </w:pPr>
            <w:r>
              <w:rPr>
                <w:rFonts w:hint="eastAsia" w:ascii="宋体" w:hAnsi="宋体"/>
                <w:szCs w:val="21"/>
              </w:rPr>
              <w:t>无招标文件规定的无效投标条款：按投标资料清单中规定必须提交的“★”号条款文件资料（如有）</w:t>
            </w:r>
          </w:p>
        </w:tc>
        <w:tc>
          <w:tcPr>
            <w:tcW w:w="2541" w:type="dxa"/>
          </w:tcPr>
          <w:p>
            <w:pPr>
              <w:rPr>
                <w:szCs w:val="21"/>
              </w:rPr>
            </w:pPr>
          </w:p>
        </w:tc>
        <w:tc>
          <w:tcPr>
            <w:tcW w:w="2543" w:type="dxa"/>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jc w:val="center"/>
        </w:trPr>
        <w:tc>
          <w:tcPr>
            <w:tcW w:w="704" w:type="dxa"/>
            <w:vAlign w:val="center"/>
          </w:tcPr>
          <w:p>
            <w:pPr>
              <w:jc w:val="center"/>
              <w:rPr>
                <w:szCs w:val="21"/>
              </w:rPr>
            </w:pPr>
            <w:r>
              <w:rPr>
                <w:rFonts w:hint="eastAsia"/>
                <w:szCs w:val="21"/>
              </w:rPr>
              <w:t>结论</w:t>
            </w:r>
          </w:p>
        </w:tc>
        <w:tc>
          <w:tcPr>
            <w:tcW w:w="3755" w:type="dxa"/>
            <w:vAlign w:val="center"/>
          </w:tcPr>
          <w:p>
            <w:pPr>
              <w:rPr>
                <w:szCs w:val="21"/>
              </w:rPr>
            </w:pPr>
            <w:r>
              <w:rPr>
                <w:rFonts w:hint="eastAsia"/>
                <w:szCs w:val="21"/>
              </w:rPr>
              <w:t>是否通过符合性审查，进入下一阶段</w:t>
            </w:r>
          </w:p>
        </w:tc>
        <w:tc>
          <w:tcPr>
            <w:tcW w:w="2541" w:type="dxa"/>
          </w:tcPr>
          <w:p>
            <w:pPr>
              <w:rPr>
                <w:szCs w:val="21"/>
              </w:rPr>
            </w:pPr>
          </w:p>
        </w:tc>
        <w:tc>
          <w:tcPr>
            <w:tcW w:w="2543" w:type="dxa"/>
          </w:tcPr>
          <w:p>
            <w:pPr>
              <w:rPr>
                <w:szCs w:val="21"/>
              </w:rPr>
            </w:pPr>
          </w:p>
        </w:tc>
      </w:tr>
    </w:tbl>
    <w:p>
      <w:pPr>
        <w:tabs>
          <w:tab w:val="left" w:pos="720"/>
        </w:tabs>
        <w:snapToGrid w:val="0"/>
        <w:rPr>
          <w:rFonts w:ascii="宋体"/>
          <w:szCs w:val="21"/>
        </w:rPr>
      </w:pPr>
      <w:r>
        <w:rPr>
          <w:rFonts w:hint="eastAsia" w:ascii="宋体"/>
          <w:szCs w:val="21"/>
        </w:rPr>
        <w:t>备注：1、“是否通过并进入下一阶段评审”一栏应写“通过”或“不通过”。</w:t>
      </w:r>
    </w:p>
    <w:p>
      <w:pPr>
        <w:tabs>
          <w:tab w:val="left" w:pos="720"/>
        </w:tabs>
        <w:snapToGrid w:val="0"/>
        <w:ind w:firstLine="630" w:firstLineChars="300"/>
        <w:rPr>
          <w:rFonts w:ascii="宋体"/>
          <w:szCs w:val="21"/>
        </w:rPr>
      </w:pPr>
      <w:r>
        <w:rPr>
          <w:rFonts w:hint="eastAsia" w:ascii="宋体"/>
          <w:szCs w:val="21"/>
        </w:rPr>
        <w:t>2、满足以上任何一种情形用“</w:t>
      </w:r>
      <w:r>
        <w:rPr>
          <w:rFonts w:hint="eastAsia" w:ascii="宋体" w:hAnsi="宋体"/>
          <w:szCs w:val="21"/>
        </w:rPr>
        <w:t>√</w:t>
      </w:r>
      <w:r>
        <w:rPr>
          <w:rFonts w:hint="eastAsia" w:ascii="宋体"/>
          <w:szCs w:val="21"/>
        </w:rPr>
        <w:t>”表示，不满足用“×”表示。出现一个“×”的结论为“不通过”。表中全部为“</w:t>
      </w:r>
      <w:r>
        <w:rPr>
          <w:rFonts w:hint="eastAsia" w:ascii="宋体" w:hAnsi="宋体"/>
          <w:szCs w:val="21"/>
        </w:rPr>
        <w:t>√</w:t>
      </w:r>
      <w:r>
        <w:rPr>
          <w:rFonts w:hint="eastAsia" w:ascii="宋体"/>
          <w:szCs w:val="21"/>
        </w:rPr>
        <w:t>”，同意进入下一阶段评审。</w:t>
      </w:r>
    </w:p>
    <w:p>
      <w:pPr>
        <w:tabs>
          <w:tab w:val="left" w:pos="720"/>
        </w:tabs>
        <w:snapToGrid w:val="0"/>
        <w:ind w:firstLine="630" w:firstLineChars="300"/>
        <w:rPr>
          <w:rFonts w:ascii="宋体"/>
          <w:szCs w:val="21"/>
        </w:rPr>
      </w:pPr>
      <w:r>
        <w:rPr>
          <w:rFonts w:hint="eastAsia" w:ascii="宋体"/>
          <w:szCs w:val="21"/>
        </w:rPr>
        <w:t>3、若评审专家意见不一致时，则按少数服从多数的原则，投票决定该投标人是否通过符合性审查，进入下一阶段评审。</w:t>
      </w:r>
    </w:p>
    <w:p>
      <w:r>
        <w:br w:type="page"/>
      </w:r>
    </w:p>
    <w:p>
      <w:pPr>
        <w:pStyle w:val="3"/>
        <w:jc w:val="left"/>
        <w:rPr>
          <w:sz w:val="24"/>
        </w:rPr>
      </w:pPr>
      <w:bookmarkStart w:id="630" w:name="_Toc11074"/>
      <w:r>
        <w:rPr>
          <w:rFonts w:hint="eastAsia"/>
          <w:sz w:val="24"/>
        </w:rPr>
        <w:t>附件3</w:t>
      </w:r>
      <w:bookmarkEnd w:id="630"/>
    </w:p>
    <w:p>
      <w:pPr>
        <w:jc w:val="center"/>
        <w:rPr>
          <w:b/>
          <w:bCs/>
          <w:sz w:val="30"/>
          <w:szCs w:val="30"/>
        </w:rPr>
      </w:pPr>
      <w:r>
        <w:rPr>
          <w:rFonts w:hint="eastAsia"/>
          <w:b/>
          <w:bCs/>
          <w:sz w:val="30"/>
          <w:szCs w:val="30"/>
        </w:rPr>
        <w:t>技术评分标准（45 分）</w:t>
      </w:r>
    </w:p>
    <w:p>
      <w:pPr>
        <w:pStyle w:val="3"/>
        <w:ind w:firstLine="422" w:firstLineChars="200"/>
        <w:jc w:val="both"/>
        <w:rPr>
          <w:b w:val="0"/>
          <w:bCs w:val="0"/>
          <w:sz w:val="21"/>
          <w:szCs w:val="21"/>
        </w:rPr>
      </w:pPr>
      <w:bookmarkStart w:id="631" w:name="_Toc5617"/>
      <w:bookmarkStart w:id="632" w:name="_Toc6443"/>
      <w:r>
        <w:rPr>
          <w:rFonts w:hint="eastAsia"/>
          <w:bCs w:val="0"/>
          <w:sz w:val="21"/>
          <w:szCs w:val="21"/>
        </w:rPr>
        <w:t>注：</w:t>
      </w:r>
      <w:r>
        <w:rPr>
          <w:rFonts w:hint="eastAsia"/>
          <w:b w:val="0"/>
          <w:bCs w:val="0"/>
          <w:sz w:val="21"/>
          <w:szCs w:val="21"/>
        </w:rPr>
        <w:t>投标人须按照各项评审内容提供相关证明材料，无证明材料或专家无法凭所提供材料判断是否得分的情况，一律作不得分处理。</w:t>
      </w:r>
      <w:bookmarkEnd w:id="631"/>
      <w:bookmarkEnd w:id="632"/>
    </w:p>
    <w:tbl>
      <w:tblPr>
        <w:tblStyle w:val="2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2"/>
        <w:gridCol w:w="6029"/>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9" w:type="dxa"/>
            <w:noWrap/>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272" w:type="dxa"/>
            <w:noWrap/>
            <w:vAlign w:val="center"/>
          </w:tcPr>
          <w:p>
            <w:pPr>
              <w:widowControl/>
              <w:jc w:val="center"/>
              <w:rPr>
                <w:rFonts w:ascii="宋体" w:hAnsi="宋体" w:cs="宋体"/>
                <w:b/>
                <w:bCs/>
                <w:kern w:val="0"/>
                <w:sz w:val="24"/>
              </w:rPr>
            </w:pPr>
            <w:r>
              <w:rPr>
                <w:rFonts w:hint="eastAsia" w:ascii="宋体" w:hAnsi="宋体" w:cs="宋体"/>
                <w:b/>
                <w:bCs/>
                <w:kern w:val="0"/>
                <w:sz w:val="24"/>
              </w:rPr>
              <w:t>评分项</w:t>
            </w:r>
          </w:p>
        </w:tc>
        <w:tc>
          <w:tcPr>
            <w:tcW w:w="6029" w:type="dxa"/>
            <w:noWrap/>
            <w:vAlign w:val="center"/>
          </w:tcPr>
          <w:p>
            <w:pPr>
              <w:widowControl/>
              <w:jc w:val="center"/>
              <w:rPr>
                <w:rFonts w:ascii="宋体" w:hAnsi="宋体" w:cs="宋体"/>
                <w:b/>
                <w:bCs/>
                <w:kern w:val="0"/>
                <w:sz w:val="24"/>
              </w:rPr>
            </w:pPr>
            <w:r>
              <w:rPr>
                <w:rFonts w:hint="eastAsia" w:ascii="宋体" w:hAnsi="宋体" w:cs="宋体"/>
                <w:b/>
                <w:bCs/>
                <w:kern w:val="0"/>
                <w:sz w:val="24"/>
              </w:rPr>
              <w:t>评审细则</w:t>
            </w:r>
          </w:p>
        </w:tc>
        <w:tc>
          <w:tcPr>
            <w:tcW w:w="1197" w:type="dxa"/>
            <w:noWrap/>
            <w:vAlign w:val="center"/>
          </w:tcPr>
          <w:p>
            <w:pPr>
              <w:widowControl/>
              <w:jc w:val="center"/>
              <w:rPr>
                <w:rFonts w:ascii="宋体" w:hAnsi="宋体" w:cs="宋体"/>
                <w:b/>
                <w:bCs/>
                <w:kern w:val="0"/>
                <w:sz w:val="24"/>
              </w:rPr>
            </w:pPr>
            <w:r>
              <w:rPr>
                <w:rFonts w:hint="eastAsia" w:ascii="宋体" w:hAnsi="宋体" w:cs="宋体"/>
                <w:b/>
                <w:bCs/>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709" w:type="dxa"/>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272" w:type="dxa"/>
            <w:noWrap/>
            <w:vAlign w:val="center"/>
          </w:tcPr>
          <w:p>
            <w:pPr>
              <w:widowControl/>
              <w:jc w:val="center"/>
              <w:rPr>
                <w:rFonts w:ascii="宋体" w:hAnsi="宋体" w:cs="宋体"/>
                <w:kern w:val="0"/>
                <w:sz w:val="24"/>
              </w:rPr>
            </w:pPr>
            <w:r>
              <w:rPr>
                <w:rFonts w:hint="eastAsia" w:ascii="宋体" w:hAnsi="宋体" w:cs="宋体"/>
                <w:kern w:val="0"/>
                <w:sz w:val="24"/>
              </w:rPr>
              <w:t>物业管理服务方案</w:t>
            </w:r>
          </w:p>
        </w:tc>
        <w:tc>
          <w:tcPr>
            <w:tcW w:w="6029" w:type="dxa"/>
            <w:noWrap/>
            <w:vAlign w:val="center"/>
          </w:tcPr>
          <w:p>
            <w:pPr>
              <w:snapToGrid w:val="0"/>
              <w:spacing w:beforeLines="15" w:afterLines="15" w:line="440" w:lineRule="exact"/>
              <w:rPr>
                <w:rFonts w:ascii="宋体" w:hAnsi="宋体" w:cs="宋体"/>
                <w:kern w:val="0"/>
                <w:sz w:val="24"/>
              </w:rPr>
            </w:pPr>
            <w:r>
              <w:rPr>
                <w:rFonts w:hint="eastAsia" w:ascii="宋体" w:hAnsi="宋体" w:cs="宋体"/>
                <w:kern w:val="0"/>
                <w:sz w:val="24"/>
              </w:rPr>
              <w:t>本项目制订的物业管理服务方案（至少包括物业管理规章制度、绿化服务、保洁服务、节能减排服务等）。</w:t>
            </w:r>
          </w:p>
          <w:p>
            <w:pPr>
              <w:snapToGrid w:val="0"/>
              <w:spacing w:beforeLines="15" w:afterLines="15" w:line="440" w:lineRule="exact"/>
              <w:rPr>
                <w:rFonts w:ascii="宋体" w:hAnsi="宋体" w:cs="宋体"/>
                <w:kern w:val="0"/>
                <w:sz w:val="24"/>
              </w:rPr>
            </w:pPr>
            <w:r>
              <w:rPr>
                <w:rFonts w:hint="eastAsia" w:ascii="宋体" w:hAnsi="宋体" w:cs="宋体"/>
                <w:kern w:val="0"/>
                <w:sz w:val="24"/>
              </w:rPr>
              <w:t>1、物业服务内容和实施方案科学合理，考虑周全，切实可行，得15分；</w:t>
            </w:r>
          </w:p>
          <w:p>
            <w:pPr>
              <w:snapToGrid w:val="0"/>
              <w:spacing w:beforeLines="15" w:afterLines="15" w:line="440" w:lineRule="exact"/>
              <w:rPr>
                <w:rFonts w:ascii="宋体" w:hAnsi="宋体" w:cs="宋体"/>
                <w:kern w:val="0"/>
                <w:sz w:val="24"/>
              </w:rPr>
            </w:pPr>
            <w:r>
              <w:rPr>
                <w:rFonts w:hint="eastAsia" w:ascii="宋体" w:hAnsi="宋体" w:cs="宋体"/>
                <w:kern w:val="0"/>
                <w:sz w:val="24"/>
              </w:rPr>
              <w:t>2、物业服务内容和实施方案较科学合理，考虑较为周全，较为切实可行，得12分；</w:t>
            </w:r>
          </w:p>
          <w:p>
            <w:pPr>
              <w:snapToGrid w:val="0"/>
              <w:spacing w:beforeLines="15" w:afterLines="15" w:line="440" w:lineRule="exact"/>
              <w:rPr>
                <w:rFonts w:ascii="宋体" w:hAnsi="宋体" w:cs="宋体"/>
                <w:kern w:val="0"/>
                <w:sz w:val="24"/>
              </w:rPr>
            </w:pPr>
            <w:r>
              <w:rPr>
                <w:rFonts w:hint="eastAsia" w:ascii="宋体" w:hAnsi="宋体" w:cs="宋体"/>
                <w:kern w:val="0"/>
                <w:sz w:val="24"/>
              </w:rPr>
              <w:t>3、物业服务内容和实施方案一般，考虑不够周全，切实可行性一般，得9分；</w:t>
            </w:r>
          </w:p>
          <w:p>
            <w:pPr>
              <w:snapToGrid w:val="0"/>
              <w:spacing w:beforeLines="15" w:afterLines="15" w:line="440" w:lineRule="exact"/>
              <w:rPr>
                <w:rFonts w:ascii="宋体" w:hAnsi="宋体" w:cs="宋体"/>
                <w:kern w:val="0"/>
                <w:sz w:val="24"/>
              </w:rPr>
            </w:pPr>
            <w:r>
              <w:rPr>
                <w:rFonts w:hint="eastAsia" w:ascii="宋体" w:hAnsi="宋体" w:cs="宋体"/>
                <w:kern w:val="0"/>
                <w:sz w:val="24"/>
              </w:rPr>
              <w:t>4、物业服务内容和实施方案差，考虑不周全，切实可行性差，得6分。</w:t>
            </w:r>
          </w:p>
          <w:p>
            <w:pPr>
              <w:snapToGrid w:val="0"/>
              <w:spacing w:beforeLines="15" w:afterLines="15" w:line="440" w:lineRule="exact"/>
              <w:rPr>
                <w:rFonts w:ascii="宋体" w:hAnsi="宋体" w:cs="宋体"/>
                <w:kern w:val="0"/>
                <w:sz w:val="24"/>
              </w:rPr>
            </w:pPr>
            <w:r>
              <w:rPr>
                <w:rFonts w:hint="eastAsia" w:ascii="宋体" w:hAnsi="宋体" w:cs="宋体"/>
                <w:kern w:val="0"/>
                <w:sz w:val="24"/>
              </w:rPr>
              <w:t>5、未提供的不得分。</w:t>
            </w:r>
          </w:p>
        </w:tc>
        <w:tc>
          <w:tcPr>
            <w:tcW w:w="1197" w:type="dxa"/>
            <w:noWrap/>
            <w:vAlign w:val="center"/>
          </w:tcPr>
          <w:p>
            <w:pPr>
              <w:widowControl/>
              <w:jc w:val="center"/>
              <w:rPr>
                <w:rFonts w:ascii="宋体" w:hAnsi="宋体" w:cs="宋体"/>
                <w:kern w:val="0"/>
                <w:sz w:val="24"/>
              </w:rPr>
            </w:pPr>
            <w:r>
              <w:rPr>
                <w:rFonts w:hint="eastAsia" w:ascii="宋体" w:hAnsi="宋体"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9" w:type="dxa"/>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272" w:type="dxa"/>
            <w:noWrap/>
            <w:vAlign w:val="center"/>
          </w:tcPr>
          <w:p>
            <w:pPr>
              <w:widowControl/>
              <w:jc w:val="center"/>
              <w:rPr>
                <w:rFonts w:ascii="宋体" w:hAnsi="宋体" w:cs="宋体"/>
                <w:kern w:val="0"/>
                <w:sz w:val="24"/>
              </w:rPr>
            </w:pPr>
            <w:bookmarkStart w:id="633" w:name="_Hlk98255341"/>
            <w:r>
              <w:rPr>
                <w:rFonts w:hint="eastAsia" w:ascii="宋体" w:hAnsi="宋体" w:cs="宋体"/>
                <w:kern w:val="0"/>
                <w:sz w:val="24"/>
              </w:rPr>
              <w:t>档案资料管理</w:t>
            </w:r>
            <w:bookmarkEnd w:id="633"/>
          </w:p>
        </w:tc>
        <w:tc>
          <w:tcPr>
            <w:tcW w:w="6029" w:type="dxa"/>
            <w:noWrap/>
            <w:vAlign w:val="center"/>
          </w:tcPr>
          <w:p>
            <w:pPr>
              <w:spacing w:beforeLines="15" w:afterLines="15" w:line="440" w:lineRule="exact"/>
              <w:jc w:val="left"/>
              <w:rPr>
                <w:rFonts w:ascii="宋体" w:hAnsi="宋体" w:cs="宋体"/>
                <w:kern w:val="0"/>
                <w:sz w:val="24"/>
              </w:rPr>
            </w:pPr>
            <w:r>
              <w:rPr>
                <w:rFonts w:hint="eastAsia" w:ascii="宋体" w:hAnsi="宋体" w:cs="宋体"/>
                <w:kern w:val="0"/>
                <w:sz w:val="24"/>
              </w:rPr>
              <w:t>本项目制订的档案资料管理措施（至少包括档案管理制度、档案分类、储存及移交等）。</w:t>
            </w:r>
          </w:p>
          <w:p>
            <w:pPr>
              <w:spacing w:beforeLines="15" w:afterLines="15" w:line="440" w:lineRule="exact"/>
              <w:jc w:val="left"/>
              <w:rPr>
                <w:rFonts w:ascii="宋体" w:hAnsi="宋体" w:cs="宋体"/>
                <w:kern w:val="0"/>
                <w:sz w:val="24"/>
              </w:rPr>
            </w:pPr>
            <w:r>
              <w:rPr>
                <w:rFonts w:hint="eastAsia" w:ascii="宋体" w:hAnsi="宋体" w:cs="宋体"/>
                <w:kern w:val="0"/>
                <w:sz w:val="24"/>
              </w:rPr>
              <w:t>1、档案资料管理方案完善，能够对各类资料进行系统地收集整理分类、储存，得10分；</w:t>
            </w:r>
          </w:p>
          <w:p>
            <w:pPr>
              <w:spacing w:beforeLines="15" w:afterLines="15" w:line="440" w:lineRule="exact"/>
              <w:jc w:val="left"/>
              <w:rPr>
                <w:rFonts w:ascii="宋体" w:hAnsi="宋体" w:cs="宋体"/>
                <w:kern w:val="0"/>
                <w:sz w:val="24"/>
              </w:rPr>
            </w:pPr>
            <w:r>
              <w:rPr>
                <w:rFonts w:hint="eastAsia" w:ascii="宋体" w:hAnsi="宋体" w:cs="宋体"/>
                <w:kern w:val="0"/>
                <w:sz w:val="24"/>
              </w:rPr>
              <w:t>2、档案资料管理方案较为完善，能够对各类资料较系统地收集整理分类、储存，得8分；</w:t>
            </w:r>
          </w:p>
          <w:p>
            <w:pPr>
              <w:spacing w:beforeLines="15" w:afterLines="15" w:line="440" w:lineRule="exact"/>
              <w:jc w:val="left"/>
              <w:rPr>
                <w:rFonts w:ascii="宋体" w:hAnsi="宋体" w:cs="宋体"/>
                <w:kern w:val="0"/>
                <w:sz w:val="24"/>
              </w:rPr>
            </w:pPr>
            <w:r>
              <w:rPr>
                <w:rFonts w:hint="eastAsia" w:ascii="宋体" w:hAnsi="宋体" w:cs="宋体"/>
                <w:kern w:val="0"/>
                <w:sz w:val="24"/>
              </w:rPr>
              <w:t>3、档案资料管理方案一般，对各类资料收集整理分类、储存一般，得6分；</w:t>
            </w:r>
          </w:p>
          <w:p>
            <w:pPr>
              <w:spacing w:beforeLines="15" w:afterLines="15" w:line="440" w:lineRule="exact"/>
              <w:jc w:val="left"/>
              <w:rPr>
                <w:rFonts w:ascii="宋体" w:hAnsi="宋体" w:cs="宋体"/>
                <w:kern w:val="0"/>
                <w:sz w:val="24"/>
              </w:rPr>
            </w:pPr>
            <w:r>
              <w:rPr>
                <w:rFonts w:hint="eastAsia" w:ascii="宋体" w:hAnsi="宋体" w:cs="宋体"/>
                <w:kern w:val="0"/>
                <w:sz w:val="24"/>
              </w:rPr>
              <w:t>4、档案资料管理方案差，对各类资料收集整理分类、储存差，得4分；</w:t>
            </w:r>
          </w:p>
          <w:p>
            <w:pPr>
              <w:spacing w:beforeLines="15" w:afterLines="15" w:line="440" w:lineRule="exact"/>
              <w:jc w:val="left"/>
              <w:rPr>
                <w:rFonts w:ascii="宋体" w:hAnsi="宋体" w:cs="宋体"/>
                <w:kern w:val="0"/>
                <w:sz w:val="24"/>
              </w:rPr>
            </w:pPr>
            <w:r>
              <w:rPr>
                <w:rFonts w:hint="eastAsia" w:ascii="宋体" w:hAnsi="宋体" w:cs="宋体"/>
                <w:kern w:val="0"/>
                <w:sz w:val="24"/>
              </w:rPr>
              <w:t>5、未提供的不得分。</w:t>
            </w:r>
          </w:p>
        </w:tc>
        <w:tc>
          <w:tcPr>
            <w:tcW w:w="1197" w:type="dxa"/>
            <w:noWrap/>
            <w:vAlign w:val="center"/>
          </w:tcPr>
          <w:p>
            <w:pPr>
              <w:widowControl/>
              <w:jc w:val="center"/>
              <w:rPr>
                <w:rFonts w:ascii="宋体" w:hAnsi="宋体" w:cs="宋体"/>
                <w:kern w:val="0"/>
                <w:sz w:val="24"/>
              </w:rPr>
            </w:pPr>
            <w:r>
              <w:rPr>
                <w:rFonts w:hint="eastAsia" w:ascii="宋体" w:hAnsi="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9" w:type="dxa"/>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1272" w:type="dxa"/>
            <w:noWrap/>
            <w:vAlign w:val="center"/>
          </w:tcPr>
          <w:p>
            <w:pPr>
              <w:spacing w:beforeLines="15" w:afterLines="15" w:line="440" w:lineRule="exact"/>
              <w:jc w:val="left"/>
              <w:rPr>
                <w:rFonts w:ascii="宋体" w:hAnsi="宋体" w:cs="宋体"/>
                <w:kern w:val="0"/>
                <w:sz w:val="24"/>
              </w:rPr>
            </w:pPr>
            <w:r>
              <w:rPr>
                <w:rFonts w:hint="eastAsia" w:ascii="宋体" w:hAnsi="宋体" w:cs="宋体"/>
                <w:kern w:val="0"/>
                <w:sz w:val="24"/>
              </w:rPr>
              <w:t>突发应急方案</w:t>
            </w:r>
          </w:p>
        </w:tc>
        <w:tc>
          <w:tcPr>
            <w:tcW w:w="6029" w:type="dxa"/>
            <w:noWrap/>
            <w:vAlign w:val="center"/>
          </w:tcPr>
          <w:p>
            <w:pPr>
              <w:spacing w:beforeLines="15" w:afterLines="15" w:line="440" w:lineRule="exact"/>
              <w:jc w:val="left"/>
              <w:rPr>
                <w:rFonts w:ascii="宋体" w:hAnsi="宋体" w:cs="宋体"/>
                <w:kern w:val="0"/>
                <w:sz w:val="24"/>
              </w:rPr>
            </w:pPr>
            <w:r>
              <w:rPr>
                <w:rFonts w:hint="eastAsia" w:ascii="宋体" w:hAnsi="宋体" w:cs="宋体"/>
                <w:kern w:val="0"/>
                <w:sz w:val="24"/>
              </w:rPr>
              <w:t>本项目制订的突发应急方案（至少包括电力故障、电梯故障、火灾应急处理预案等）。</w:t>
            </w:r>
          </w:p>
          <w:p>
            <w:pPr>
              <w:spacing w:beforeLines="15" w:afterLines="15" w:line="440" w:lineRule="exact"/>
              <w:jc w:val="left"/>
              <w:rPr>
                <w:rFonts w:ascii="宋体" w:hAnsi="宋体" w:cs="宋体"/>
                <w:kern w:val="0"/>
                <w:sz w:val="24"/>
              </w:rPr>
            </w:pPr>
            <w:r>
              <w:rPr>
                <w:rFonts w:hint="eastAsia" w:ascii="宋体" w:hAnsi="宋体" w:cs="宋体"/>
                <w:kern w:val="0"/>
                <w:sz w:val="24"/>
              </w:rPr>
              <w:t>1、突发应急方案合理科学、具体、可行性强，得10分；</w:t>
            </w:r>
          </w:p>
          <w:p>
            <w:pPr>
              <w:pStyle w:val="2"/>
              <w:spacing w:beforeLines="15" w:afterLines="15" w:line="440" w:lineRule="exact"/>
              <w:jc w:val="left"/>
              <w:rPr>
                <w:rFonts w:ascii="宋体" w:hAnsi="宋体" w:eastAsia="宋体" w:cs="宋体"/>
                <w:sz w:val="24"/>
                <w:szCs w:val="24"/>
              </w:rPr>
            </w:pPr>
            <w:r>
              <w:rPr>
                <w:rFonts w:hint="eastAsia" w:ascii="宋体" w:hAnsi="宋体" w:eastAsia="宋体" w:cs="宋体"/>
                <w:sz w:val="24"/>
                <w:szCs w:val="24"/>
              </w:rPr>
              <w:t>2、突发应急方案较合理科学、较具体、较可行，得8分；</w:t>
            </w:r>
          </w:p>
          <w:p>
            <w:pPr>
              <w:spacing w:beforeLines="15" w:afterLines="15" w:line="440" w:lineRule="exact"/>
              <w:jc w:val="left"/>
              <w:rPr>
                <w:rFonts w:ascii="宋体" w:hAnsi="宋体" w:cs="宋体"/>
                <w:kern w:val="0"/>
                <w:sz w:val="24"/>
              </w:rPr>
            </w:pPr>
            <w:r>
              <w:rPr>
                <w:rFonts w:hint="eastAsia" w:ascii="宋体" w:hAnsi="宋体" w:cs="宋体"/>
                <w:kern w:val="0"/>
                <w:sz w:val="24"/>
              </w:rPr>
              <w:t>3、突发应急方案一般、不够具体、可行性一般，得6分；</w:t>
            </w:r>
          </w:p>
          <w:p>
            <w:pPr>
              <w:spacing w:beforeLines="15" w:afterLines="15" w:line="440" w:lineRule="exact"/>
              <w:jc w:val="left"/>
              <w:rPr>
                <w:rFonts w:ascii="宋体" w:hAnsi="宋体" w:cs="宋体"/>
                <w:kern w:val="0"/>
                <w:sz w:val="24"/>
              </w:rPr>
            </w:pPr>
            <w:r>
              <w:rPr>
                <w:rFonts w:hint="eastAsia" w:ascii="宋体" w:hAnsi="宋体" w:cs="宋体"/>
                <w:kern w:val="0"/>
                <w:sz w:val="24"/>
              </w:rPr>
              <w:t>4、突发应急方案差、不具体、可行性差的，得4分；</w:t>
            </w:r>
          </w:p>
          <w:p>
            <w:pPr>
              <w:spacing w:beforeLines="15" w:afterLines="15" w:line="440" w:lineRule="exact"/>
              <w:jc w:val="left"/>
              <w:rPr>
                <w:rFonts w:ascii="宋体" w:hAnsi="宋体" w:cs="宋体"/>
                <w:kern w:val="0"/>
                <w:sz w:val="24"/>
              </w:rPr>
            </w:pPr>
            <w:r>
              <w:rPr>
                <w:rFonts w:hint="eastAsia" w:ascii="宋体" w:hAnsi="宋体" w:cs="宋体"/>
                <w:kern w:val="0"/>
                <w:sz w:val="24"/>
              </w:rPr>
              <w:t>5、未提供的不得分。</w:t>
            </w:r>
          </w:p>
        </w:tc>
        <w:tc>
          <w:tcPr>
            <w:tcW w:w="1197" w:type="dxa"/>
            <w:noWrap/>
            <w:vAlign w:val="center"/>
          </w:tcPr>
          <w:p>
            <w:pPr>
              <w:widowControl/>
              <w:jc w:val="center"/>
              <w:rPr>
                <w:rFonts w:ascii="宋体" w:hAnsi="宋体" w:cs="宋体"/>
                <w:kern w:val="0"/>
                <w:sz w:val="24"/>
              </w:rPr>
            </w:pPr>
            <w:r>
              <w:rPr>
                <w:rFonts w:hint="eastAsia" w:ascii="宋体" w:hAnsi="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9" w:type="dxa"/>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1272" w:type="dxa"/>
            <w:noWrap/>
            <w:vAlign w:val="center"/>
          </w:tcPr>
          <w:p>
            <w:pPr>
              <w:spacing w:beforeLines="15" w:afterLines="15" w:line="440" w:lineRule="exact"/>
              <w:jc w:val="left"/>
              <w:rPr>
                <w:rFonts w:ascii="宋体" w:hAnsi="宋体" w:cs="宋体"/>
                <w:kern w:val="0"/>
                <w:sz w:val="24"/>
              </w:rPr>
            </w:pPr>
            <w:bookmarkStart w:id="634" w:name="_Hlk98255333"/>
            <w:bookmarkStart w:id="635" w:name="_Hlk126243097"/>
            <w:r>
              <w:rPr>
                <w:rFonts w:hint="eastAsia" w:ascii="宋体" w:hAnsi="宋体" w:cs="宋体"/>
                <w:kern w:val="0"/>
                <w:sz w:val="24"/>
              </w:rPr>
              <w:t>培训</w:t>
            </w:r>
            <w:bookmarkEnd w:id="634"/>
            <w:r>
              <w:rPr>
                <w:rFonts w:hint="eastAsia" w:ascii="宋体" w:hAnsi="宋体" w:cs="宋体"/>
                <w:kern w:val="0"/>
                <w:sz w:val="24"/>
              </w:rPr>
              <w:t>方案</w:t>
            </w:r>
            <w:bookmarkEnd w:id="635"/>
          </w:p>
        </w:tc>
        <w:tc>
          <w:tcPr>
            <w:tcW w:w="6029" w:type="dxa"/>
            <w:noWrap/>
            <w:vAlign w:val="center"/>
          </w:tcPr>
          <w:p>
            <w:pPr>
              <w:snapToGrid w:val="0"/>
              <w:spacing w:beforeLines="15" w:afterLines="15" w:line="440" w:lineRule="exact"/>
              <w:jc w:val="left"/>
              <w:rPr>
                <w:rFonts w:ascii="宋体" w:hAnsi="宋体" w:cs="宋体"/>
                <w:kern w:val="0"/>
                <w:sz w:val="24"/>
              </w:rPr>
            </w:pPr>
            <w:r>
              <w:rPr>
                <w:rFonts w:hint="eastAsia" w:ascii="宋体" w:hAnsi="宋体" w:cs="宋体"/>
                <w:kern w:val="0"/>
                <w:sz w:val="24"/>
              </w:rPr>
              <w:t>1、</w:t>
            </w:r>
            <w:r>
              <w:rPr>
                <w:rFonts w:hint="eastAsia" w:ascii="宋体" w:hAnsi="宋体" w:cs="宋体"/>
                <w:color w:val="FF0000"/>
                <w:kern w:val="0"/>
                <w:sz w:val="24"/>
                <w:highlight w:val="yellow"/>
              </w:rPr>
              <w:t>物业管理岗位服务人员</w:t>
            </w:r>
            <w:r>
              <w:rPr>
                <w:rFonts w:hint="eastAsia" w:ascii="宋体" w:hAnsi="宋体" w:cs="宋体"/>
                <w:kern w:val="0"/>
                <w:sz w:val="24"/>
              </w:rPr>
              <w:t>培训方案（至少包括岗位知识及技能、服务礼仪、服务安全培训方案等）进行综合评审；</w:t>
            </w:r>
          </w:p>
          <w:p>
            <w:pPr>
              <w:snapToGrid w:val="0"/>
              <w:spacing w:beforeLines="15" w:afterLines="15" w:line="440" w:lineRule="exact"/>
              <w:jc w:val="left"/>
              <w:rPr>
                <w:rFonts w:ascii="宋体" w:hAnsi="宋体" w:cs="宋体"/>
                <w:kern w:val="0"/>
                <w:sz w:val="24"/>
              </w:rPr>
            </w:pPr>
            <w:r>
              <w:rPr>
                <w:rFonts w:hint="eastAsia" w:ascii="宋体" w:hAnsi="宋体" w:cs="宋体"/>
                <w:kern w:val="0"/>
                <w:sz w:val="24"/>
              </w:rPr>
              <w:t>1、培训方案明确，逻辑清晰，可行性强，措施完善，得10分；</w:t>
            </w:r>
          </w:p>
          <w:p>
            <w:pPr>
              <w:snapToGrid w:val="0"/>
              <w:spacing w:beforeLines="15" w:afterLines="15" w:line="440" w:lineRule="exact"/>
              <w:jc w:val="left"/>
              <w:rPr>
                <w:rFonts w:ascii="宋体" w:hAnsi="宋体" w:cs="宋体"/>
                <w:kern w:val="0"/>
                <w:sz w:val="24"/>
              </w:rPr>
            </w:pPr>
            <w:r>
              <w:rPr>
                <w:rFonts w:hint="eastAsia" w:ascii="宋体" w:hAnsi="宋体" w:cs="宋体"/>
                <w:kern w:val="0"/>
                <w:sz w:val="24"/>
              </w:rPr>
              <w:t>2、培训方案较明确，逻辑较清晰，可行性较强，措施较完善，得8分；</w:t>
            </w:r>
          </w:p>
          <w:p>
            <w:pPr>
              <w:snapToGrid w:val="0"/>
              <w:spacing w:beforeLines="15" w:afterLines="15" w:line="440" w:lineRule="exact"/>
              <w:jc w:val="left"/>
              <w:rPr>
                <w:rFonts w:ascii="宋体" w:hAnsi="宋体" w:cs="宋体"/>
                <w:kern w:val="0"/>
                <w:sz w:val="24"/>
              </w:rPr>
            </w:pPr>
            <w:r>
              <w:rPr>
                <w:rFonts w:hint="eastAsia" w:ascii="宋体" w:hAnsi="宋体" w:cs="宋体"/>
                <w:kern w:val="0"/>
                <w:sz w:val="24"/>
              </w:rPr>
              <w:t>3、培训方案一般，逻辑一般，可行性一般，措施一般，得6分；</w:t>
            </w:r>
          </w:p>
          <w:p>
            <w:pPr>
              <w:snapToGrid w:val="0"/>
              <w:spacing w:beforeLines="15" w:afterLines="15" w:line="440" w:lineRule="exact"/>
              <w:jc w:val="left"/>
              <w:rPr>
                <w:rFonts w:ascii="宋体" w:hAnsi="宋体" w:cs="宋体"/>
                <w:kern w:val="0"/>
                <w:sz w:val="24"/>
              </w:rPr>
            </w:pPr>
            <w:r>
              <w:rPr>
                <w:rFonts w:hint="eastAsia" w:ascii="宋体" w:hAnsi="宋体" w:cs="宋体"/>
                <w:kern w:val="0"/>
                <w:sz w:val="24"/>
              </w:rPr>
              <w:t>4、培训方案差，逻辑差，可行性差，措施差，得4分；</w:t>
            </w:r>
          </w:p>
          <w:p>
            <w:pPr>
              <w:spacing w:beforeLines="15" w:afterLines="15" w:line="440" w:lineRule="exact"/>
              <w:jc w:val="left"/>
              <w:rPr>
                <w:rFonts w:ascii="宋体" w:hAnsi="宋体" w:cs="宋体"/>
                <w:kern w:val="0"/>
                <w:sz w:val="24"/>
              </w:rPr>
            </w:pPr>
            <w:r>
              <w:rPr>
                <w:rFonts w:hint="eastAsia" w:ascii="宋体" w:hAnsi="宋体" w:cs="宋体"/>
                <w:kern w:val="0"/>
                <w:sz w:val="24"/>
              </w:rPr>
              <w:t>5、未提供的不得分。</w:t>
            </w:r>
          </w:p>
        </w:tc>
        <w:tc>
          <w:tcPr>
            <w:tcW w:w="1197" w:type="dxa"/>
            <w:noWrap/>
            <w:vAlign w:val="center"/>
          </w:tcPr>
          <w:p>
            <w:pPr>
              <w:widowControl/>
              <w:jc w:val="center"/>
              <w:rPr>
                <w:rFonts w:ascii="宋体" w:hAnsi="宋体" w:cs="宋体"/>
                <w:kern w:val="0"/>
                <w:sz w:val="24"/>
              </w:rPr>
            </w:pPr>
            <w:r>
              <w:rPr>
                <w:rFonts w:hint="eastAsia" w:ascii="宋体" w:hAnsi="宋体" w:cs="宋体"/>
                <w:kern w:val="0"/>
                <w:sz w:val="24"/>
              </w:rPr>
              <w:t>10</w:t>
            </w:r>
          </w:p>
        </w:tc>
      </w:tr>
    </w:tbl>
    <w:p/>
    <w:p>
      <w:pPr>
        <w:jc w:val="center"/>
        <w:rPr>
          <w:rFonts w:ascii="宋体" w:hAnsi="宋体"/>
          <w:b/>
          <w:sz w:val="24"/>
        </w:rPr>
      </w:pPr>
      <w:r>
        <w:rPr>
          <w:rFonts w:hint="eastAsia" w:ascii="宋体" w:hAnsi="宋体"/>
          <w:b/>
          <w:sz w:val="24"/>
        </w:rPr>
        <w:br w:type="page"/>
      </w:r>
    </w:p>
    <w:p>
      <w:pPr>
        <w:pStyle w:val="3"/>
        <w:jc w:val="left"/>
        <w:rPr>
          <w:sz w:val="24"/>
        </w:rPr>
      </w:pPr>
      <w:bookmarkStart w:id="636" w:name="_Toc7120"/>
      <w:bookmarkStart w:id="637" w:name="_Toc8321"/>
      <w:r>
        <w:rPr>
          <w:rFonts w:hint="eastAsia"/>
          <w:sz w:val="24"/>
        </w:rPr>
        <w:t>附件4</w:t>
      </w:r>
      <w:bookmarkEnd w:id="636"/>
      <w:bookmarkEnd w:id="637"/>
    </w:p>
    <w:p>
      <w:pPr>
        <w:jc w:val="center"/>
        <w:rPr>
          <w:b/>
          <w:bCs/>
          <w:sz w:val="30"/>
          <w:szCs w:val="30"/>
        </w:rPr>
      </w:pPr>
      <w:r>
        <w:rPr>
          <w:rFonts w:hint="eastAsia"/>
          <w:b/>
          <w:bCs/>
          <w:sz w:val="30"/>
          <w:szCs w:val="30"/>
        </w:rPr>
        <w:t>商务评分标准（45分）</w:t>
      </w:r>
    </w:p>
    <w:p>
      <w:pPr>
        <w:pStyle w:val="3"/>
        <w:ind w:firstLine="422" w:firstLineChars="200"/>
        <w:jc w:val="both"/>
        <w:rPr>
          <w:b w:val="0"/>
          <w:bCs w:val="0"/>
          <w:sz w:val="21"/>
          <w:szCs w:val="21"/>
        </w:rPr>
      </w:pPr>
      <w:bookmarkStart w:id="638" w:name="_Toc18287"/>
      <w:r>
        <w:rPr>
          <w:rFonts w:hint="eastAsia"/>
          <w:bCs w:val="0"/>
          <w:sz w:val="21"/>
          <w:szCs w:val="21"/>
        </w:rPr>
        <w:t>注：</w:t>
      </w:r>
      <w:r>
        <w:rPr>
          <w:rFonts w:hint="eastAsia"/>
          <w:b w:val="0"/>
          <w:bCs w:val="0"/>
          <w:sz w:val="21"/>
          <w:szCs w:val="21"/>
        </w:rPr>
        <w:t>投标人须按照各项评审内容提供相关证明材料，无证明材料或专家无法凭所提供材料判断是否得分的情况，一律作不得分处理。</w:t>
      </w:r>
      <w:bookmarkEnd w:id="638"/>
    </w:p>
    <w:tbl>
      <w:tblPr>
        <w:tblStyle w:val="21"/>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38"/>
        <w:gridCol w:w="5813"/>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98" w:type="dxa"/>
            <w:noWrap/>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438" w:type="dxa"/>
            <w:noWrap/>
            <w:vAlign w:val="center"/>
          </w:tcPr>
          <w:p>
            <w:pPr>
              <w:widowControl/>
              <w:jc w:val="center"/>
              <w:rPr>
                <w:rFonts w:ascii="宋体" w:hAnsi="宋体" w:cs="宋体"/>
                <w:b/>
                <w:bCs/>
                <w:kern w:val="0"/>
                <w:sz w:val="24"/>
              </w:rPr>
            </w:pPr>
            <w:r>
              <w:rPr>
                <w:rFonts w:hint="eastAsia" w:ascii="宋体" w:hAnsi="宋体" w:cs="宋体"/>
                <w:b/>
                <w:bCs/>
                <w:kern w:val="0"/>
                <w:sz w:val="24"/>
              </w:rPr>
              <w:t>评分项</w:t>
            </w:r>
          </w:p>
        </w:tc>
        <w:tc>
          <w:tcPr>
            <w:tcW w:w="5813" w:type="dxa"/>
            <w:noWrap/>
            <w:vAlign w:val="center"/>
          </w:tcPr>
          <w:p>
            <w:pPr>
              <w:widowControl/>
              <w:jc w:val="center"/>
              <w:rPr>
                <w:rFonts w:ascii="宋体" w:hAnsi="宋体" w:cs="宋体"/>
                <w:b/>
                <w:bCs/>
                <w:kern w:val="0"/>
                <w:sz w:val="24"/>
              </w:rPr>
            </w:pPr>
            <w:r>
              <w:rPr>
                <w:rFonts w:hint="eastAsia" w:ascii="宋体" w:hAnsi="宋体" w:cs="宋体"/>
                <w:b/>
                <w:bCs/>
                <w:kern w:val="0"/>
                <w:sz w:val="24"/>
              </w:rPr>
              <w:t>评审细则</w:t>
            </w:r>
          </w:p>
        </w:tc>
        <w:tc>
          <w:tcPr>
            <w:tcW w:w="1016" w:type="dxa"/>
            <w:noWrap/>
            <w:vAlign w:val="center"/>
          </w:tcPr>
          <w:p>
            <w:pPr>
              <w:widowControl/>
              <w:jc w:val="center"/>
              <w:rPr>
                <w:rFonts w:ascii="宋体" w:hAnsi="宋体" w:cs="宋体"/>
                <w:b/>
                <w:bCs/>
                <w:kern w:val="0"/>
                <w:sz w:val="24"/>
              </w:rPr>
            </w:pPr>
            <w:r>
              <w:rPr>
                <w:rFonts w:hint="eastAsia" w:ascii="宋体" w:hAnsi="宋体" w:cs="宋体"/>
                <w:b/>
                <w:bCs/>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698" w:type="dxa"/>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1438" w:type="dxa"/>
            <w:noWrap/>
            <w:vAlign w:val="center"/>
          </w:tcPr>
          <w:p>
            <w:pPr>
              <w:widowControl/>
              <w:jc w:val="center"/>
              <w:rPr>
                <w:rFonts w:ascii="宋体" w:hAnsi="宋体" w:cs="宋体"/>
                <w:kern w:val="0"/>
                <w:sz w:val="24"/>
              </w:rPr>
            </w:pPr>
            <w:r>
              <w:rPr>
                <w:rFonts w:hint="eastAsia" w:ascii="宋体" w:hAnsi="宋体" w:cs="宋体"/>
                <w:kern w:val="0"/>
                <w:sz w:val="24"/>
              </w:rPr>
              <w:t>用户需求书响应程度</w:t>
            </w:r>
          </w:p>
        </w:tc>
        <w:tc>
          <w:tcPr>
            <w:tcW w:w="5813" w:type="dxa"/>
            <w:noWrap/>
            <w:vAlign w:val="center"/>
          </w:tcPr>
          <w:p>
            <w:pPr>
              <w:widowControl/>
              <w:jc w:val="left"/>
              <w:rPr>
                <w:rFonts w:ascii="宋体" w:hAnsi="宋体" w:cs="宋体"/>
                <w:kern w:val="0"/>
                <w:sz w:val="24"/>
              </w:rPr>
            </w:pPr>
            <w:r>
              <w:rPr>
                <w:rFonts w:hint="eastAsia" w:ascii="宋体" w:hAnsi="宋体" w:cs="宋体"/>
                <w:kern w:val="0"/>
                <w:sz w:val="24"/>
              </w:rPr>
              <w:t xml:space="preserve">根据投标人对用户需求书的响应情况进行评分，标有“▲”号的重要条款，每负偏离或不响应一项的扣2分；本小项扣至0分为止。 </w:t>
            </w:r>
          </w:p>
          <w:p>
            <w:pPr>
              <w:widowControl/>
              <w:spacing w:line="360" w:lineRule="auto"/>
              <w:jc w:val="left"/>
              <w:rPr>
                <w:rFonts w:ascii="宋体" w:hAnsi="宋体" w:cs="宋体"/>
                <w:kern w:val="0"/>
                <w:sz w:val="24"/>
              </w:rPr>
            </w:pPr>
            <w:r>
              <w:rPr>
                <w:rFonts w:hint="eastAsia" w:ascii="宋体" w:hAnsi="宋体" w:cs="宋体"/>
                <w:kern w:val="0"/>
                <w:sz w:val="24"/>
              </w:rPr>
              <w:t>注：如要求提供相关证明材料的，要按要求提供，否则视为负偏离。</w:t>
            </w:r>
          </w:p>
        </w:tc>
        <w:tc>
          <w:tcPr>
            <w:tcW w:w="1016" w:type="dxa"/>
            <w:noWrap/>
            <w:vAlign w:val="center"/>
          </w:tcPr>
          <w:p>
            <w:pPr>
              <w:widowControl/>
              <w:jc w:val="center"/>
              <w:rPr>
                <w:rFonts w:ascii="宋体" w:hAnsi="宋体" w:cs="宋体"/>
                <w:kern w:val="0"/>
                <w:sz w:val="24"/>
              </w:rPr>
            </w:pPr>
            <w:r>
              <w:rPr>
                <w:rFonts w:hint="eastAsia" w:ascii="宋体" w:hAnsi="宋体" w:cs="宋体"/>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698" w:type="dxa"/>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438" w:type="dxa"/>
            <w:noWrap/>
            <w:vAlign w:val="center"/>
          </w:tcPr>
          <w:p>
            <w:pPr>
              <w:widowControl/>
              <w:jc w:val="center"/>
              <w:rPr>
                <w:rFonts w:ascii="宋体" w:hAnsi="宋体" w:cs="宋体"/>
                <w:kern w:val="0"/>
                <w:sz w:val="24"/>
              </w:rPr>
            </w:pPr>
            <w:r>
              <w:rPr>
                <w:rFonts w:hint="eastAsia" w:ascii="宋体" w:hAnsi="宋体" w:cs="宋体"/>
                <w:kern w:val="0"/>
                <w:sz w:val="24"/>
              </w:rPr>
              <w:t>同类业绩</w:t>
            </w:r>
          </w:p>
        </w:tc>
        <w:tc>
          <w:tcPr>
            <w:tcW w:w="5813" w:type="dxa"/>
            <w:noWrap/>
            <w:vAlign w:val="center"/>
          </w:tcPr>
          <w:p>
            <w:pPr>
              <w:widowControl/>
              <w:spacing w:line="360" w:lineRule="auto"/>
              <w:jc w:val="left"/>
              <w:rPr>
                <w:rFonts w:ascii="宋体" w:hAnsi="宋体" w:cs="宋体"/>
                <w:sz w:val="24"/>
              </w:rPr>
            </w:pPr>
            <w:r>
              <w:rPr>
                <w:rFonts w:hint="eastAsia" w:ascii="宋体" w:hAnsi="宋体" w:cs="宋体"/>
                <w:sz w:val="24"/>
              </w:rPr>
              <w:t>根据投标人完成的同类物业管理项目业绩进行评审，每提供一个同类业绩得5分，最高得15分。</w:t>
            </w:r>
          </w:p>
          <w:p>
            <w:pPr>
              <w:widowControl/>
              <w:spacing w:line="360" w:lineRule="auto"/>
              <w:jc w:val="left"/>
              <w:rPr>
                <w:rFonts w:ascii="宋体" w:hAnsi="宋体" w:cs="宋体"/>
                <w:sz w:val="24"/>
              </w:rPr>
            </w:pPr>
            <w:r>
              <w:rPr>
                <w:rFonts w:hint="eastAsia" w:ascii="宋体" w:hAnsi="宋体" w:cs="宋体"/>
                <w:sz w:val="24"/>
              </w:rPr>
              <w:t>注：须提供合同关键页复印件（包括但不限于合同服务内容页、合同签章页）作为评审依据，证明材料资料不全无法确定为同类项目业绩的，不予认可。没有提供的不得分。</w:t>
            </w:r>
          </w:p>
        </w:tc>
        <w:tc>
          <w:tcPr>
            <w:tcW w:w="1016" w:type="dxa"/>
            <w:noWrap/>
            <w:vAlign w:val="center"/>
          </w:tcPr>
          <w:p>
            <w:pPr>
              <w:widowControl/>
              <w:jc w:val="center"/>
              <w:rPr>
                <w:rFonts w:ascii="宋体" w:hAnsi="宋体" w:cs="宋体"/>
                <w:kern w:val="0"/>
                <w:sz w:val="24"/>
              </w:rPr>
            </w:pPr>
            <w:r>
              <w:rPr>
                <w:rFonts w:hint="eastAsia" w:ascii="宋体" w:hAnsi="宋体" w:cs="宋体"/>
                <w:kern w:val="0"/>
                <w:sz w:val="24"/>
              </w:rPr>
              <w:t>15</w:t>
            </w:r>
          </w:p>
        </w:tc>
      </w:tr>
    </w:tbl>
    <w:p>
      <w:pPr>
        <w:rPr>
          <w:b/>
          <w:sz w:val="24"/>
        </w:rPr>
      </w:pPr>
    </w:p>
    <w:p>
      <w:pPr>
        <w:rPr>
          <w:b/>
          <w:sz w:val="24"/>
        </w:rPr>
      </w:pPr>
    </w:p>
    <w:p>
      <w:pPr>
        <w:rPr>
          <w:rFonts w:ascii="宋体" w:hAnsi="宋体"/>
          <w:b/>
          <w:sz w:val="24"/>
        </w:rPr>
      </w:pPr>
      <w:r>
        <w:rPr>
          <w:rFonts w:hint="eastAsia" w:ascii="宋体" w:hAnsi="宋体"/>
          <w:b/>
          <w:sz w:val="24"/>
        </w:rPr>
        <w:br w:type="page"/>
      </w:r>
    </w:p>
    <w:p>
      <w:pPr>
        <w:outlineLvl w:val="0"/>
        <w:rPr>
          <w:rFonts w:ascii="宋体" w:hAnsi="宋体"/>
          <w:b/>
          <w:sz w:val="24"/>
        </w:rPr>
      </w:pPr>
      <w:bookmarkStart w:id="639" w:name="_Toc13557"/>
      <w:r>
        <w:rPr>
          <w:rFonts w:hint="eastAsia" w:ascii="宋体" w:hAnsi="宋体"/>
          <w:b/>
          <w:sz w:val="24"/>
        </w:rPr>
        <w:t>附件5</w:t>
      </w:r>
      <w:bookmarkEnd w:id="639"/>
    </w:p>
    <w:p>
      <w:pPr>
        <w:jc w:val="center"/>
        <w:outlineLvl w:val="0"/>
        <w:rPr>
          <w:rFonts w:ascii="宋体" w:hAnsi="宋体"/>
        </w:rPr>
      </w:pPr>
      <w:bookmarkStart w:id="640" w:name="_Toc1909"/>
      <w:r>
        <w:rPr>
          <w:rFonts w:hint="eastAsia" w:ascii="宋体" w:hAnsi="宋体"/>
          <w:b/>
          <w:sz w:val="24"/>
        </w:rPr>
        <w:t>价格响应性评审表</w:t>
      </w:r>
      <w:bookmarkEnd w:id="640"/>
    </w:p>
    <w:p>
      <w:pPr>
        <w:spacing w:line="360" w:lineRule="auto"/>
        <w:rPr>
          <w:rFonts w:ascii="宋体" w:hAnsi="宋体"/>
          <w:bCs/>
          <w:sz w:val="24"/>
        </w:rPr>
      </w:pPr>
      <w:r>
        <w:rPr>
          <w:rFonts w:hint="eastAsia" w:ascii="宋体" w:hAnsi="宋体"/>
          <w:bCs/>
          <w:sz w:val="24"/>
        </w:rPr>
        <w:t>　　　　　　　　　　　　　　　　　　　　　　</w:t>
      </w:r>
    </w:p>
    <w:tbl>
      <w:tblPr>
        <w:tblStyle w:val="21"/>
        <w:tblW w:w="9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8"/>
        <w:gridCol w:w="1892"/>
        <w:gridCol w:w="2486"/>
        <w:gridCol w:w="32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1568"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有效投标人</w:t>
            </w:r>
          </w:p>
          <w:p>
            <w:pPr>
              <w:widowControl/>
              <w:spacing w:line="360" w:lineRule="auto"/>
              <w:jc w:val="center"/>
              <w:rPr>
                <w:rFonts w:ascii="宋体" w:hAnsi="宋体" w:cs="宋体"/>
                <w:kern w:val="0"/>
                <w:szCs w:val="21"/>
              </w:rPr>
            </w:pPr>
            <w:r>
              <w:rPr>
                <w:rFonts w:hint="eastAsia" w:ascii="宋体" w:hAnsi="宋体" w:cs="宋体"/>
                <w:kern w:val="0"/>
                <w:szCs w:val="21"/>
              </w:rPr>
              <w:t>序号及简称</w:t>
            </w:r>
          </w:p>
        </w:tc>
        <w:tc>
          <w:tcPr>
            <w:tcW w:w="437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评审分项</w:t>
            </w:r>
          </w:p>
        </w:tc>
        <w:tc>
          <w:tcPr>
            <w:tcW w:w="327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1568" w:type="dxa"/>
            <w:vMerge w:val="continue"/>
            <w:tcBorders>
              <w:left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Cs w:val="21"/>
              </w:rPr>
            </w:pPr>
            <w:r>
              <w:rPr>
                <w:rFonts w:hint="eastAsia" w:ascii="宋体" w:hAnsi="宋体" w:cs="宋体"/>
                <w:kern w:val="0"/>
                <w:szCs w:val="21"/>
              </w:rPr>
              <w:t>投标报价</w:t>
            </w: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Cs w:val="21"/>
              </w:rPr>
            </w:pPr>
            <w:r>
              <w:rPr>
                <w:rFonts w:hint="eastAsia" w:ascii="宋体" w:hAnsi="宋体" w:cs="宋体"/>
                <w:kern w:val="0"/>
                <w:szCs w:val="21"/>
              </w:rPr>
              <w:t>评标基准价</w:t>
            </w:r>
          </w:p>
        </w:tc>
        <w:tc>
          <w:tcPr>
            <w:tcW w:w="3273"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Cs w:val="21"/>
              </w:rPr>
            </w:pPr>
            <w:r>
              <w:rPr>
                <w:rFonts w:hint="eastAsia" w:ascii="宋体" w:hAnsi="宋体" w:cs="宋体"/>
                <w:kern w:val="0"/>
                <w:szCs w:val="21"/>
              </w:rPr>
              <w:t>经评审的投标报价</w:t>
            </w: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Cs w:val="21"/>
              </w:rPr>
            </w:pPr>
            <w:r>
              <w:rPr>
                <w:rFonts w:hint="eastAsia" w:ascii="宋体" w:hAnsi="宋体" w:cs="宋体"/>
                <w:kern w:val="0"/>
                <w:szCs w:val="21"/>
              </w:rPr>
              <w:t>基准价</w:t>
            </w:r>
            <w:r>
              <w:rPr>
                <w:rFonts w:ascii="宋体" w:hAnsi="宋体" w:cs="宋体"/>
                <w:kern w:val="0"/>
                <w:szCs w:val="21"/>
              </w:rPr>
              <w:t>=</w:t>
            </w:r>
            <w:r>
              <w:rPr>
                <w:rFonts w:hint="eastAsia" w:ascii="宋体" w:hAnsi="宋体" w:cs="宋体"/>
                <w:kern w:val="0"/>
                <w:szCs w:val="21"/>
              </w:rPr>
              <w:t>所有有效投标人评标价最低价</w:t>
            </w: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Cs w:val="21"/>
              </w:rPr>
            </w:pPr>
            <w:r>
              <w:rPr>
                <w:rFonts w:hint="eastAsia" w:ascii="宋体" w:hAnsi="宋体" w:cs="宋体"/>
                <w:kern w:val="0"/>
                <w:szCs w:val="21"/>
              </w:rPr>
              <w:t>价格得分</w:t>
            </w:r>
            <w:r>
              <w:rPr>
                <w:rFonts w:ascii="宋体" w:hAnsi="宋体" w:cs="宋体"/>
                <w:kern w:val="0"/>
                <w:szCs w:val="21"/>
              </w:rPr>
              <w:t>=</w:t>
            </w:r>
            <w:r>
              <w:rPr>
                <w:rFonts w:hint="eastAsia" w:ascii="宋体" w:hAnsi="宋体" w:cs="宋体"/>
                <w:kern w:val="0"/>
                <w:szCs w:val="21"/>
              </w:rPr>
              <w:t>（评标基准价÷投标报价）×价格部分权重×100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 w:val="24"/>
              </w:rPr>
            </w:pP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 w:val="24"/>
              </w:rPr>
            </w:pP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 w:val="24"/>
              </w:rPr>
            </w:pP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 w:val="24"/>
              </w:rPr>
            </w:pP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0"/>
                <w:szCs w:val="20"/>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 w:val="20"/>
                <w:szCs w:val="20"/>
              </w:rPr>
            </w:pP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 w:val="20"/>
                <w:szCs w:val="20"/>
              </w:rPr>
            </w:pP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0"/>
                <w:szCs w:val="20"/>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 w:val="20"/>
                <w:szCs w:val="20"/>
              </w:rPr>
            </w:pP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 w:val="20"/>
                <w:szCs w:val="20"/>
              </w:rPr>
            </w:pP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0"/>
                <w:szCs w:val="20"/>
              </w:rPr>
            </w:pP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 w:val="20"/>
                <w:szCs w:val="20"/>
              </w:rPr>
            </w:pPr>
          </w:p>
        </w:tc>
        <w:tc>
          <w:tcPr>
            <w:tcW w:w="24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 w:val="20"/>
                <w:szCs w:val="20"/>
              </w:rPr>
            </w:pPr>
          </w:p>
        </w:tc>
        <w:tc>
          <w:tcPr>
            <w:tcW w:w="327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kern w:val="0"/>
                <w:sz w:val="20"/>
                <w:szCs w:val="20"/>
              </w:rPr>
            </w:pPr>
          </w:p>
        </w:tc>
      </w:tr>
    </w:tbl>
    <w:p>
      <w:pPr>
        <w:spacing w:line="440" w:lineRule="exact"/>
        <w:ind w:left="1" w:firstLine="457" w:firstLineChars="218"/>
        <w:rPr>
          <w:rFonts w:ascii="宋体" w:hAnsi="宋体"/>
          <w:bCs/>
          <w:sz w:val="24"/>
        </w:rPr>
      </w:pPr>
      <w:r>
        <w:rPr>
          <w:rFonts w:hint="eastAsia" w:ascii="宋体" w:hAnsi="宋体"/>
          <w:szCs w:val="21"/>
        </w:rPr>
        <w:t>如符合评标办法中“小型和微型企业产品价格扣除”规定的，则按扣除之后的价格作为评标价。</w:t>
      </w:r>
    </w:p>
    <w:p>
      <w:pPr>
        <w:pStyle w:val="3"/>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ì.">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Futura-Heavy">
    <w:altName w:val="Courier New"/>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1"/>
      </w:pBd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1"/>
      </w:pBdr>
      <w:ind w:right="360"/>
    </w:pPr>
    <w:r>
      <w:pict>
        <v:shape id="_x0000_s1037" o:spid="_x0000_s1037"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r>
      <w:rPr>
        <w:rFonts w:hint="eastAsia" w:ascii="宋体" w:hAnsi="宋体"/>
      </w:rPr>
      <w:t>国家税务总局阳江高新技术产业开发区税务局物业管理服务项目</w:t>
    </w:r>
  </w:p>
  <w:p>
    <w:pPr>
      <w:pStyle w:val="13"/>
      <w:jc w:val="both"/>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38" o:spid="_x0000_s1038"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81</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1"/>
      </w:pBdr>
      <w:ind w:right="360"/>
    </w:pPr>
    <w:r>
      <w:pict>
        <v:shape id="_x0000_s1039" o:spid="_x0000_s1039"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r>
      <w:pict>
        <v:shape id="_x0000_s1029" o:spid="_x0000_s1029" o:spt="202" type="#_x0000_t202" style="position:absolute;left:0pt;margin-left:512pt;margin-top:-248.45pt;height:144pt;width:144pt;mso-position-horizontal-relative:margin;mso-wrap-style:none;z-index:251667456;mso-width-relative:page;mso-height-relative:page;" filled="f" stroked="f" coordsize="21600,21600" o:gfxdata="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cRU+jaAAAADwEAAA8AAAAAAAAAAQAgAAAAIgAAAGRycy9kb3ducmV2LnhtbFBL&#10;AQIUABQAAAAIAIdO4kDKhIR/LQIAAFcEAAAOAAAAAAAAAAEAIAAAACkBAABkcnMvZTJvRG9jLnht&#10;bFBLBQYAAAAABgAGAFkBAADIBQAAAAA=&#10;">
          <v:path/>
          <v:fill on="f" focussize="0,0"/>
          <v:stroke on="f" weight="0.5pt" joinstyle="miter"/>
          <v:imagedata o:title=""/>
          <o:lock v:ext="edit"/>
          <v:textbox inset="0mm,0mm,0mm,0mm" style="mso-fit-shape-to-text:t;">
            <w:txbxContent>
              <w:p/>
            </w:txbxContent>
          </v:textbox>
        </v:shape>
      </w:pict>
    </w:r>
    <w:r>
      <w:rPr>
        <w:rFonts w:hint="eastAsia" w:ascii="宋体" w:hAnsi="宋体"/>
      </w:rPr>
      <w:t>国家税务总局阳江高新技术产业开发区税务局物业管理服务项目</w:t>
    </w:r>
  </w:p>
  <w:p>
    <w:pPr>
      <w:ind w:right="360"/>
      <w:rPr>
        <w:rFonts w:ascii="宋体" w:hAnsi="宋体"/>
        <w:szCs w:val="18"/>
      </w:rPr>
    </w:pPr>
  </w:p>
  <w:p>
    <w:pPr>
      <w:pStyle w:val="13"/>
      <w:jc w:val="both"/>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18"/>
      </w:rPr>
      <w:pict>
        <v:shape id="_x0000_s1040" o:spid="_x0000_s1040"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82</w:t>
                </w:r>
                <w:r>
                  <w:fldChar w:fldCharType="end"/>
                </w:r>
              </w:p>
            </w:txbxContent>
          </v:textbox>
        </v:shape>
      </w:pict>
    </w:r>
    <w:r>
      <w:rPr>
        <w:sz w:val="18"/>
      </w:rPr>
      <w:pict>
        <v:shape id="_x0000_s1026" o:spid="_x0000_s1026" o:spt="202" type="#_x0000_t202" style="position:absolute;left:0pt;margin-top:0pt;height:10.5pt;width:12.85pt;mso-position-horizontal:right;mso-position-horizontal-relative:margin;z-index:251676672;mso-width-relative:page;mso-height-relative:page;" filled="f" stroked="f" coordsize="21600,21600" o:gfxdata="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l+BIvTAAAAAwEAAA8AAAAAAAAAAQAgAAAAIgAAAGRycy9kb3ducmV2LnhtbFBLAQIU&#10;ABQAAAAIAIdO4kC9oJ3EvwEAAHEDAAAOAAAAAAAAAAEAIAAAACIBAABkcnMvZTJvRG9jLnhtbFBL&#10;BQYAAAAABgAGAFkBAABTBQAAAAA=&#10;">
          <v:path/>
          <v:fill on="f" focussize="0,0"/>
          <v:stroke on="f" weight="1.25pt" joinstyle="miter"/>
          <v:imagedata o:title=""/>
          <o:lock v:ext="edit"/>
          <v:textbox inset="0mm,0mm,0mm,0mm">
            <w:txbxContent>
              <w:p>
                <w:pPr>
                  <w:pStyle w:val="13"/>
                </w:pP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rFonts w:ascii="宋体" w:hAnsi="宋体"/>
        <w:szCs w:val="18"/>
      </w:rPr>
    </w:pPr>
    <w:r>
      <w:pict>
        <v:shape id="_x0000_s1041" o:spid="_x0000_s1041"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84</w:t>
                </w:r>
                <w:r>
                  <w:fldChar w:fldCharType="end"/>
                </w:r>
              </w:p>
            </w:txbxContent>
          </v:textbox>
        </v:shape>
      </w:pict>
    </w:r>
  </w:p>
  <w:p>
    <w:pPr>
      <w:pStyle w:val="13"/>
      <w:jc w:val="both"/>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18"/>
      </w:rPr>
      <w:pict>
        <v:shape id="_x0000_s1042" o:spid="_x0000_s1042"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83</w:t>
                </w:r>
                <w:r>
                  <w:fldChar w:fldCharType="end"/>
                </w:r>
              </w:p>
            </w:txbxContent>
          </v:textbox>
        </v:shape>
      </w:pict>
    </w:r>
    <w:r>
      <w:rPr>
        <w:sz w:val="18"/>
      </w:rPr>
      <w:pict>
        <v:shape id="_x0000_s1030" o:spid="_x0000_s1030" o:spt="202" type="#_x0000_t202" style="position:absolute;left:0pt;margin-top:0pt;height:10.5pt;width:12.85pt;mso-position-horizontal:right;mso-position-horizontal-relative:margin;z-index:251670528;mso-width-relative:page;mso-height-relative:page;" filled="f" stroked="f" coordsize="21600,21600" o:gfxdata="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X4Ei9MAAAADAQAADwAAAAAAAAABACAAAAAiAAAAZHJzL2Rvd25yZXYueG1sUEsBAhQA&#10;FAAAAAgAh07iQBbBHAm+AQAAcQMAAA4AAAAAAAAAAQAgAAAAIgEAAGRycy9lMm9Eb2MueG1sUEsF&#10;BgAAAAAGAAYAWQEAAFIFAAAAAA==&#10;">
          <v:path/>
          <v:fill on="f" focussize="0,0"/>
          <v:stroke on="f" weight="1.25pt" joinstyle="miter"/>
          <v:imagedata o:title=""/>
          <o:lock v:ext="edit"/>
          <v:textbox inset="0mm,0mm,0mm,0mm">
            <w:txbxContent>
              <w:p>
                <w:pPr>
                  <w:pStyle w:val="13"/>
                </w:pP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43" o:spid="_x0000_s1043"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92</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Lines="125"/>
      <w:ind w:right="61" w:rightChars="29" w:firstLine="13379" w:firstLineChars="7433"/>
    </w:pPr>
    <w:r>
      <w:pict>
        <v:shape id="_x0000_s1028" o:spid="_x0000_s1028" o:spt="202" type="#_x0000_t202" style="position:absolute;left:0pt;margin-left:608.65pt;margin-top:-248.45pt;height:144pt;width:144pt;mso-position-horizontal-relative:margin;mso-wrap-style:none;z-index:251678720;mso-width-relative:page;mso-height-relative:page;" filled="f" stroked="f" coordsize="21600,21600" o:gfxdata="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Z3B9NoAAAAPAQAADwAAAAAAAAABACAAAAAiAAAAZHJzL2Rvd25yZXYueG1sUEsB&#10;AhQAFAAAAAgAh07iQCsGHkMsAgAAVwQAAA4AAAAAAAAAAQAgAAAAKQEAAGRycy9lMm9Eb2MueG1s&#10;UEsFBgAAAAAGAAYAWQEAAMcFAAAAAA==&#10;">
          <v:path/>
          <v:fill on="f" focussize="0,0"/>
          <v:stroke on="f" weight="0.5pt" joinstyle="miter"/>
          <v:imagedata o:title=""/>
          <o:lock v:ext="edit"/>
          <v:textbox inset="0mm,0mm,0mm,0mm" style="mso-fit-shape-to-text:t;">
            <w:txbxContent>
              <w:p/>
            </w:txbxContent>
          </v:textbox>
        </v:shape>
      </w:pict>
    </w:r>
    <w:r>
      <w:fldChar w:fldCharType="begin"/>
    </w:r>
    <w:r>
      <w:instrText xml:space="preserve"> PAGE  \* MERGEFORMAT </w:instrText>
    </w:r>
    <w:r>
      <w:fldChar w:fldCharType="separate"/>
    </w:r>
    <w:r>
      <w:rPr>
        <w:rFonts w:hint="eastAsia"/>
      </w:rPr>
      <w:t>41</w:t>
    </w:r>
    <w:r>
      <w:rPr>
        <w:rFonts w:hint="eastAsia"/>
      </w:rPr>
      <w:fldChar w:fldCharType="end"/>
    </w:r>
  </w:p>
  <w:p>
    <w:pPr>
      <w:ind w:right="360"/>
      <w:rPr>
        <w:rFonts w:ascii="宋体" w:hAnsi="宋体"/>
        <w:szCs w:val="18"/>
      </w:rPr>
    </w:pPr>
  </w:p>
  <w:p>
    <w:pPr>
      <w:pStyle w:val="13"/>
      <w:pBdr>
        <w:top w:val="single" w:color="auto" w:sz="4" w:space="1"/>
      </w:pBdr>
      <w:ind w:right="360"/>
    </w:pPr>
    <w:r>
      <w:rPr>
        <w:rFonts w:hint="eastAsia" w:ascii="宋体" w:hAnsi="宋体"/>
      </w:rPr>
      <w:t>项目名称：项目名称：国家税务总局阳江高新技术产业开发区税务局物业管理服务项目</w:t>
    </w:r>
  </w:p>
  <w:p>
    <w:pPr>
      <w:ind w:right="360"/>
    </w:pPr>
    <w:r>
      <w:rPr>
        <w:sz w:val="18"/>
      </w:rPr>
      <w:pict>
        <v:shape id="_x0000_s1027" o:spid="_x0000_s1027" o:spt="202" type="#_x0000_t202" style="position:absolute;left:0pt;margin-top:0pt;height:10.5pt;width:12.85pt;mso-position-horizontal:right;mso-position-horizontal-relative:margin;z-index:251677696;mso-width-relative:page;mso-height-relative:page;" filled="f" stroked="f" coordsize="21600,21600" o:gfxdata="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X4Ei9MAAAADAQAADwAAAAAAAAABACAAAAAiAAAAZHJzL2Rvd25yZXYueG1sUEsBAhQA&#10;FAAAAAgAh07iQPo2aZO+AQAAcQMAAA4AAAAAAAAAAQAgAAAAIgEAAGRycy9lMm9Eb2MueG1sUEsF&#10;BgAAAAAGAAYAWQEAAFIFAAAAAA==&#10;">
          <v:path/>
          <v:fill on="f" focussize="0,0"/>
          <v:stroke on="f" weight="1.25pt" joinstyle="miter"/>
          <v:imagedata o:title=""/>
          <o:lock v:ext="edit"/>
          <v:textbox inset="0mm,0mm,0mm,0mm">
            <w:txbxContent>
              <w:p>
                <w:pPr>
                  <w:pStyle w:val="13"/>
                </w:pP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44" o:spid="_x0000_s1044"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108</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18"/>
      </w:rPr>
      <w:pict>
        <v:shape id="_x0000_s1045" o:spid="_x0000_s1045"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93</w:t>
                </w:r>
                <w:r>
                  <w:fldChar w:fldCharType="end"/>
                </w:r>
              </w:p>
            </w:txbxContent>
          </v:textbox>
        </v:shape>
      </w:pict>
    </w:r>
    <w:r>
      <w:rPr>
        <w:sz w:val="18"/>
      </w:rPr>
      <w:pict>
        <v:shape id="_x0000_s1031" o:spid="_x0000_s1031" o:spt="202" type="#_x0000_t202" style="position:absolute;left:0pt;margin-top:0pt;height:10.5pt;width:12.85pt;mso-position-horizontal:right;mso-position-horizontal-relative:margin;z-index:251674624;mso-width-relative:page;mso-height-relative:page;" filled="f" stroked="f" coordsize="21600,21600" o:gfxdata="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X4Ei9MAAAADAQAADwAAAAAAAAABACAAAAAiAAAAZHJzL2Rvd25yZXYueG1sUEsBAhQA&#10;FAAAAAgAh07iQDoWttS+AQAAcQMAAA4AAAAAAAAAAQAgAAAAIgEAAGRycy9lMm9Eb2MueG1sUEsF&#10;BgAAAAAGAAYAWQEAAFIFAAAAAA==&#10;">
          <v:path/>
          <v:fill on="f" focussize="0,0"/>
          <v:stroke on="f" weight="1.25pt" joinstyle="miter"/>
          <v:imagedata o:title=""/>
          <o:lock v:ext="edit"/>
          <v:textbox inset="0mm,0mm,0mm,0mm">
            <w:txbxContent>
              <w:p>
                <w:pPr>
                  <w:pStyle w:val="13"/>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1"/>
      </w:pBdr>
      <w:ind w:right="360"/>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1"/>
      </w:pBdr>
      <w:tabs>
        <w:tab w:val="right" w:pos="9752"/>
        <w:tab w:val="clear" w:pos="4153"/>
      </w:tabs>
      <w:ind w:right="360"/>
      <w:rPr>
        <w:sz w:val="16"/>
      </w:rPr>
    </w:pPr>
    <w:r>
      <w:rPr>
        <w:sz w:val="16"/>
        <w:szCs w:val="20"/>
      </w:rPr>
      <w:pict>
        <v:shape id="_x0000_s1032" o:spid="_x0000_s1032"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5</w:t>
                </w:r>
                <w:r>
                  <w:fldChar w:fldCharType="end"/>
                </w:r>
              </w:p>
            </w:txbxContent>
          </v:textbox>
        </v:shape>
      </w:pict>
    </w:r>
    <w:r>
      <w:rPr>
        <w:rFonts w:hint="eastAsia"/>
        <w:sz w:val="16"/>
      </w:rPr>
      <w:tab/>
    </w:r>
    <w:r>
      <w:rPr>
        <w:rFonts w:hint="eastAsia"/>
        <w:sz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33" o:spid="_x0000_s1033"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73</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34" o:spid="_x0000_s1034"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62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1035" o:spid="_x0000_s1035"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80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18"/>
      </w:rPr>
      <w:pict>
        <v:shape id="_x0000_s1036" o:spid="_x0000_s103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74</w:t>
                </w:r>
                <w:r>
                  <w:fldChar w:fldCharType="end"/>
                </w:r>
              </w:p>
            </w:txbxContent>
          </v:textbox>
        </v:shape>
      </w:pict>
    </w:r>
    <w:r>
      <w:rPr>
        <w:sz w:val="18"/>
      </w:rPr>
      <w:pict>
        <v:shape id="_x0000_s1025" o:spid="_x0000_s1025" o:spt="202" type="#_x0000_t202" style="position:absolute;left:0pt;margin-top:0pt;height:10.5pt;width:12.85pt;mso-position-horizontal:right;mso-position-horizontal-relative:margin;z-index:251675648;mso-width-relative:page;mso-height-relative:page;" filled="f" stroked="f" coordsize="21600,21600" o:gfxdata="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fgSL0wAAAAMBAAAPAAAAAAAAAAEAIAAAACIAAABkcnMvZG93bnJldi54bWxQSwECFAAU&#10;AAAACACHTuJA7ntw5L0BAABvAwAADgAAAAAAAAABACAAAAAiAQAAZHJzL2Uyb0RvYy54bWxQSwUG&#10;AAAAAAYABgBZAQAAUQUAAAAA&#10;">
          <v:path/>
          <v:fill on="f" focussize="0,0"/>
          <v:stroke on="f" weight="1.25pt" joinstyle="miter"/>
          <v:imagedata o:title=""/>
          <o:lock v:ext="edit"/>
          <v:textbox inset="0mm,0mm,0mm,0mm">
            <w:txbxContent>
              <w:p>
                <w:pPr>
                  <w:pStyle w:val="13"/>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tabs>
        <w:tab w:val="clear" w:pos="4153"/>
        <w:tab w:val="clear" w:pos="8306"/>
      </w:tabs>
      <w:jc w:val="right"/>
    </w:pPr>
    <w:r>
      <w:rPr>
        <w:rFonts w:hint="eastAsia" w:ascii="宋体" w:hAnsi="宋体"/>
      </w:rPr>
      <w:t>YJGD-20231017-011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8EDA0"/>
    <w:multiLevelType w:val="singleLevel"/>
    <w:tmpl w:val="C858EDA0"/>
    <w:lvl w:ilvl="0" w:tentative="0">
      <w:start w:val="1"/>
      <w:numFmt w:val="decimal"/>
      <w:suff w:val="nothing"/>
      <w:lvlText w:val="%1、"/>
      <w:lvlJc w:val="left"/>
      <w:pPr>
        <w:ind w:left="0" w:firstLine="403"/>
      </w:pPr>
      <w:rPr>
        <w:rFonts w:hint="default"/>
      </w:rPr>
    </w:lvl>
  </w:abstractNum>
  <w:abstractNum w:abstractNumId="1">
    <w:nsid w:val="CA5BEB08"/>
    <w:multiLevelType w:val="singleLevel"/>
    <w:tmpl w:val="CA5BEB08"/>
    <w:lvl w:ilvl="0" w:tentative="0">
      <w:start w:val="1"/>
      <w:numFmt w:val="chineseCounting"/>
      <w:suff w:val="nothing"/>
      <w:lvlText w:val="（%1）"/>
      <w:lvlJc w:val="left"/>
      <w:pPr>
        <w:ind w:left="0" w:firstLine="420"/>
      </w:pPr>
      <w:rPr>
        <w:rFonts w:hint="eastAsia"/>
      </w:rPr>
    </w:lvl>
  </w:abstractNum>
  <w:abstractNum w:abstractNumId="2">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3">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4">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5">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6">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7">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9">
    <w:nsid w:val="00000026"/>
    <w:multiLevelType w:val="singleLevel"/>
    <w:tmpl w:val="00000026"/>
    <w:lvl w:ilvl="0" w:tentative="0">
      <w:start w:val="1"/>
      <w:numFmt w:val="decimal"/>
      <w:pStyle w:val="45"/>
      <w:lvlText w:val="%1."/>
      <w:lvlJc w:val="left"/>
      <w:pPr>
        <w:tabs>
          <w:tab w:val="left" w:pos="360"/>
        </w:tabs>
        <w:ind w:left="360" w:hanging="360"/>
      </w:pPr>
    </w:lvl>
  </w:abstractNum>
  <w:abstractNum w:abstractNumId="10">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eastAsia" w:ascii="宋体" w:hAnsi="宋体" w:eastAsia="宋体" w:cs="Times New Roman"/>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1">
    <w:nsid w:val="00000033"/>
    <w:multiLevelType w:val="multilevel"/>
    <w:tmpl w:val="00000033"/>
    <w:lvl w:ilvl="0" w:tentative="0">
      <w:start w:val="1"/>
      <w:numFmt w:val="decimal"/>
      <w:suff w:val="nothing"/>
      <w:lvlText w:val="%1、"/>
      <w:lvlJc w:val="left"/>
      <w:pPr>
        <w:ind w:left="644"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34"/>
    <w:multiLevelType w:val="multilevel"/>
    <w:tmpl w:val="00000034"/>
    <w:lvl w:ilvl="0" w:tentative="0">
      <w:start w:val="1"/>
      <w:numFmt w:val="decimal"/>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13">
    <w:nsid w:val="13914F62"/>
    <w:multiLevelType w:val="multilevel"/>
    <w:tmpl w:val="13914F62"/>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4">
    <w:nsid w:val="1E4168EF"/>
    <w:multiLevelType w:val="multilevel"/>
    <w:tmpl w:val="1E4168EF"/>
    <w:lvl w:ilvl="0" w:tentative="0">
      <w:start w:val="1"/>
      <w:numFmt w:val="decimal"/>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suff w:val="space"/>
      <w:lvlText w:val="%6."/>
      <w:lvlJc w:val="left"/>
      <w:pPr>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5">
    <w:nsid w:val="32204E43"/>
    <w:multiLevelType w:val="singleLevel"/>
    <w:tmpl w:val="32204E43"/>
    <w:lvl w:ilvl="0" w:tentative="0">
      <w:start w:val="3"/>
      <w:numFmt w:val="chineseCounting"/>
      <w:suff w:val="nothing"/>
      <w:lvlText w:val="%1、"/>
      <w:lvlJc w:val="left"/>
      <w:rPr>
        <w:rFonts w:hint="eastAsia"/>
      </w:rPr>
    </w:lvl>
  </w:abstractNum>
  <w:abstractNum w:abstractNumId="16">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7">
    <w:nsid w:val="54A660D7"/>
    <w:multiLevelType w:val="singleLevel"/>
    <w:tmpl w:val="54A660D7"/>
    <w:lvl w:ilvl="0" w:tentative="0">
      <w:start w:val="1"/>
      <w:numFmt w:val="chineseCounting"/>
      <w:suff w:val="nothing"/>
      <w:lvlText w:val="（%1）"/>
      <w:lvlJc w:val="left"/>
      <w:pPr>
        <w:ind w:left="0" w:firstLine="420"/>
      </w:pPr>
      <w:rPr>
        <w:rFonts w:hint="eastAsia"/>
      </w:rPr>
    </w:lvl>
  </w:abstractNum>
  <w:abstractNum w:abstractNumId="18">
    <w:nsid w:val="59DDFFAA"/>
    <w:multiLevelType w:val="singleLevel"/>
    <w:tmpl w:val="59DDFFAA"/>
    <w:lvl w:ilvl="0" w:tentative="0">
      <w:start w:val="1"/>
      <w:numFmt w:val="decimal"/>
      <w:suff w:val="nothing"/>
      <w:lvlText w:val="（%1）"/>
      <w:lvlJc w:val="left"/>
    </w:lvl>
  </w:abstractNum>
  <w:abstractNum w:abstractNumId="19">
    <w:nsid w:val="59DE067F"/>
    <w:multiLevelType w:val="singleLevel"/>
    <w:tmpl w:val="59DE067F"/>
    <w:lvl w:ilvl="0" w:tentative="0">
      <w:start w:val="2"/>
      <w:numFmt w:val="decimal"/>
      <w:suff w:val="nothing"/>
      <w:lvlText w:val="%1）"/>
      <w:lvlJc w:val="left"/>
    </w:lvl>
  </w:abstractNum>
  <w:abstractNum w:abstractNumId="20">
    <w:nsid w:val="5EF501E3"/>
    <w:multiLevelType w:val="singleLevel"/>
    <w:tmpl w:val="5EF501E3"/>
    <w:lvl w:ilvl="0" w:tentative="0">
      <w:start w:val="1"/>
      <w:numFmt w:val="chineseCounting"/>
      <w:suff w:val="nothing"/>
      <w:lvlText w:val="（%1）"/>
      <w:lvlJc w:val="left"/>
      <w:rPr>
        <w:rFonts w:hint="eastAsia"/>
      </w:rPr>
    </w:lvl>
  </w:abstractNum>
  <w:abstractNum w:abstractNumId="21">
    <w:nsid w:val="749B2552"/>
    <w:multiLevelType w:val="singleLevel"/>
    <w:tmpl w:val="749B2552"/>
    <w:lvl w:ilvl="0" w:tentative="0">
      <w:start w:val="1"/>
      <w:numFmt w:val="decimal"/>
      <w:lvlText w:val="%1."/>
      <w:lvlJc w:val="left"/>
      <w:pPr>
        <w:tabs>
          <w:tab w:val="left" w:pos="425"/>
        </w:tabs>
        <w:ind w:left="425" w:hanging="425"/>
      </w:pPr>
      <w:rPr>
        <w:rFonts w:hint="eastAsia"/>
      </w:rPr>
    </w:lvl>
  </w:abstractNum>
  <w:abstractNum w:abstractNumId="22">
    <w:nsid w:val="7FD31AD0"/>
    <w:multiLevelType w:val="singleLevel"/>
    <w:tmpl w:val="7FD31AD0"/>
    <w:lvl w:ilvl="0" w:tentative="0">
      <w:start w:val="2"/>
      <w:numFmt w:val="decimal"/>
      <w:suff w:val="nothing"/>
      <w:lvlText w:val="%1）"/>
      <w:lvlJc w:val="left"/>
    </w:lvl>
  </w:abstractNum>
  <w:num w:numId="1">
    <w:abstractNumId w:val="9"/>
  </w:num>
  <w:num w:numId="2">
    <w:abstractNumId w:val="7"/>
  </w:num>
  <w:num w:numId="3">
    <w:abstractNumId w:val="15"/>
  </w:num>
  <w:num w:numId="4">
    <w:abstractNumId w:val="17"/>
  </w:num>
  <w:num w:numId="5">
    <w:abstractNumId w:val="10"/>
  </w:num>
  <w:num w:numId="6">
    <w:abstractNumId w:val="8"/>
  </w:num>
  <w:num w:numId="7">
    <w:abstractNumId w:val="5"/>
  </w:num>
  <w:num w:numId="8">
    <w:abstractNumId w:val="2"/>
  </w:num>
  <w:num w:numId="9">
    <w:abstractNumId w:val="3"/>
  </w:num>
  <w:num w:numId="10">
    <w:abstractNumId w:val="4"/>
  </w:num>
  <w:num w:numId="11">
    <w:abstractNumId w:val="6"/>
  </w:num>
  <w:num w:numId="12">
    <w:abstractNumId w:val="1"/>
  </w:num>
  <w:num w:numId="13">
    <w:abstractNumId w:val="20"/>
  </w:num>
  <w:num w:numId="14">
    <w:abstractNumId w:val="12"/>
  </w:num>
  <w:num w:numId="15">
    <w:abstractNumId w:val="16"/>
  </w:num>
  <w:num w:numId="16">
    <w:abstractNumId w:val="13"/>
  </w:num>
  <w:num w:numId="17">
    <w:abstractNumId w:val="11"/>
  </w:num>
  <w:num w:numId="18">
    <w:abstractNumId w:val="21"/>
  </w:num>
  <w:num w:numId="19">
    <w:abstractNumId w:val="22"/>
  </w:num>
  <w:num w:numId="20">
    <w:abstractNumId w:val="0"/>
  </w:num>
  <w:num w:numId="21">
    <w:abstractNumId w:val="14"/>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RkNDVhY2JiZWRmZmM2MjYzMmIwMDViOWE3NGRjNjcifQ=="/>
  </w:docVars>
  <w:rsids>
    <w:rsidRoot w:val="00A33E8F"/>
    <w:rsid w:val="00036204"/>
    <w:rsid w:val="00064466"/>
    <w:rsid w:val="000946FC"/>
    <w:rsid w:val="000E2D3B"/>
    <w:rsid w:val="001146F1"/>
    <w:rsid w:val="00173500"/>
    <w:rsid w:val="001C5C5D"/>
    <w:rsid w:val="002524F7"/>
    <w:rsid w:val="002815B6"/>
    <w:rsid w:val="002A6719"/>
    <w:rsid w:val="003B65D8"/>
    <w:rsid w:val="003D5EC8"/>
    <w:rsid w:val="004E291C"/>
    <w:rsid w:val="00532249"/>
    <w:rsid w:val="00585145"/>
    <w:rsid w:val="006B725F"/>
    <w:rsid w:val="006F78A3"/>
    <w:rsid w:val="007322F2"/>
    <w:rsid w:val="00762DF0"/>
    <w:rsid w:val="00810939"/>
    <w:rsid w:val="009427A4"/>
    <w:rsid w:val="00A33E8F"/>
    <w:rsid w:val="00B948FC"/>
    <w:rsid w:val="00C91367"/>
    <w:rsid w:val="00CB10CA"/>
    <w:rsid w:val="00CC2EF5"/>
    <w:rsid w:val="00CF0182"/>
    <w:rsid w:val="00D42A5E"/>
    <w:rsid w:val="00DC0CDA"/>
    <w:rsid w:val="00DD71E4"/>
    <w:rsid w:val="00EB6452"/>
    <w:rsid w:val="00ED37B8"/>
    <w:rsid w:val="00ED46FF"/>
    <w:rsid w:val="00F94AC1"/>
    <w:rsid w:val="0FFE1C96"/>
    <w:rsid w:val="12972A7D"/>
    <w:rsid w:val="2E666BF4"/>
    <w:rsid w:val="326A5DE9"/>
    <w:rsid w:val="3E4C3FFA"/>
    <w:rsid w:val="46157C97"/>
    <w:rsid w:val="48BA06B8"/>
    <w:rsid w:val="4F2129CC"/>
    <w:rsid w:val="54D61EAB"/>
    <w:rsid w:val="5A66307B"/>
    <w:rsid w:val="627604AD"/>
    <w:rsid w:val="637F7177"/>
    <w:rsid w:val="70AB6AC0"/>
    <w:rsid w:val="7C0741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0"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spacing w:line="360" w:lineRule="auto"/>
      <w:ind w:right="-441" w:rightChars="-210"/>
      <w:jc w:val="center"/>
      <w:outlineLvl w:val="0"/>
    </w:pPr>
    <w:rPr>
      <w:rFonts w:ascii="宋体" w:hAnsi="宋体"/>
      <w:b/>
      <w:bCs/>
      <w:sz w:val="48"/>
    </w:rPr>
  </w:style>
  <w:style w:type="paragraph" w:styleId="4">
    <w:name w:val="heading 2"/>
    <w:basedOn w:val="1"/>
    <w:next w:val="1"/>
    <w:link w:val="29"/>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5">
    <w:name w:val="heading 3"/>
    <w:basedOn w:val="1"/>
    <w:next w:val="1"/>
    <w:link w:val="30"/>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6">
    <w:name w:val="heading 6"/>
    <w:basedOn w:val="1"/>
    <w:next w:val="7"/>
    <w:link w:val="31"/>
    <w:qFormat/>
    <w:uiPriority w:val="0"/>
    <w:pPr>
      <w:keepNext/>
      <w:keepLines/>
      <w:spacing w:before="240" w:after="64" w:line="320" w:lineRule="auto"/>
      <w:outlineLvl w:val="5"/>
    </w:pPr>
    <w:rPr>
      <w:rFonts w:ascii="Arial" w:hAnsi="Arial" w:eastAsia="黑体"/>
      <w:b/>
      <w:sz w:val="24"/>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2"/>
    <w:qFormat/>
    <w:uiPriority w:val="0"/>
    <w:pPr>
      <w:spacing w:line="480" w:lineRule="atLeast"/>
    </w:pPr>
    <w:rPr>
      <w:rFonts w:ascii="楷体_GB2312" w:eastAsia="楷体_GB2312"/>
      <w:b/>
      <w:sz w:val="30"/>
      <w:szCs w:val="20"/>
    </w:rPr>
  </w:style>
  <w:style w:type="paragraph" w:styleId="7">
    <w:name w:val="Normal Indent"/>
    <w:basedOn w:val="1"/>
    <w:next w:val="1"/>
    <w:qFormat/>
    <w:uiPriority w:val="99"/>
    <w:pPr>
      <w:widowControl/>
      <w:ind w:firstLine="420"/>
      <w:jc w:val="left"/>
    </w:pPr>
    <w:rPr>
      <w:kern w:val="0"/>
      <w:szCs w:val="20"/>
    </w:rPr>
  </w:style>
  <w:style w:type="paragraph" w:styleId="8">
    <w:name w:val="annotation text"/>
    <w:basedOn w:val="1"/>
    <w:link w:val="59"/>
    <w:semiHidden/>
    <w:unhideWhenUsed/>
    <w:qFormat/>
    <w:uiPriority w:val="99"/>
    <w:pPr>
      <w:jc w:val="left"/>
    </w:pPr>
  </w:style>
  <w:style w:type="paragraph" w:styleId="9">
    <w:name w:val="Body Text Indent"/>
    <w:basedOn w:val="1"/>
    <w:link w:val="33"/>
    <w:qFormat/>
    <w:uiPriority w:val="0"/>
    <w:pPr>
      <w:ind w:firstLine="360"/>
    </w:pPr>
    <w:rPr>
      <w:rFonts w:ascii="Arial" w:hAnsi="Arial"/>
    </w:rPr>
  </w:style>
  <w:style w:type="paragraph" w:styleId="10">
    <w:name w:val="Plain Text"/>
    <w:basedOn w:val="1"/>
    <w:link w:val="34"/>
    <w:qFormat/>
    <w:uiPriority w:val="0"/>
    <w:rPr>
      <w:rFonts w:ascii="宋体" w:hAnsi="Courier New"/>
      <w:szCs w:val="20"/>
    </w:rPr>
  </w:style>
  <w:style w:type="paragraph" w:styleId="11">
    <w:name w:val="Body Text Indent 2"/>
    <w:basedOn w:val="1"/>
    <w:next w:val="1"/>
    <w:link w:val="35"/>
    <w:qFormat/>
    <w:uiPriority w:val="0"/>
    <w:pPr>
      <w:spacing w:after="120" w:line="480" w:lineRule="auto"/>
      <w:ind w:left="420" w:leftChars="200" w:firstLine="480" w:firstLineChars="200"/>
    </w:pPr>
    <w:rPr>
      <w:rFonts w:ascii="Calibri" w:hAnsi="Calibri"/>
      <w:sz w:val="24"/>
      <w:szCs w:val="22"/>
    </w:rPr>
  </w:style>
  <w:style w:type="paragraph" w:styleId="12">
    <w:name w:val="Balloon Text"/>
    <w:basedOn w:val="1"/>
    <w:link w:val="36"/>
    <w:qFormat/>
    <w:uiPriority w:val="0"/>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qFormat/>
    <w:uiPriority w:val="0"/>
    <w:rPr>
      <w:szCs w:val="20"/>
    </w:rPr>
  </w:style>
  <w:style w:type="paragraph" w:styleId="16">
    <w:name w:val="index 1"/>
    <w:basedOn w:val="1"/>
    <w:next w:val="1"/>
    <w:unhideWhenUsed/>
    <w:qFormat/>
    <w:uiPriority w:val="0"/>
  </w:style>
  <w:style w:type="paragraph" w:styleId="17">
    <w:name w:val="HTML Preformatted"/>
    <w:basedOn w:val="1"/>
    <w:link w:val="3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8">
    <w:name w:val="Title"/>
    <w:basedOn w:val="1"/>
    <w:link w:val="38"/>
    <w:qFormat/>
    <w:uiPriority w:val="0"/>
    <w:pPr>
      <w:spacing w:before="240" w:after="60"/>
      <w:jc w:val="center"/>
      <w:outlineLvl w:val="0"/>
    </w:pPr>
    <w:rPr>
      <w:rFonts w:ascii="Arial" w:hAnsi="Arial" w:cs="Arial"/>
      <w:b/>
      <w:bCs/>
      <w:sz w:val="32"/>
      <w:szCs w:val="32"/>
    </w:rPr>
  </w:style>
  <w:style w:type="paragraph" w:styleId="19">
    <w:name w:val="annotation subject"/>
    <w:basedOn w:val="8"/>
    <w:next w:val="8"/>
    <w:link w:val="60"/>
    <w:semiHidden/>
    <w:unhideWhenUsed/>
    <w:qFormat/>
    <w:uiPriority w:val="99"/>
    <w:rPr>
      <w:b/>
      <w:bCs/>
    </w:rPr>
  </w:style>
  <w:style w:type="paragraph" w:styleId="20">
    <w:name w:val="Body Text First Indent"/>
    <w:basedOn w:val="2"/>
    <w:link w:val="39"/>
    <w:qFormat/>
    <w:uiPriority w:val="0"/>
    <w:pPr>
      <w:ind w:firstLine="100" w:firstLineChars="100"/>
    </w:pPr>
    <w:rPr>
      <w:rFonts w:ascii="Calibri" w:hAnsi="Calibri"/>
      <w:szCs w:val="22"/>
    </w:rPr>
  </w:style>
  <w:style w:type="table" w:styleId="22">
    <w:name w:val="Table Grid"/>
    <w:basedOn w:val="2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qFormat/>
    <w:uiPriority w:val="99"/>
    <w:rPr>
      <w:rFonts w:ascii="等线" w:hAnsi="等线" w:eastAsia="等线" w:cs="等线"/>
      <w:color w:val="333333"/>
      <w:u w:val="none"/>
    </w:rPr>
  </w:style>
  <w:style w:type="character" w:styleId="25">
    <w:name w:val="annotation reference"/>
    <w:basedOn w:val="23"/>
    <w:semiHidden/>
    <w:unhideWhenUsed/>
    <w:qFormat/>
    <w:uiPriority w:val="99"/>
    <w:rPr>
      <w:sz w:val="21"/>
      <w:szCs w:val="21"/>
    </w:rPr>
  </w:style>
  <w:style w:type="character" w:customStyle="1" w:styleId="26">
    <w:name w:val="页眉 Char"/>
    <w:basedOn w:val="23"/>
    <w:link w:val="14"/>
    <w:semiHidden/>
    <w:qFormat/>
    <w:uiPriority w:val="99"/>
    <w:rPr>
      <w:sz w:val="18"/>
      <w:szCs w:val="18"/>
    </w:rPr>
  </w:style>
  <w:style w:type="character" w:customStyle="1" w:styleId="27">
    <w:name w:val="页脚 Char"/>
    <w:basedOn w:val="23"/>
    <w:link w:val="13"/>
    <w:semiHidden/>
    <w:qFormat/>
    <w:uiPriority w:val="99"/>
    <w:rPr>
      <w:sz w:val="18"/>
      <w:szCs w:val="18"/>
    </w:rPr>
  </w:style>
  <w:style w:type="character" w:customStyle="1" w:styleId="28">
    <w:name w:val="标题 1 Char"/>
    <w:basedOn w:val="23"/>
    <w:link w:val="3"/>
    <w:qFormat/>
    <w:uiPriority w:val="0"/>
    <w:rPr>
      <w:rFonts w:ascii="宋体" w:hAnsi="宋体" w:eastAsia="宋体" w:cs="Times New Roman"/>
      <w:b/>
      <w:bCs/>
      <w:sz w:val="48"/>
      <w:szCs w:val="24"/>
    </w:rPr>
  </w:style>
  <w:style w:type="character" w:customStyle="1" w:styleId="29">
    <w:name w:val="标题 2 Char"/>
    <w:basedOn w:val="23"/>
    <w:link w:val="4"/>
    <w:qFormat/>
    <w:uiPriority w:val="0"/>
    <w:rPr>
      <w:rFonts w:ascii="宋体" w:hAnsi="宋体" w:eastAsia="宋体" w:cs="Times New Roman"/>
      <w:b/>
      <w:kern w:val="0"/>
      <w:sz w:val="30"/>
      <w:szCs w:val="20"/>
    </w:rPr>
  </w:style>
  <w:style w:type="character" w:customStyle="1" w:styleId="30">
    <w:name w:val="标题 3 Char"/>
    <w:basedOn w:val="23"/>
    <w:link w:val="5"/>
    <w:qFormat/>
    <w:uiPriority w:val="0"/>
    <w:rPr>
      <w:rFonts w:ascii="宋体" w:hAnsi="宋体" w:eastAsia="宋体" w:cs="Times New Roman"/>
      <w:b/>
      <w:kern w:val="0"/>
      <w:sz w:val="28"/>
      <w:szCs w:val="20"/>
    </w:rPr>
  </w:style>
  <w:style w:type="character" w:customStyle="1" w:styleId="31">
    <w:name w:val="标题 6 Char"/>
    <w:basedOn w:val="23"/>
    <w:link w:val="6"/>
    <w:qFormat/>
    <w:uiPriority w:val="0"/>
    <w:rPr>
      <w:rFonts w:ascii="Arial" w:hAnsi="Arial" w:eastAsia="黑体" w:cs="Times New Roman"/>
      <w:b/>
      <w:sz w:val="24"/>
      <w:szCs w:val="20"/>
    </w:rPr>
  </w:style>
  <w:style w:type="character" w:customStyle="1" w:styleId="32">
    <w:name w:val="正文文本 Char"/>
    <w:basedOn w:val="23"/>
    <w:link w:val="2"/>
    <w:qFormat/>
    <w:uiPriority w:val="0"/>
    <w:rPr>
      <w:rFonts w:ascii="楷体_GB2312" w:hAnsi="Times New Roman" w:eastAsia="楷体_GB2312" w:cs="Times New Roman"/>
      <w:b/>
      <w:sz w:val="30"/>
      <w:szCs w:val="20"/>
    </w:rPr>
  </w:style>
  <w:style w:type="character" w:customStyle="1" w:styleId="33">
    <w:name w:val="正文文本缩进 Char"/>
    <w:basedOn w:val="23"/>
    <w:link w:val="9"/>
    <w:qFormat/>
    <w:uiPriority w:val="0"/>
    <w:rPr>
      <w:rFonts w:ascii="Arial" w:hAnsi="Arial" w:eastAsia="宋体" w:cs="Times New Roman"/>
      <w:szCs w:val="24"/>
    </w:rPr>
  </w:style>
  <w:style w:type="character" w:customStyle="1" w:styleId="34">
    <w:name w:val="纯文本 Char"/>
    <w:basedOn w:val="23"/>
    <w:link w:val="10"/>
    <w:qFormat/>
    <w:uiPriority w:val="0"/>
    <w:rPr>
      <w:rFonts w:ascii="宋体" w:hAnsi="Courier New" w:eastAsia="宋体" w:cs="Times New Roman"/>
      <w:szCs w:val="20"/>
    </w:rPr>
  </w:style>
  <w:style w:type="character" w:customStyle="1" w:styleId="35">
    <w:name w:val="正文文本缩进 2 Char"/>
    <w:basedOn w:val="23"/>
    <w:link w:val="11"/>
    <w:qFormat/>
    <w:uiPriority w:val="0"/>
    <w:rPr>
      <w:rFonts w:ascii="Calibri" w:hAnsi="Calibri" w:eastAsia="宋体" w:cs="Times New Roman"/>
      <w:sz w:val="24"/>
    </w:rPr>
  </w:style>
  <w:style w:type="character" w:customStyle="1" w:styleId="36">
    <w:name w:val="批注框文本 Char"/>
    <w:basedOn w:val="23"/>
    <w:link w:val="12"/>
    <w:qFormat/>
    <w:uiPriority w:val="0"/>
    <w:rPr>
      <w:rFonts w:ascii="Times New Roman" w:hAnsi="Times New Roman" w:eastAsia="宋体" w:cs="Times New Roman"/>
      <w:sz w:val="18"/>
      <w:szCs w:val="18"/>
    </w:rPr>
  </w:style>
  <w:style w:type="character" w:customStyle="1" w:styleId="37">
    <w:name w:val="HTML 预设格式 Char"/>
    <w:basedOn w:val="23"/>
    <w:link w:val="17"/>
    <w:qFormat/>
    <w:uiPriority w:val="99"/>
    <w:rPr>
      <w:rFonts w:ascii="宋体" w:hAnsi="宋体" w:eastAsia="宋体" w:cs="Times New Roman"/>
      <w:kern w:val="0"/>
      <w:sz w:val="24"/>
      <w:szCs w:val="24"/>
    </w:rPr>
  </w:style>
  <w:style w:type="character" w:customStyle="1" w:styleId="38">
    <w:name w:val="标题 Char"/>
    <w:basedOn w:val="23"/>
    <w:link w:val="18"/>
    <w:qFormat/>
    <w:uiPriority w:val="0"/>
    <w:rPr>
      <w:rFonts w:ascii="Arial" w:hAnsi="Arial" w:eastAsia="宋体" w:cs="Arial"/>
      <w:b/>
      <w:bCs/>
      <w:sz w:val="32"/>
      <w:szCs w:val="32"/>
    </w:rPr>
  </w:style>
  <w:style w:type="character" w:customStyle="1" w:styleId="39">
    <w:name w:val="正文首行缩进 Char"/>
    <w:basedOn w:val="32"/>
    <w:link w:val="20"/>
    <w:qFormat/>
    <w:uiPriority w:val="0"/>
    <w:rPr>
      <w:rFonts w:ascii="Calibri" w:hAnsi="Calibri"/>
    </w:rPr>
  </w:style>
  <w:style w:type="character" w:customStyle="1" w:styleId="40">
    <w:name w:val="p141"/>
    <w:qFormat/>
    <w:uiPriority w:val="0"/>
    <w:rPr>
      <w:sz w:val="21"/>
      <w:szCs w:val="21"/>
    </w:rPr>
  </w:style>
  <w:style w:type="paragraph" w:customStyle="1" w:styleId="41">
    <w:name w:val="xl29"/>
    <w:basedOn w:val="1"/>
    <w:qFormat/>
    <w:uiPriority w:val="0"/>
    <w:pPr>
      <w:widowControl/>
      <w:spacing w:before="100" w:beforeAutospacing="1" w:after="100" w:afterAutospacing="1"/>
      <w:jc w:val="center"/>
    </w:pPr>
    <w:rPr>
      <w:rFonts w:ascii="宋体" w:hAnsi="宋体"/>
      <w:kern w:val="0"/>
      <w:sz w:val="28"/>
      <w:szCs w:val="28"/>
    </w:rPr>
  </w:style>
  <w:style w:type="paragraph" w:styleId="42">
    <w:name w:val="List Paragraph"/>
    <w:basedOn w:val="1"/>
    <w:qFormat/>
    <w:uiPriority w:val="34"/>
    <w:pPr>
      <w:ind w:firstLine="420" w:firstLineChars="200"/>
    </w:pPr>
    <w:rPr>
      <w:rFonts w:ascii="Calibri" w:hAnsi="Calibri"/>
      <w:szCs w:val="22"/>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5">
    <w:name w:val="表格文字"/>
    <w:basedOn w:val="1"/>
    <w:qFormat/>
    <w:uiPriority w:val="0"/>
    <w:pPr>
      <w:numPr>
        <w:ilvl w:val="0"/>
        <w:numId w:val="1"/>
      </w:numPr>
      <w:tabs>
        <w:tab w:val="clear" w:pos="360"/>
      </w:tabs>
      <w:ind w:left="0" w:firstLine="0"/>
      <w:jc w:val="left"/>
    </w:pPr>
    <w:rPr>
      <w:rFonts w:ascii="Arial" w:hAnsi="Arial" w:eastAsia="仿宋_GB2312" w:cs="Arial"/>
      <w:sz w:val="18"/>
      <w:szCs w:val="18"/>
    </w:rPr>
  </w:style>
  <w:style w:type="paragraph" w:customStyle="1" w:styleId="46">
    <w:name w:val="正文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宋体" w:hAnsi="宋体" w:eastAsia="宋体" w:cs="Times New Roman"/>
      <w:kern w:val="16"/>
      <w:sz w:val="21"/>
      <w:szCs w:val="24"/>
      <w:lang w:val="en-US" w:eastAsia="zh-CN" w:bidi="ar-SA"/>
    </w:rPr>
  </w:style>
  <w:style w:type="character" w:customStyle="1" w:styleId="48">
    <w:name w:val="font21"/>
    <w:basedOn w:val="23"/>
    <w:qFormat/>
    <w:uiPriority w:val="0"/>
    <w:rPr>
      <w:rFonts w:hint="eastAsia" w:ascii="微软雅黑" w:hAnsi="微软雅黑" w:eastAsia="微软雅黑" w:cs="微软雅黑"/>
      <w:color w:val="000000"/>
      <w:sz w:val="24"/>
      <w:szCs w:val="24"/>
      <w:u w:val="none"/>
    </w:rPr>
  </w:style>
  <w:style w:type="character" w:customStyle="1" w:styleId="49">
    <w:name w:val="font31"/>
    <w:basedOn w:val="23"/>
    <w:qFormat/>
    <w:uiPriority w:val="0"/>
    <w:rPr>
      <w:rFonts w:hint="default" w:ascii="等线" w:hAnsi="等线" w:eastAsia="等线" w:cs="等线"/>
      <w:color w:val="000000"/>
      <w:sz w:val="24"/>
      <w:szCs w:val="24"/>
      <w:u w:val="none"/>
    </w:rPr>
  </w:style>
  <w:style w:type="paragraph" w:customStyle="1" w:styleId="50">
    <w:name w:val="Table Paragraph"/>
    <w:basedOn w:val="1"/>
    <w:qFormat/>
    <w:uiPriority w:val="1"/>
    <w:rPr>
      <w:rFonts w:ascii="宋体" w:hAnsi="宋体" w:cs="宋体"/>
      <w:lang w:val="zh-CN" w:bidi="zh-CN"/>
    </w:rPr>
  </w:style>
  <w:style w:type="paragraph" w:customStyle="1" w:styleId="51">
    <w:name w:val="列出段落2"/>
    <w:basedOn w:val="1"/>
    <w:qFormat/>
    <w:uiPriority w:val="99"/>
    <w:pPr>
      <w:ind w:firstLine="420" w:firstLineChars="200"/>
    </w:pPr>
    <w:rPr>
      <w:rFonts w:ascii="Calibri" w:hAnsi="Calibri"/>
      <w:szCs w:val="22"/>
    </w:rPr>
  </w:style>
  <w:style w:type="paragraph" w:customStyle="1" w:styleId="52">
    <w:name w:val="文档正文"/>
    <w:qFormat/>
    <w:uiPriority w:val="0"/>
    <w:pPr>
      <w:widowControl w:val="0"/>
      <w:tabs>
        <w:tab w:val="left" w:pos="360"/>
      </w:tabs>
      <w:adjustRightInd w:val="0"/>
      <w:spacing w:line="360" w:lineRule="auto"/>
      <w:ind w:left="360" w:firstLine="561"/>
      <w:jc w:val="both"/>
      <w:textAlignment w:val="baseline"/>
    </w:pPr>
    <w:rPr>
      <w:rFonts w:ascii="Arial Narrow" w:hAnsi="Arial Narrow" w:eastAsia="宋体" w:cs="Times New Roman"/>
      <w:sz w:val="24"/>
      <w:szCs w:val="24"/>
      <w:lang w:val="en-US" w:eastAsia="zh-CN" w:bidi="ar-SA"/>
    </w:rPr>
  </w:style>
  <w:style w:type="paragraph" w:customStyle="1" w:styleId="53">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4">
    <w:name w:val="_Style 3"/>
    <w:basedOn w:val="1"/>
    <w:qFormat/>
    <w:uiPriority w:val="0"/>
    <w:pPr>
      <w:ind w:firstLine="420" w:firstLineChars="200"/>
    </w:pPr>
    <w:rPr>
      <w:sz w:val="20"/>
      <w:szCs w:val="20"/>
    </w:rPr>
  </w:style>
  <w:style w:type="paragraph" w:customStyle="1" w:styleId="55">
    <w:name w:val="正文正"/>
    <w:basedOn w:val="1"/>
    <w:qFormat/>
    <w:uiPriority w:val="0"/>
    <w:pPr>
      <w:spacing w:line="560" w:lineRule="exact"/>
      <w:ind w:firstLine="561"/>
    </w:pPr>
    <w:rPr>
      <w:rFonts w:ascii="Calibri" w:hAnsi="Calibri"/>
      <w:sz w:val="28"/>
      <w:szCs w:val="28"/>
    </w:rPr>
  </w:style>
  <w:style w:type="paragraph" w:customStyle="1" w:styleId="56">
    <w:name w:val="样式 小四"/>
    <w:qFormat/>
    <w:uiPriority w:val="0"/>
    <w:pPr>
      <w:widowControl w:val="0"/>
      <w:adjustRightInd w:val="0"/>
      <w:spacing w:line="360" w:lineRule="atLeast"/>
      <w:textAlignment w:val="baseline"/>
    </w:pPr>
    <w:rPr>
      <w:rFonts w:ascii="Times New Roman" w:hAnsi="Times New Roman" w:eastAsia="宋体" w:cs="Arial"/>
      <w:sz w:val="24"/>
      <w:szCs w:val="22"/>
      <w:lang w:val="en-US" w:eastAsia="zh-CN" w:bidi="ar-SA"/>
    </w:rPr>
  </w:style>
  <w:style w:type="paragraph" w:customStyle="1" w:styleId="57">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58">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character" w:customStyle="1" w:styleId="59">
    <w:name w:val="批注文字 Char"/>
    <w:basedOn w:val="23"/>
    <w:link w:val="8"/>
    <w:semiHidden/>
    <w:qFormat/>
    <w:uiPriority w:val="99"/>
    <w:rPr>
      <w:rFonts w:ascii="Times New Roman" w:hAnsi="Times New Roman" w:eastAsia="宋体" w:cs="Times New Roman"/>
      <w:kern w:val="2"/>
      <w:sz w:val="21"/>
      <w:szCs w:val="24"/>
    </w:rPr>
  </w:style>
  <w:style w:type="character" w:customStyle="1" w:styleId="60">
    <w:name w:val="批注主题 Char"/>
    <w:basedOn w:val="59"/>
    <w:link w:val="19"/>
    <w:semiHidden/>
    <w:qFormat/>
    <w:uiPriority w:val="99"/>
    <w:rPr>
      <w:b/>
      <w:bCs/>
    </w:rPr>
  </w:style>
  <w:style w:type="paragraph" w:customStyle="1" w:styleId="6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2"/>
    <customShpInfo spid="_x0000_s1033"/>
    <customShpInfo spid="_x0000_s1034"/>
    <customShpInfo spid="_x0000_s1035"/>
    <customShpInfo spid="_x0000_s1036"/>
    <customShpInfo spid="_x0000_s1025"/>
    <customShpInfo spid="_x0000_s1037"/>
    <customShpInfo spid="_x0000_s1038"/>
    <customShpInfo spid="_x0000_s1039"/>
    <customShpInfo spid="_x0000_s1029"/>
    <customShpInfo spid="_x0000_s1040"/>
    <customShpInfo spid="_x0000_s1026"/>
    <customShpInfo spid="_x0000_s1041"/>
    <customShpInfo spid="_x0000_s1042"/>
    <customShpInfo spid="_x0000_s1030"/>
    <customShpInfo spid="_x0000_s1043"/>
    <customShpInfo spid="_x0000_s1028"/>
    <customShpInfo spid="_x0000_s1027"/>
    <customShpInfo spid="_x0000_s1044"/>
    <customShpInfo spid="_x0000_s1045"/>
    <customShpInfo spid="_x0000_s1031"/>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45129E-9DC7-4FCE-BAD8-BEFD52F00E94}">
  <ds:schemaRefs/>
</ds:datastoreItem>
</file>

<file path=docProps/app.xml><?xml version="1.0" encoding="utf-8"?>
<Properties xmlns="http://schemas.openxmlformats.org/officeDocument/2006/extended-properties" xmlns:vt="http://schemas.openxmlformats.org/officeDocument/2006/docPropsVTypes">
  <Template>Normal</Template>
  <Pages>111</Pages>
  <Words>59789</Words>
  <Characters>8113</Characters>
  <Lines>67</Lines>
  <Paragraphs>135</Paragraphs>
  <TotalTime>9</TotalTime>
  <ScaleCrop>false</ScaleCrop>
  <LinksUpToDate>false</LinksUpToDate>
  <CharactersWithSpaces>67767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2023-10-27T02:21:00Z</dcterms:created>
  <dc:creator>黄文华</dc:creator>
  <cp:lastModifiedBy>Wwei</cp:lastModifiedBy>
  <cp:lastPrinted>2023-10-27T02:29:00Z</cp:lastPrinted>
  <dcterms:modified xsi:type="dcterms:W3CDTF">2023-11-14T08:25:22Z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303381BF21C046CCBCE809689B059FE4_12</vt:lpwstr>
  </property>
</Properties>
</file>