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hd w:val="solid" w:color="FFFFFF" w:fill="auto"/>
        <w:autoSpaceDE/>
        <w:autoSpaceDN w:val="0"/>
        <w:adjustRightInd w:val="0"/>
        <w:snapToGrid w:val="0"/>
        <w:spacing w:before="0" w:beforeAutospacing="0" w:after="0" w:afterAutospacing="0"/>
        <w:ind w:left="0" w:right="0"/>
        <w:jc w:val="left"/>
        <w:rPr>
          <w:rFonts w:hint="eastAsia" w:ascii="黑体" w:hAnsi="宋体" w:eastAsia="黑体" w:cs="黑体"/>
          <w:sz w:val="32"/>
          <w:szCs w:val="32"/>
          <w:shd w:val="clear" w:fill="FFFFFF"/>
          <w:lang w:val="en-US"/>
        </w:rPr>
      </w:pPr>
      <w:r>
        <w:rPr>
          <w:rFonts w:hint="eastAsia" w:ascii="黑体" w:hAnsi="宋体" w:eastAsia="黑体" w:cs="黑体"/>
          <w:kern w:val="2"/>
          <w:sz w:val="32"/>
          <w:szCs w:val="32"/>
          <w:shd w:val="clear" w:fill="FFFFFF"/>
          <w:lang w:val="en-US" w:eastAsia="zh-CN" w:bidi="ar"/>
        </w:rPr>
        <w:t>附件1</w:t>
      </w:r>
    </w:p>
    <w:p>
      <w:pPr>
        <w:keepNext w:val="0"/>
        <w:keepLines w:val="0"/>
        <w:widowControl w:val="0"/>
        <w:suppressLineNumbers w:val="0"/>
        <w:shd w:val="solid" w:color="FFFFFF" w:fill="auto"/>
        <w:autoSpaceDE/>
        <w:autoSpaceDN w:val="0"/>
        <w:adjustRightInd w:val="0"/>
        <w:snapToGrid w:val="0"/>
        <w:spacing w:before="0" w:beforeAutospacing="0" w:after="0" w:afterAutospacing="0"/>
        <w:ind w:left="0" w:right="0"/>
        <w:jc w:val="left"/>
        <w:rPr>
          <w:rFonts w:hint="eastAsia" w:ascii="黑体" w:hAnsi="宋体" w:eastAsia="黑体" w:cs="黑体"/>
          <w:sz w:val="32"/>
          <w:szCs w:val="32"/>
          <w:shd w:val="clear" w:fill="FFFFFF"/>
          <w:lang w:val="en-US"/>
        </w:rPr>
      </w:pPr>
    </w:p>
    <w:p>
      <w:pPr>
        <w:keepNext w:val="0"/>
        <w:keepLines w:val="0"/>
        <w:widowControl w:val="0"/>
        <w:suppressLineNumbers w:val="0"/>
        <w:snapToGrid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bookmarkStart w:id="0" w:name="_GoBack"/>
      <w:r>
        <w:rPr>
          <w:rFonts w:hint="eastAsia" w:ascii="方正小标宋简体" w:hAnsi="方正小标宋简体" w:eastAsia="方正小标宋简体" w:cs="方正小标宋简体"/>
          <w:kern w:val="2"/>
          <w:sz w:val="44"/>
          <w:szCs w:val="44"/>
          <w:lang w:val="en-US" w:eastAsia="zh-CN" w:bidi="ar"/>
        </w:rPr>
        <w:t>国家税务总局阳江市税务局关于我市</w:t>
      </w:r>
    </w:p>
    <w:p>
      <w:pPr>
        <w:keepNext w:val="0"/>
        <w:keepLines w:val="0"/>
        <w:widowControl w:val="0"/>
        <w:suppressLineNumbers w:val="0"/>
        <w:snapToGrid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土地增值税预征率等事项的公告</w:t>
      </w:r>
    </w:p>
    <w:bookmarkEnd w:id="0"/>
    <w:p>
      <w:pPr>
        <w:keepNext w:val="0"/>
        <w:keepLines w:val="0"/>
        <w:widowControl w:val="0"/>
        <w:suppressLineNumbers w:val="0"/>
        <w:spacing w:before="0" w:beforeAutospacing="0" w:after="0" w:afterAutospacing="0"/>
        <w:ind w:left="0" w:right="0"/>
        <w:jc w:val="center"/>
        <w:rPr>
          <w:rFonts w:hint="eastAsia" w:ascii="楷体_GB2312" w:eastAsia="楷体_GB2312" w:cs="楷体_GB2312"/>
          <w:sz w:val="32"/>
          <w:szCs w:val="32"/>
          <w:lang w:val="en-US"/>
        </w:rPr>
      </w:pPr>
      <w:r>
        <w:rPr>
          <w:rFonts w:hint="eastAsia" w:ascii="楷体_GB2312" w:hAnsi="Calibri" w:eastAsia="楷体_GB2312" w:cs="楷体_GB2312"/>
          <w:kern w:val="2"/>
          <w:sz w:val="32"/>
          <w:szCs w:val="32"/>
          <w:lang w:val="en-US" w:eastAsia="zh-CN" w:bidi="ar"/>
        </w:rPr>
        <w:t>（征求意见稿）</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为进一步优化我市税收营商环境，规范我市土地增值税征收管理，根据《中华人民共和国税收征收管理法》及其实施细则、《中华人民共和国土地增值税暂行条例》及其实施细则</w:t>
      </w:r>
      <w:r>
        <w:rPr>
          <w:rFonts w:hint="eastAsia" w:ascii="仿宋_GB2312" w:hAnsi="Calibri" w:eastAsia="仿宋_GB2312" w:cs="仿宋_GB2312"/>
          <w:kern w:val="2"/>
          <w:sz w:val="32"/>
          <w:szCs w:val="32"/>
          <w:lang w:val="en-US" w:eastAsia="zh-CN" w:bidi="ar"/>
        </w:rPr>
        <w:t>、《财政部 国家税务总局关于土地增值税若干问题的通知》（财税〔2006〕21号）、《国家税务总局关于营改增后土地增值税若干征管规定的公告》（国家税务总局公告2016年第70号）、《广东省地方税务局转发国家税务总局关于加强土地增值税征管工作的通知》（粤地税发〔2010〕105号）</w:t>
      </w:r>
      <w:r>
        <w:rPr>
          <w:rFonts w:hint="eastAsia" w:ascii="仿宋_GB2312" w:hAnsi="仿宋_GB2312" w:eastAsia="仿宋_GB2312" w:cs="仿宋_GB2312"/>
          <w:kern w:val="2"/>
          <w:sz w:val="32"/>
          <w:szCs w:val="32"/>
          <w:lang w:val="en-US" w:eastAsia="zh-CN" w:bidi="ar"/>
        </w:rPr>
        <w:t>等有关规定，现将我市房地产开发项目的土地增值税预征率等事项公告如下：</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一、土地增值税预征率</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仿宋_GB2312" w:hAnsi="仿宋_GB2312" w:eastAsia="仿宋_GB2312" w:cs="仿宋_GB2312"/>
          <w:bCs/>
          <w:kern w:val="2"/>
          <w:sz w:val="32"/>
          <w:szCs w:val="32"/>
          <w:lang w:val="en-US" w:eastAsia="zh-CN" w:bidi="ar"/>
        </w:rPr>
        <w:t>（一）除本条第（二）项、第（三）项规定外，普通住宅3%，其他类型房地产3.5%。</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仿宋_GB2312" w:hAnsi="仿宋_GB2312" w:eastAsia="仿宋_GB2312" w:cs="仿宋_GB2312"/>
          <w:bCs/>
          <w:kern w:val="2"/>
          <w:sz w:val="32"/>
          <w:szCs w:val="32"/>
          <w:lang w:val="en-US" w:eastAsia="zh-CN" w:bidi="ar"/>
        </w:rPr>
        <w:t>（二）对房地产开发企业开发的第一个项目，普通住宅2.8%，其他类型房地产3.3%。房地产开发企业开发的第一个项目符合本条第（三）项规定的，按本条第（三）项规定的预征率。</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bCs/>
          <w:sz w:val="32"/>
          <w:szCs w:val="32"/>
          <w:lang w:val="en-US"/>
        </w:rPr>
      </w:pPr>
      <w:r>
        <w:rPr>
          <w:rFonts w:hint="eastAsia" w:ascii="仿宋_GB2312" w:hAnsi="仿宋_GB2312" w:eastAsia="仿宋_GB2312" w:cs="仿宋_GB2312"/>
          <w:bCs/>
          <w:kern w:val="2"/>
          <w:sz w:val="32"/>
          <w:szCs w:val="32"/>
          <w:lang w:val="en-US" w:eastAsia="zh-CN" w:bidi="ar"/>
        </w:rPr>
        <w:t>（三）对未通过招拍挂方式取得土地的，土地成本低于同期同类基准地价30%以上的开发项目，普通住宅4%，其他类型房地产4.5%。</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（四）对符合规定的保障性住房不实行预征土地增值税，待其符合清算条件时按规定进行清算。</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二、房地产开发企业采取预收款方法销售自行开发的房地产项目的，按照以下方法计算土地增值税预征计征依据：土地增值税预征的计征依据=预收款-应预缴增值税税款。</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符合土地增值税预征规定的纳税人应按月申报预缴土地增值税，申报期为次月15日前。未按规定缴纳的，根据《中华人民共和国税收征收管理法》及其实施细则的有关规定，从限定的缴纳税款期限届满次日起加收滞纳金。</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本公告自2021年10月1日起施行，《阳江市地方税务局关于调整我市土地增值税预征率的公告》（阳江市地方税务局公告2013年第1号）同时废止。</w:t>
      </w:r>
    </w:p>
    <w:p>
      <w:pPr>
        <w:keepNext w:val="0"/>
        <w:keepLines w:val="0"/>
        <w:widowControl w:val="0"/>
        <w:suppressLineNumbers w:val="0"/>
        <w:spacing w:before="0" w:beforeAutospacing="0" w:after="0" w:afterAutospacing="0" w:line="600" w:lineRule="exact"/>
        <w:ind w:left="0" w:right="0" w:firstLine="640" w:firstLineChars="200"/>
        <w:jc w:val="both"/>
        <w:rPr>
          <w:rFonts w:eastAsia="仿宋_GB2312"/>
          <w:sz w:val="32"/>
          <w:szCs w:val="32"/>
          <w:lang w:val="en-US"/>
        </w:rPr>
      </w:pPr>
      <w:r>
        <w:rPr>
          <w:rFonts w:hint="eastAsia" w:ascii="仿宋_GB2312" w:hAnsi="Calibri" w:eastAsia="仿宋_GB2312" w:cs="仿宋_GB2312"/>
          <w:kern w:val="2"/>
          <w:sz w:val="32"/>
          <w:szCs w:val="32"/>
          <w:lang w:val="en-US" w:eastAsia="zh-CN" w:bidi="ar"/>
        </w:rPr>
        <w:t xml:space="preserve">特此公告。 </w:t>
      </w:r>
      <w:r>
        <w:rPr>
          <w:rFonts w:hint="default" w:ascii="Calibri" w:hAnsi="Calibri" w:eastAsia="仿宋_GB2312" w:cs="Times New Roman"/>
          <w:kern w:val="2"/>
          <w:sz w:val="32"/>
          <w:szCs w:val="32"/>
          <w:lang w:val="en-US" w:eastAsia="zh-CN" w:bidi="ar"/>
        </w:rPr>
        <w:t> </w:t>
      </w:r>
      <w:r>
        <w:rPr>
          <w:rFonts w:hint="eastAsia" w:ascii="仿宋_GB2312" w:hAnsi="Calibri" w:eastAsia="仿宋_GB2312" w:cs="仿宋_GB2312"/>
          <w:kern w:val="2"/>
          <w:sz w:val="32"/>
          <w:szCs w:val="32"/>
          <w:lang w:val="en-US" w:eastAsia="zh-CN" w:bidi="ar"/>
        </w:rPr>
        <w:t xml:space="preserve"> </w:t>
      </w:r>
      <w:r>
        <w:rPr>
          <w:rFonts w:hint="default" w:ascii="Calibri" w:hAnsi="Calibri" w:eastAsia="仿宋_GB2312" w:cs="Times New Roman"/>
          <w:kern w:val="2"/>
          <w:sz w:val="32"/>
          <w:szCs w:val="32"/>
          <w:lang w:val="en-US" w:eastAsia="zh-CN" w:bidi="ar"/>
        </w:rPr>
        <w:t> </w:t>
      </w:r>
    </w:p>
    <w:p>
      <w:pPr>
        <w:keepNext w:val="0"/>
        <w:keepLines w:val="0"/>
        <w:widowControl w:val="0"/>
        <w:suppressLineNumbers w:val="0"/>
        <w:spacing w:before="0" w:beforeAutospacing="0" w:after="0" w:afterAutospacing="0" w:line="600" w:lineRule="exact"/>
        <w:ind w:left="0" w:right="0" w:firstLine="640" w:firstLineChars="200"/>
        <w:jc w:val="both"/>
        <w:rPr>
          <w:rFonts w:eastAsia="仿宋_GB2312"/>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p>
    <w:p>
      <w:pPr>
        <w:keepNext w:val="0"/>
        <w:keepLines w:val="0"/>
        <w:widowControl w:val="0"/>
        <w:suppressLineNumbers w:val="0"/>
        <w:shd w:val="solid" w:color="FFFFFF" w:fill="auto"/>
        <w:autoSpaceDE/>
        <w:autoSpaceDN w:val="0"/>
        <w:spacing w:before="0" w:beforeAutospacing="0" w:after="0" w:afterAutospacing="0" w:line="520" w:lineRule="atLeast"/>
        <w:ind w:left="0" w:right="506"/>
        <w:jc w:val="right"/>
        <w:rPr>
          <w:rFonts w:hint="eastAsia" w:ascii="仿宋_GB2312" w:hAnsi="仿宋" w:eastAsia="仿宋_GB2312" w:cs="仿宋"/>
          <w:sz w:val="32"/>
          <w:szCs w:val="32"/>
          <w:shd w:val="clear" w:fill="FFFFFF"/>
          <w:lang w:val="en-US"/>
        </w:rPr>
      </w:pPr>
      <w:r>
        <w:rPr>
          <w:rFonts w:hint="eastAsia" w:ascii="仿宋_GB2312" w:hAnsi="仿宋" w:eastAsia="仿宋_GB2312" w:cs="仿宋"/>
          <w:kern w:val="2"/>
          <w:sz w:val="32"/>
          <w:szCs w:val="32"/>
          <w:shd w:val="clear" w:fill="FFFFFF"/>
          <w:lang w:val="en-US" w:eastAsia="zh-CN" w:bidi="ar"/>
        </w:rPr>
        <w:t>国家税务总局阳江市税务局</w:t>
      </w:r>
    </w:p>
    <w:p>
      <w:pPr>
        <w:keepNext w:val="0"/>
        <w:keepLines w:val="0"/>
        <w:widowControl w:val="0"/>
        <w:suppressLineNumbers w:val="0"/>
        <w:shd w:val="solid" w:color="FFFFFF" w:fill="auto"/>
        <w:wordWrap w:val="0"/>
        <w:autoSpaceDE/>
        <w:autoSpaceDN w:val="0"/>
        <w:spacing w:before="0" w:beforeAutospacing="0" w:after="0" w:afterAutospacing="0" w:line="520" w:lineRule="atLeast"/>
        <w:ind w:left="0" w:right="490"/>
        <w:jc w:val="right"/>
        <w:rPr>
          <w:rFonts w:hint="eastAsia" w:ascii="仿宋_GB2312" w:hAnsi="仿宋" w:eastAsia="仿宋_GB2312" w:cs="仿宋"/>
          <w:sz w:val="32"/>
          <w:szCs w:val="32"/>
          <w:shd w:val="clear" w:fill="FFFFFF"/>
          <w:lang w:val="en-US"/>
        </w:rPr>
      </w:pPr>
      <w:r>
        <w:rPr>
          <w:rFonts w:hint="eastAsia" w:ascii="仿宋_GB2312" w:hAnsi="仿宋" w:eastAsia="仿宋_GB2312" w:cs="仿宋"/>
          <w:kern w:val="2"/>
          <w:sz w:val="32"/>
          <w:szCs w:val="32"/>
          <w:shd w:val="clear" w:fill="FFFFFF"/>
          <w:lang w:val="en-US" w:eastAsia="zh-CN" w:bidi="ar"/>
        </w:rPr>
        <w:t xml:space="preserve">2021年X月X日    </w:t>
      </w:r>
    </w:p>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auto"/>
    <w:pitch w:val="fixed"/>
    <w:sig w:usb0="800002BF" w:usb1="38CF7CFA" w:usb2="00000016" w:usb3="00000000" w:csb0="00040001" w:csb1="00000000"/>
  </w:font>
  <w:font w:name="方正小标宋简体">
    <w:panose1 w:val="03000509000000000000"/>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069C7"/>
    <w:rsid w:val="034069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2021-08-30T02:55:00Z</dcterms:created>
  <dc:creator>曾丽伶</dc:creator>
  <cp:lastModifiedBy>曾丽伶</cp:lastModifiedBy>
  <dcterms:modified xsi:type="dcterms:W3CDTF">2021-08-30T02:56:52Z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