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adjustRightInd w:val="0"/>
        <w:snapToGrid w:val="0"/>
        <w:spacing w:line="360" w:lineRule="auto"/>
        <w:rPr>
          <w:rFonts w:ascii="黑体" w:eastAsia="黑体"/>
          <w:bCs/>
          <w:color w:val="000000" w:themeColor="text1"/>
          <w:sz w:val="32"/>
          <w:highlight w:val="none"/>
        </w:rPr>
      </w:pPr>
      <w:bookmarkStart w:id="0" w:name="_Toc491658631"/>
    </w:p>
    <w:p>
      <w:pPr>
        <w:pStyle w:val="23"/>
        <w:widowControl/>
        <w:adjustRightInd w:val="0"/>
        <w:snapToGrid w:val="0"/>
        <w:spacing w:line="360" w:lineRule="auto"/>
        <w:jc w:val="left"/>
        <w:rPr>
          <w:rFonts w:ascii="黑体" w:eastAsia="黑体"/>
          <w:bCs/>
          <w:color w:val="000000" w:themeColor="text1"/>
          <w:sz w:val="32"/>
          <w:highlight w:val="none"/>
        </w:rPr>
      </w:pPr>
      <w:r>
        <w:rPr>
          <w:rFonts w:hint="eastAsia" w:ascii="黑体" w:hAnsi="Courier New" w:eastAsia="黑体" w:cs="Times New Roman"/>
          <w:bCs/>
          <w:color w:val="000000" w:themeColor="text1"/>
          <w:kern w:val="2"/>
          <w:sz w:val="32"/>
          <w:szCs w:val="20"/>
          <w:highlight w:val="none"/>
          <w:lang w:val="en-US" w:eastAsia="zh-CN" w:bidi="ar-SA"/>
        </w:rPr>
        <w:pict>
          <v:shape id="_x0000_i1025" o:spt="75" type="#_x0000_t75" style="height:29.2pt;width:182.7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pPr>
        <w:pStyle w:val="23"/>
        <w:widowControl/>
        <w:adjustRightInd w:val="0"/>
        <w:snapToGrid w:val="0"/>
        <w:spacing w:line="360" w:lineRule="auto"/>
        <w:jc w:val="center"/>
        <w:rPr>
          <w:rFonts w:ascii="黑体" w:eastAsia="黑体"/>
          <w:bCs/>
          <w:color w:val="000000" w:themeColor="text1"/>
          <w:sz w:val="52"/>
          <w:szCs w:val="52"/>
          <w:highlight w:val="none"/>
        </w:rPr>
      </w:pPr>
    </w:p>
    <w:p>
      <w:pPr>
        <w:pStyle w:val="23"/>
        <w:widowControl/>
        <w:adjustRightInd w:val="0"/>
        <w:snapToGrid w:val="0"/>
        <w:spacing w:line="360" w:lineRule="auto"/>
        <w:jc w:val="center"/>
        <w:rPr>
          <w:rFonts w:ascii="黑体" w:eastAsia="黑体"/>
          <w:bCs/>
          <w:color w:val="000000" w:themeColor="text1"/>
          <w:sz w:val="52"/>
          <w:szCs w:val="52"/>
          <w:highlight w:val="none"/>
        </w:rPr>
      </w:pPr>
      <w:r>
        <w:rPr>
          <w:rFonts w:hint="eastAsia" w:ascii="黑体" w:eastAsia="黑体"/>
          <w:bCs/>
          <w:color w:val="000000" w:themeColor="text1"/>
          <w:sz w:val="52"/>
          <w:szCs w:val="52"/>
          <w:highlight w:val="none"/>
        </w:rPr>
        <w:t>公开招标</w:t>
      </w:r>
    </w:p>
    <w:p>
      <w:pPr>
        <w:pStyle w:val="23"/>
        <w:widowControl/>
        <w:adjustRightInd w:val="0"/>
        <w:snapToGrid w:val="0"/>
        <w:spacing w:line="360" w:lineRule="auto"/>
        <w:jc w:val="center"/>
        <w:rPr>
          <w:rFonts w:ascii="黑体" w:eastAsia="黑体"/>
          <w:bCs/>
          <w:color w:val="000000" w:themeColor="text1"/>
          <w:sz w:val="72"/>
          <w:szCs w:val="72"/>
          <w:highlight w:val="none"/>
        </w:rPr>
      </w:pPr>
    </w:p>
    <w:p>
      <w:pPr>
        <w:pStyle w:val="23"/>
        <w:widowControl/>
        <w:adjustRightInd w:val="0"/>
        <w:snapToGrid w:val="0"/>
        <w:spacing w:line="360" w:lineRule="auto"/>
        <w:jc w:val="center"/>
        <w:rPr>
          <w:rFonts w:ascii="黑体" w:eastAsia="黑体"/>
          <w:bCs/>
          <w:color w:val="000000" w:themeColor="text1"/>
          <w:sz w:val="36"/>
          <w:highlight w:val="none"/>
        </w:rPr>
      </w:pPr>
      <w:r>
        <w:rPr>
          <w:rFonts w:hint="eastAsia" w:ascii="黑体" w:eastAsia="黑体"/>
          <w:bCs/>
          <w:color w:val="000000" w:themeColor="text1"/>
          <w:sz w:val="72"/>
          <w:highlight w:val="none"/>
        </w:rPr>
        <w:t>招  标  文  件</w:t>
      </w:r>
    </w:p>
    <w:p>
      <w:pPr>
        <w:pStyle w:val="23"/>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rPr>
      </w:pPr>
    </w:p>
    <w:p>
      <w:pPr>
        <w:pStyle w:val="23"/>
        <w:widowControl/>
        <w:adjustRightInd w:val="0"/>
        <w:snapToGrid w:val="0"/>
        <w:spacing w:line="360" w:lineRule="auto"/>
        <w:jc w:val="center"/>
        <w:rPr>
          <w:rFonts w:ascii="黑体" w:eastAsia="黑体"/>
          <w:bCs/>
          <w:color w:val="000000" w:themeColor="text1"/>
          <w:sz w:val="52"/>
          <w:szCs w:val="52"/>
          <w:highlight w:val="none"/>
        </w:rPr>
      </w:pPr>
    </w:p>
    <w:p>
      <w:pPr>
        <w:pStyle w:val="23"/>
        <w:widowControl/>
        <w:adjustRightInd w:val="0"/>
        <w:snapToGrid w:val="0"/>
        <w:spacing w:line="360" w:lineRule="auto"/>
        <w:rPr>
          <w:rFonts w:ascii="黑体" w:eastAsia="黑体"/>
          <w:bCs/>
          <w:color w:val="000000" w:themeColor="text1"/>
          <w:sz w:val="52"/>
          <w:szCs w:val="52"/>
          <w:highlight w:val="none"/>
        </w:rPr>
      </w:pPr>
    </w:p>
    <w:p>
      <w:pPr>
        <w:pStyle w:val="23"/>
        <w:widowControl/>
        <w:adjustRightInd w:val="0"/>
        <w:snapToGrid w:val="0"/>
        <w:spacing w:line="360" w:lineRule="auto"/>
        <w:rPr>
          <w:rFonts w:ascii="黑体" w:eastAsia="黑体"/>
          <w:bCs/>
          <w:color w:val="000000" w:themeColor="text1"/>
          <w:sz w:val="52"/>
          <w:szCs w:val="52"/>
          <w:highlight w:val="none"/>
        </w:rPr>
      </w:pPr>
    </w:p>
    <w:p>
      <w:pPr>
        <w:pStyle w:val="23"/>
        <w:widowControl/>
        <w:adjustRightInd w:val="0"/>
        <w:snapToGrid w:val="0"/>
        <w:spacing w:line="360" w:lineRule="auto"/>
        <w:rPr>
          <w:rFonts w:ascii="黑体" w:eastAsia="黑体"/>
          <w:bCs/>
          <w:color w:val="000000" w:themeColor="text1"/>
          <w:sz w:val="52"/>
          <w:szCs w:val="52"/>
          <w:highlight w:val="none"/>
        </w:rPr>
      </w:pPr>
    </w:p>
    <w:tbl>
      <w:tblPr>
        <w:tblStyle w:val="46"/>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284"/>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951" w:type="dxa"/>
            <w:vAlign w:val="center"/>
          </w:tcPr>
          <w:p>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项目编号</w:t>
            </w:r>
          </w:p>
        </w:tc>
        <w:tc>
          <w:tcPr>
            <w:tcW w:w="284" w:type="dxa"/>
            <w:vAlign w:val="top"/>
          </w:tcPr>
          <w:p>
            <w:pPr>
              <w:pStyle w:val="23"/>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62" w:type="dxa"/>
            <w:vAlign w:val="center"/>
          </w:tcPr>
          <w:p>
            <w:pPr>
              <w:pStyle w:val="23"/>
              <w:widowControl/>
              <w:adjustRightInd w:val="0"/>
              <w:snapToGrid w:val="0"/>
              <w:spacing w:line="360" w:lineRule="auto"/>
              <w:jc w:val="left"/>
              <w:rPr>
                <w:rFonts w:hint="eastAsia" w:hAnsi="宋体" w:eastAsia="宋体"/>
                <w:b/>
                <w:color w:val="000000" w:themeColor="text1"/>
                <w:sz w:val="28"/>
                <w:szCs w:val="28"/>
                <w:highlight w:val="none"/>
                <w:lang w:eastAsia="zh-CN"/>
              </w:rPr>
            </w:pPr>
            <w:r>
              <w:rPr>
                <w:rFonts w:hint="eastAsia" w:hAnsi="宋体"/>
                <w:b/>
                <w:color w:val="000000" w:themeColor="text1"/>
                <w:sz w:val="28"/>
                <w:szCs w:val="28"/>
                <w:highlight w:val="none"/>
                <w:lang w:eastAsia="zh-CN"/>
              </w:rPr>
              <w:t>YXCG-20230514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951" w:type="dxa"/>
            <w:vAlign w:val="top"/>
          </w:tcPr>
          <w:p>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项目名称</w:t>
            </w:r>
          </w:p>
        </w:tc>
        <w:tc>
          <w:tcPr>
            <w:tcW w:w="284" w:type="dxa"/>
            <w:vAlign w:val="top"/>
          </w:tcPr>
          <w:p>
            <w:pPr>
              <w:pStyle w:val="23"/>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62" w:type="dxa"/>
            <w:vAlign w:val="center"/>
          </w:tcPr>
          <w:p>
            <w:pPr>
              <w:pStyle w:val="23"/>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国家税务总局阳西县税务局2023年－2025年劳务外包服务项目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951" w:type="dxa"/>
            <w:vAlign w:val="center"/>
          </w:tcPr>
          <w:p>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采购人</w:t>
            </w:r>
          </w:p>
        </w:tc>
        <w:tc>
          <w:tcPr>
            <w:tcW w:w="284" w:type="dxa"/>
            <w:vAlign w:val="top"/>
          </w:tcPr>
          <w:p>
            <w:pPr>
              <w:pStyle w:val="23"/>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62" w:type="dxa"/>
            <w:vAlign w:val="center"/>
          </w:tcPr>
          <w:p>
            <w:pPr>
              <w:pStyle w:val="23"/>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国家税务总局阳西县税务局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951" w:type="dxa"/>
            <w:vAlign w:val="center"/>
          </w:tcPr>
          <w:p>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color w:val="000000" w:themeColor="text1"/>
                <w:sz w:val="28"/>
                <w:szCs w:val="28"/>
                <w:highlight w:val="none"/>
              </w:rPr>
              <w:t>采购代理机构</w:t>
            </w:r>
          </w:p>
        </w:tc>
        <w:tc>
          <w:tcPr>
            <w:tcW w:w="284" w:type="dxa"/>
            <w:vAlign w:val="top"/>
          </w:tcPr>
          <w:p>
            <w:pPr>
              <w:pStyle w:val="23"/>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w:t>
            </w:r>
          </w:p>
        </w:tc>
        <w:tc>
          <w:tcPr>
            <w:tcW w:w="6662" w:type="dxa"/>
            <w:vAlign w:val="center"/>
          </w:tcPr>
          <w:p>
            <w:pPr>
              <w:pStyle w:val="23"/>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广东业信采购招标有限公司</w:t>
            </w:r>
          </w:p>
        </w:tc>
      </w:tr>
    </w:tbl>
    <w:p>
      <w:pPr>
        <w:pStyle w:val="23"/>
        <w:widowControl/>
        <w:adjustRightInd w:val="0"/>
        <w:snapToGrid w:val="0"/>
        <w:spacing w:line="360" w:lineRule="auto"/>
        <w:jc w:val="center"/>
        <w:rPr>
          <w:rFonts w:ascii="黑体" w:eastAsia="黑体"/>
          <w:bCs/>
          <w:color w:val="000000" w:themeColor="text1"/>
          <w:sz w:val="24"/>
          <w:highlight w:val="none"/>
        </w:rPr>
      </w:pPr>
      <w:r>
        <w:rPr>
          <w:rFonts w:hint="eastAsia" w:ascii="黑体" w:eastAsia="黑体"/>
          <w:bCs/>
          <w:color w:val="000000" w:themeColor="text1"/>
          <w:sz w:val="24"/>
          <w:highlight w:val="none"/>
        </w:rPr>
        <w:t>二○</w:t>
      </w:r>
      <w:r>
        <w:rPr>
          <w:rFonts w:hint="eastAsia" w:ascii="黑体" w:eastAsia="黑体"/>
          <w:bCs/>
          <w:color w:val="000000" w:themeColor="text1"/>
          <w:sz w:val="24"/>
          <w:highlight w:val="none"/>
          <w:lang w:val="en-US" w:eastAsia="zh-CN"/>
        </w:rPr>
        <w:t>二三年五</w:t>
      </w:r>
      <w:r>
        <w:rPr>
          <w:rFonts w:hint="eastAsia" w:ascii="黑体" w:eastAsia="黑体"/>
          <w:bCs/>
          <w:color w:val="000000" w:themeColor="text1"/>
          <w:sz w:val="24"/>
          <w:highlight w:val="none"/>
        </w:rPr>
        <w:t>月</w:t>
      </w:r>
    </w:p>
    <w:p>
      <w:pPr>
        <w:spacing w:beforeLines="50" w:afterLines="50" w:line="360" w:lineRule="atLeast"/>
        <w:jc w:val="center"/>
        <w:rPr>
          <w:rFonts w:ascii="宋体" w:hAnsi="宋体"/>
          <w:b/>
          <w:color w:val="000000" w:themeColor="text1"/>
          <w:sz w:val="36"/>
          <w:highlight w:val="none"/>
        </w:rPr>
      </w:pPr>
      <w:r>
        <w:rPr>
          <w:rFonts w:hint="eastAsia" w:ascii="宋体" w:hAnsi="宋体"/>
          <w:b/>
          <w:color w:val="000000" w:themeColor="text1"/>
          <w:sz w:val="36"/>
          <w:highlight w:val="none"/>
        </w:rPr>
        <w:t>温馨提示：特别注意事项</w:t>
      </w:r>
    </w:p>
    <w:p>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请供应商特别留意招标文件上注明的投标截止和开标时间，逾期送达或邮寄送达的投标文件</w:t>
      </w:r>
      <w:r>
        <w:rPr>
          <w:rFonts w:hint="eastAsia" w:ascii="宋体" w:hAnsi="宋体"/>
          <w:color w:val="000000" w:themeColor="text1"/>
          <w:szCs w:val="21"/>
          <w:highlight w:val="none"/>
        </w:rPr>
        <w:t>，招标采购单位</w:t>
      </w:r>
      <w:r>
        <w:rPr>
          <w:rFonts w:ascii="宋体" w:hAnsi="宋体"/>
          <w:color w:val="000000" w:themeColor="text1"/>
          <w:szCs w:val="21"/>
          <w:highlight w:val="none"/>
        </w:rPr>
        <w:t>恕不接收。因此，请供应商适当提前到达</w:t>
      </w:r>
      <w:r>
        <w:rPr>
          <w:rFonts w:hint="eastAsia" w:ascii="宋体" w:hAnsi="宋体"/>
          <w:color w:val="000000" w:themeColor="text1"/>
          <w:szCs w:val="21"/>
          <w:highlight w:val="none"/>
        </w:rPr>
        <w:t>开标</w:t>
      </w:r>
      <w:r>
        <w:rPr>
          <w:rFonts w:hint="eastAsia" w:ascii="宋体" w:hAnsi="宋体"/>
          <w:color w:val="000000" w:themeColor="text1"/>
          <w:szCs w:val="21"/>
          <w:highlight w:val="none"/>
          <w:lang w:val="en-US" w:eastAsia="zh-CN"/>
        </w:rPr>
        <w:t>现场</w:t>
      </w:r>
      <w:r>
        <w:rPr>
          <w:rFonts w:ascii="宋体" w:hAnsi="宋体"/>
          <w:color w:val="000000" w:themeColor="text1"/>
          <w:szCs w:val="21"/>
          <w:highlight w:val="none"/>
        </w:rPr>
        <w:t>。</w:t>
      </w:r>
    </w:p>
    <w:p>
      <w:pPr>
        <w:numPr>
          <w:ilvl w:val="0"/>
          <w:numId w:val="21"/>
        </w:numPr>
        <w:spacing w:line="440" w:lineRule="exact"/>
        <w:ind w:left="454" w:hanging="454"/>
        <w:rPr>
          <w:rFonts w:ascii="宋体" w:hAnsi="宋体"/>
          <w:color w:val="000000" w:themeColor="text1"/>
          <w:szCs w:val="21"/>
          <w:highlight w:val="none"/>
        </w:rPr>
      </w:pPr>
      <w:r>
        <w:rPr>
          <w:rFonts w:ascii="宋体" w:hAnsi="宋体"/>
          <w:b/>
          <w:color w:val="000000" w:themeColor="text1"/>
          <w:szCs w:val="21"/>
          <w:highlight w:val="none"/>
          <w:u w:val="single"/>
        </w:rPr>
        <w:t>招标文件中标有“★”的</w:t>
      </w:r>
      <w:r>
        <w:rPr>
          <w:rFonts w:hint="eastAsia" w:ascii="宋体" w:hAnsi="宋体"/>
          <w:b/>
          <w:color w:val="000000" w:themeColor="text1"/>
          <w:szCs w:val="21"/>
          <w:highlight w:val="none"/>
          <w:u w:val="single"/>
        </w:rPr>
        <w:t>条款</w:t>
      </w:r>
      <w:r>
        <w:rPr>
          <w:rFonts w:ascii="宋体" w:hAnsi="宋体"/>
          <w:b/>
          <w:color w:val="000000" w:themeColor="text1"/>
          <w:szCs w:val="21"/>
          <w:highlight w:val="none"/>
          <w:u w:val="single"/>
        </w:rPr>
        <w:t>，</w:t>
      </w:r>
      <w:r>
        <w:rPr>
          <w:rFonts w:hint="eastAsia" w:ascii="宋体" w:hAnsi="宋体"/>
          <w:b/>
          <w:color w:val="000000" w:themeColor="text1"/>
          <w:szCs w:val="21"/>
          <w:highlight w:val="none"/>
          <w:u w:val="single"/>
        </w:rPr>
        <w:t>供应商</w:t>
      </w:r>
      <w:r>
        <w:rPr>
          <w:rFonts w:ascii="宋体" w:hAnsi="宋体"/>
          <w:b/>
          <w:color w:val="000000" w:themeColor="text1"/>
          <w:szCs w:val="21"/>
          <w:highlight w:val="none"/>
          <w:u w:val="single"/>
        </w:rPr>
        <w:t>必须一一响应</w:t>
      </w:r>
      <w:r>
        <w:rPr>
          <w:rFonts w:ascii="宋体" w:hAnsi="宋体"/>
          <w:color w:val="000000" w:themeColor="text1"/>
          <w:szCs w:val="21"/>
          <w:highlight w:val="none"/>
        </w:rPr>
        <w:t>。</w:t>
      </w:r>
      <w:r>
        <w:rPr>
          <w:rFonts w:ascii="宋体" w:hAnsi="宋体"/>
          <w:b/>
          <w:color w:val="000000" w:themeColor="text1"/>
          <w:szCs w:val="21"/>
          <w:highlight w:val="none"/>
          <w:u w:val="single"/>
        </w:rPr>
        <w:t>若有一项带“★”的指标要求未响应或不满足，</w:t>
      </w:r>
      <w:r>
        <w:rPr>
          <w:rFonts w:hint="eastAsia" w:ascii="宋体" w:hAnsi="宋体"/>
          <w:b/>
          <w:color w:val="000000" w:themeColor="text1"/>
          <w:szCs w:val="21"/>
          <w:highlight w:val="none"/>
          <w:u w:val="single"/>
        </w:rPr>
        <w:t>其投标</w:t>
      </w:r>
      <w:r>
        <w:rPr>
          <w:rFonts w:ascii="宋体" w:hAnsi="宋体"/>
          <w:b/>
          <w:color w:val="000000" w:themeColor="text1"/>
          <w:szCs w:val="21"/>
          <w:highlight w:val="none"/>
          <w:u w:val="single"/>
        </w:rPr>
        <w:t>将按无效投标处理。</w:t>
      </w:r>
    </w:p>
    <w:p>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请正确填写《开标一览表》，</w:t>
      </w:r>
      <w:r>
        <w:rPr>
          <w:rFonts w:hint="eastAsia" w:ascii="宋体" w:hAnsi="宋体"/>
          <w:color w:val="000000" w:themeColor="text1"/>
          <w:szCs w:val="21"/>
          <w:highlight w:val="none"/>
        </w:rPr>
        <w:t>如</w:t>
      </w:r>
      <w:r>
        <w:rPr>
          <w:rFonts w:ascii="宋体" w:hAnsi="宋体"/>
          <w:color w:val="000000" w:themeColor="text1"/>
          <w:szCs w:val="21"/>
          <w:highlight w:val="none"/>
        </w:rPr>
        <w:t>含有</w:t>
      </w:r>
      <w:r>
        <w:rPr>
          <w:rFonts w:hint="eastAsia" w:ascii="宋体" w:hAnsi="宋体"/>
          <w:color w:val="000000" w:themeColor="text1"/>
          <w:szCs w:val="21"/>
          <w:highlight w:val="none"/>
        </w:rPr>
        <w:t>包组</w:t>
      </w:r>
      <w:r>
        <w:rPr>
          <w:rFonts w:ascii="宋体" w:hAnsi="宋体"/>
          <w:color w:val="000000" w:themeColor="text1"/>
          <w:szCs w:val="21"/>
          <w:highlight w:val="none"/>
        </w:rPr>
        <w:t>的投标项目</w:t>
      </w:r>
      <w:r>
        <w:rPr>
          <w:rFonts w:hint="eastAsia" w:ascii="宋体" w:hAnsi="宋体"/>
          <w:color w:val="000000" w:themeColor="text1"/>
          <w:szCs w:val="21"/>
          <w:highlight w:val="none"/>
        </w:rPr>
        <w:t>建议</w:t>
      </w:r>
      <w:r>
        <w:rPr>
          <w:rFonts w:ascii="宋体" w:hAnsi="宋体"/>
          <w:color w:val="000000" w:themeColor="text1"/>
          <w:szCs w:val="21"/>
          <w:highlight w:val="none"/>
        </w:rPr>
        <w:t>分开报价，</w:t>
      </w:r>
      <w:r>
        <w:rPr>
          <w:rFonts w:hint="eastAsia" w:ascii="宋体" w:hAnsi="宋体"/>
          <w:color w:val="000000" w:themeColor="text1"/>
          <w:szCs w:val="21"/>
          <w:highlight w:val="none"/>
        </w:rPr>
        <w:t>报价要求详见招标文件《开标一览表》</w:t>
      </w:r>
      <w:r>
        <w:rPr>
          <w:rFonts w:ascii="宋体" w:hAnsi="宋体"/>
          <w:color w:val="000000" w:themeColor="text1"/>
          <w:szCs w:val="21"/>
          <w:highlight w:val="none"/>
        </w:rPr>
        <w:t>。</w:t>
      </w:r>
    </w:p>
    <w:p>
      <w:pPr>
        <w:numPr>
          <w:ilvl w:val="0"/>
          <w:numId w:val="21"/>
        </w:numPr>
        <w:spacing w:line="440" w:lineRule="exact"/>
        <w:ind w:left="454" w:hanging="454"/>
        <w:rPr>
          <w:color w:val="000000" w:themeColor="text1"/>
          <w:highlight w:val="none"/>
        </w:rPr>
      </w:pPr>
      <w:r>
        <w:rPr>
          <w:rFonts w:ascii="宋体" w:hAnsi="宋体"/>
          <w:color w:val="000000" w:themeColor="text1"/>
          <w:szCs w:val="21"/>
          <w:highlight w:val="none"/>
        </w:rPr>
        <w:t>请仔细检查《投标函》、《开标一览表》、</w:t>
      </w:r>
      <w:r>
        <w:rPr>
          <w:rFonts w:hint="eastAsia" w:ascii="宋体" w:hAnsi="宋体"/>
          <w:color w:val="000000" w:themeColor="text1"/>
          <w:szCs w:val="21"/>
          <w:highlight w:val="none"/>
        </w:rPr>
        <w:t>《法定代表人（负责人）证明书》、</w:t>
      </w:r>
      <w:r>
        <w:rPr>
          <w:rFonts w:ascii="宋体" w:hAnsi="宋体"/>
          <w:color w:val="000000" w:themeColor="text1"/>
          <w:szCs w:val="21"/>
          <w:highlight w:val="none"/>
        </w:rPr>
        <w:t>《</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授权书》等重要格式文件是否有按要求盖公章或签名</w:t>
      </w:r>
      <w:r>
        <w:rPr>
          <w:rFonts w:hint="eastAsia" w:ascii="宋体" w:hAnsi="宋体" w:cs="Tahoma"/>
          <w:b/>
          <w:bCs/>
          <w:color w:val="000000" w:themeColor="text1"/>
          <w:szCs w:val="21"/>
          <w:highlight w:val="none"/>
        </w:rPr>
        <w:t>。</w:t>
      </w:r>
    </w:p>
    <w:p>
      <w:pPr>
        <w:numPr>
          <w:ilvl w:val="0"/>
          <w:numId w:val="21"/>
        </w:numPr>
        <w:spacing w:line="440" w:lineRule="exact"/>
        <w:ind w:left="454" w:hanging="454"/>
        <w:rPr>
          <w:color w:val="000000" w:themeColor="text1"/>
          <w:highlight w:val="none"/>
        </w:rPr>
      </w:pPr>
      <w:r>
        <w:rPr>
          <w:rFonts w:hint="eastAsia" w:ascii="宋体" w:hAnsi="宋体"/>
          <w:color w:val="000000" w:themeColor="text1"/>
          <w:szCs w:val="21"/>
          <w:highlight w:val="none"/>
        </w:rPr>
        <w:t>投标人为小型、微型企业的，请提交《中小企业声明函》（详情见《政府采购促进中小企业发展暂行办法》）。</w:t>
      </w:r>
    </w:p>
    <w:p>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建议将投标文件按</w:t>
      </w:r>
      <w:r>
        <w:rPr>
          <w:rFonts w:hint="eastAsia" w:ascii="宋体" w:hAnsi="宋体"/>
          <w:color w:val="000000" w:themeColor="text1"/>
          <w:szCs w:val="21"/>
          <w:highlight w:val="none"/>
        </w:rPr>
        <w:t>目录格式</w:t>
      </w:r>
      <w:r>
        <w:rPr>
          <w:rFonts w:ascii="宋体" w:hAnsi="宋体"/>
          <w:color w:val="000000" w:themeColor="text1"/>
          <w:szCs w:val="21"/>
          <w:highlight w:val="none"/>
        </w:rPr>
        <w:t>顺序编制页码。</w:t>
      </w:r>
    </w:p>
    <w:p>
      <w:pPr>
        <w:numPr>
          <w:ilvl w:val="0"/>
          <w:numId w:val="21"/>
        </w:numPr>
        <w:spacing w:line="440" w:lineRule="exact"/>
        <w:ind w:left="454" w:hanging="454"/>
        <w:rPr>
          <w:rFonts w:ascii="宋体" w:hAnsi="宋体"/>
          <w:color w:val="000000" w:themeColor="text1"/>
          <w:szCs w:val="21"/>
          <w:highlight w:val="none"/>
        </w:rPr>
      </w:pPr>
      <w:r>
        <w:rPr>
          <w:rFonts w:hint="eastAsia" w:ascii="宋体" w:hAnsi="宋体"/>
          <w:color w:val="000000" w:themeColor="text1"/>
          <w:szCs w:val="21"/>
          <w:highlight w:val="none"/>
        </w:rPr>
        <w:t>分公司作为投标人的，需提供具有法人资格的总公司的营业执照副本复印件及授权书。</w:t>
      </w:r>
    </w:p>
    <w:p>
      <w:pPr>
        <w:numPr>
          <w:ilvl w:val="0"/>
          <w:numId w:val="21"/>
        </w:numPr>
        <w:spacing w:line="440" w:lineRule="exact"/>
        <w:ind w:left="454" w:hanging="454"/>
        <w:rPr>
          <w:rFonts w:ascii="宋体" w:hAnsi="宋体"/>
          <w:color w:val="000000" w:themeColor="text1"/>
          <w:szCs w:val="21"/>
          <w:highlight w:val="none"/>
        </w:rPr>
      </w:pPr>
      <w:r>
        <w:rPr>
          <w:rFonts w:hint="eastAsia" w:ascii="宋体" w:hAnsi="宋体"/>
          <w:b/>
          <w:color w:val="000000" w:themeColor="text1"/>
          <w:szCs w:val="21"/>
          <w:highlight w:val="none"/>
        </w:rPr>
        <w:t>投标人请注意区分投标保证金及招标代理服务费收款</w:t>
      </w:r>
      <w:r>
        <w:rPr>
          <w:rFonts w:hint="eastAsia" w:ascii="宋体" w:hAnsi="宋体"/>
          <w:b/>
          <w:color w:val="000000" w:themeColor="text1"/>
          <w:highlight w:val="none"/>
        </w:rPr>
        <w:t>账号</w:t>
      </w:r>
      <w:r>
        <w:rPr>
          <w:rFonts w:hint="eastAsia" w:ascii="宋体" w:hAnsi="宋体"/>
          <w:b/>
          <w:color w:val="000000" w:themeColor="text1"/>
          <w:szCs w:val="21"/>
          <w:highlight w:val="none"/>
        </w:rPr>
        <w:t>的区别</w:t>
      </w:r>
      <w:r>
        <w:rPr>
          <w:rFonts w:hint="eastAsia" w:ascii="宋体" w:hAnsi="宋体"/>
          <w:color w:val="000000" w:themeColor="text1"/>
          <w:szCs w:val="21"/>
          <w:highlight w:val="none"/>
        </w:rPr>
        <w:t>，务必将保证金按招标文件的要求缴纳，招标代理服务费存入招标文件指定的服务费账户。切勿将款项转错账户，以免影响采购活动。</w:t>
      </w:r>
    </w:p>
    <w:p>
      <w:pPr>
        <w:numPr>
          <w:ilvl w:val="0"/>
          <w:numId w:val="21"/>
        </w:numPr>
        <w:spacing w:line="440" w:lineRule="exact"/>
        <w:ind w:left="454" w:hanging="454"/>
        <w:rPr>
          <w:rFonts w:ascii="宋体" w:hAnsi="宋体" w:cs="仿宋_GB2312"/>
          <w:b/>
          <w:bCs/>
          <w:color w:val="000000" w:themeColor="text1"/>
          <w:szCs w:val="21"/>
          <w:highlight w:val="none"/>
          <w:lang w:val="zh-CN"/>
        </w:rPr>
      </w:pPr>
      <w:r>
        <w:rPr>
          <w:rFonts w:hint="eastAsia" w:ascii="宋体" w:hAnsi="宋体"/>
          <w:color w:val="000000" w:themeColor="text1"/>
          <w:szCs w:val="21"/>
          <w:highlight w:val="none"/>
        </w:rPr>
        <w:t>我司</w:t>
      </w:r>
      <w:r>
        <w:rPr>
          <w:rFonts w:ascii="宋体" w:hAnsi="宋体"/>
          <w:color w:val="000000" w:themeColor="text1"/>
          <w:szCs w:val="21"/>
          <w:highlight w:val="none"/>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rPr>
        <w:t>不同</w:t>
      </w:r>
      <w:r>
        <w:rPr>
          <w:rFonts w:ascii="宋体" w:hAnsi="宋体"/>
          <w:color w:val="000000" w:themeColor="text1"/>
          <w:szCs w:val="21"/>
          <w:highlight w:val="none"/>
        </w:rPr>
        <w:t>投标</w:t>
      </w:r>
      <w:r>
        <w:rPr>
          <w:rFonts w:hint="eastAsia" w:ascii="宋体" w:hAnsi="宋体"/>
          <w:color w:val="000000" w:themeColor="text1"/>
          <w:szCs w:val="21"/>
          <w:highlight w:val="none"/>
        </w:rPr>
        <w:t>方案</w:t>
      </w:r>
      <w:r>
        <w:rPr>
          <w:rFonts w:ascii="宋体" w:hAnsi="宋体"/>
          <w:color w:val="000000" w:themeColor="text1"/>
          <w:szCs w:val="21"/>
          <w:highlight w:val="none"/>
        </w:rPr>
        <w:t>的，</w:t>
      </w:r>
      <w:r>
        <w:rPr>
          <w:rFonts w:hint="eastAsia" w:ascii="宋体" w:hAnsi="宋体"/>
          <w:color w:val="000000" w:themeColor="text1"/>
          <w:szCs w:val="21"/>
          <w:highlight w:val="none"/>
        </w:rPr>
        <w:t>评标委员会</w:t>
      </w:r>
      <w:r>
        <w:rPr>
          <w:rFonts w:ascii="宋体" w:hAnsi="宋体"/>
          <w:color w:val="000000" w:themeColor="text1"/>
          <w:szCs w:val="21"/>
          <w:highlight w:val="none"/>
        </w:rPr>
        <w:t>将</w:t>
      </w:r>
      <w:r>
        <w:rPr>
          <w:rFonts w:hint="eastAsia" w:ascii="宋体" w:hAnsi="宋体"/>
          <w:color w:val="000000" w:themeColor="text1"/>
          <w:szCs w:val="21"/>
          <w:highlight w:val="none"/>
        </w:rPr>
        <w:t>对其投标</w:t>
      </w:r>
      <w:r>
        <w:rPr>
          <w:rFonts w:ascii="宋体" w:hAnsi="宋体"/>
          <w:color w:val="000000" w:themeColor="text1"/>
          <w:szCs w:val="21"/>
          <w:highlight w:val="none"/>
        </w:rPr>
        <w:t>按无效投标处理</w:t>
      </w:r>
      <w:r>
        <w:rPr>
          <w:rFonts w:hint="eastAsia" w:ascii="宋体" w:hAnsi="宋体"/>
          <w:color w:val="000000" w:themeColor="text1"/>
          <w:szCs w:val="21"/>
          <w:highlight w:val="none"/>
        </w:rPr>
        <w:t>（如有特殊要求的除外）。</w:t>
      </w:r>
    </w:p>
    <w:p>
      <w:pPr>
        <w:pStyle w:val="23"/>
        <w:widowControl/>
        <w:adjustRightInd w:val="0"/>
        <w:snapToGrid w:val="0"/>
        <w:spacing w:line="440" w:lineRule="exact"/>
        <w:ind w:firstLine="413" w:firstLineChars="196"/>
        <w:rPr>
          <w:rFonts w:ascii="黑体" w:eastAsia="黑体"/>
          <w:bCs/>
          <w:color w:val="000000" w:themeColor="text1"/>
          <w:sz w:val="30"/>
          <w:szCs w:val="30"/>
          <w:highlight w:val="none"/>
        </w:rPr>
      </w:pPr>
      <w:r>
        <w:rPr>
          <w:rFonts w:hint="eastAsia" w:hAnsi="宋体" w:cs="仿宋_GB2312"/>
          <w:b/>
          <w:bCs/>
          <w:color w:val="000000" w:themeColor="text1"/>
          <w:highlight w:val="none"/>
          <w:lang w:val="zh-CN"/>
        </w:rPr>
        <w:t>（本提示内容非招标文件的组成部分，仅为善意提醒。如有不一致，以招标文件为准）</w:t>
      </w:r>
    </w:p>
    <w:p>
      <w:pPr>
        <w:pStyle w:val="23"/>
        <w:widowControl/>
        <w:adjustRightInd w:val="0"/>
        <w:snapToGrid w:val="0"/>
        <w:spacing w:line="360" w:lineRule="auto"/>
        <w:jc w:val="center"/>
        <w:rPr>
          <w:rFonts w:ascii="黑体" w:eastAsia="黑体"/>
          <w:bCs/>
          <w:color w:val="000000" w:themeColor="text1"/>
          <w:sz w:val="30"/>
          <w:szCs w:val="30"/>
          <w:highlight w:val="none"/>
        </w:rPr>
        <w:sectPr>
          <w:headerReference r:id="rId3" w:type="default"/>
          <w:footerReference r:id="rId4" w:type="default"/>
          <w:footerReference r:id="rId5" w:type="even"/>
          <w:type w:val="continuous"/>
          <w:pgSz w:w="11907" w:h="16840"/>
          <w:pgMar w:top="1417" w:right="1474" w:bottom="1417" w:left="1474" w:header="851" w:footer="850" w:gutter="0"/>
          <w:cols w:space="720" w:num="1"/>
          <w:titlePg/>
          <w:docGrid w:linePitch="380" w:charSpace="0"/>
        </w:sectPr>
      </w:pPr>
    </w:p>
    <w:p>
      <w:pPr>
        <w:tabs>
          <w:tab w:val="left" w:pos="2400"/>
          <w:tab w:val="center" w:pos="4479"/>
        </w:tabs>
        <w:jc w:val="left"/>
        <w:rPr>
          <w:rFonts w:ascii="宋体" w:hAnsi="宋体"/>
          <w:bCs/>
          <w:color w:val="000000" w:themeColor="text1"/>
          <w:szCs w:val="21"/>
          <w:highlight w:val="none"/>
        </w:rPr>
      </w:pPr>
      <w:r>
        <w:rPr>
          <w:rFonts w:ascii="宋体" w:hAnsi="宋体"/>
          <w:bCs/>
          <w:color w:val="000000" w:themeColor="text1"/>
          <w:szCs w:val="21"/>
          <w:highlight w:val="none"/>
        </w:rPr>
        <w:tab/>
      </w:r>
      <w:r>
        <w:rPr>
          <w:rFonts w:ascii="宋体" w:hAnsi="宋体"/>
          <w:bCs/>
          <w:color w:val="000000" w:themeColor="text1"/>
          <w:szCs w:val="21"/>
          <w:highlight w:val="none"/>
        </w:rPr>
        <w:tab/>
      </w: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目   录</w:t>
      </w:r>
    </w:p>
    <w:p>
      <w:pPr>
        <w:pStyle w:val="3"/>
        <w:numPr>
          <w:ilvl w:val="0"/>
          <w:numId w:val="0"/>
        </w:numPr>
        <w:spacing w:beforeLines="0" w:line="240" w:lineRule="auto"/>
        <w:rPr>
          <w:color w:val="000000" w:themeColor="text1"/>
          <w:highlight w:val="none"/>
        </w:rPr>
      </w:pPr>
    </w:p>
    <w:p>
      <w:pPr>
        <w:pStyle w:val="30"/>
        <w:tabs>
          <w:tab w:val="right" w:leader="dot" w:pos="8959"/>
          <w:tab w:val="clear" w:pos="8949"/>
        </w:tabs>
        <w:rPr>
          <w:color w:val="000000" w:themeColor="text1"/>
          <w:highlight w:val="none"/>
        </w:rPr>
      </w:pPr>
      <w:r>
        <w:rPr>
          <w:b w:val="0"/>
          <w:bCs w:val="0"/>
          <w:caps w:val="0"/>
          <w:color w:val="000000" w:themeColor="text1"/>
          <w:highlight w:val="none"/>
        </w:rPr>
        <w:fldChar w:fldCharType="begin"/>
      </w:r>
      <w:r>
        <w:rPr>
          <w:b w:val="0"/>
          <w:bCs w:val="0"/>
          <w:caps w:val="0"/>
          <w:color w:val="000000" w:themeColor="text1"/>
          <w:highlight w:val="none"/>
        </w:rPr>
        <w:instrText xml:space="preserve"> TOC \o "1-3" \h \z \u </w:instrText>
      </w:r>
      <w:r>
        <w:rPr>
          <w:b w:val="0"/>
          <w:bCs w:val="0"/>
          <w:caps w:val="0"/>
          <w:color w:val="000000" w:themeColor="text1"/>
          <w:highlight w:val="none"/>
        </w:rPr>
        <w:fldChar w:fldCharType="separate"/>
      </w:r>
      <w:r>
        <w:rPr>
          <w:bCs w:val="0"/>
          <w:caps w:val="0"/>
          <w:color w:val="000000" w:themeColor="text1"/>
          <w:highlight w:val="none"/>
        </w:rPr>
        <w:fldChar w:fldCharType="begin"/>
      </w:r>
      <w:r>
        <w:rPr>
          <w:bCs w:val="0"/>
          <w:caps w:val="0"/>
          <w:color w:val="000000" w:themeColor="text1"/>
          <w:highlight w:val="none"/>
        </w:rPr>
        <w:instrText xml:space="preserve"> HYPERLINK \l _Toc32474 </w:instrText>
      </w:r>
      <w:r>
        <w:rPr>
          <w:bCs w:val="0"/>
          <w:caps w:val="0"/>
          <w:color w:val="000000" w:themeColor="text1"/>
          <w:highlight w:val="none"/>
        </w:rPr>
        <w:fldChar w:fldCharType="separate"/>
      </w:r>
      <w:r>
        <w:rPr>
          <w:rFonts w:hint="eastAsia"/>
          <w:color w:val="000000" w:themeColor="text1"/>
          <w:highlight w:val="none"/>
        </w:rPr>
        <w:t>第一部分 投标邀请函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_Toc32474 \h </w:instrText>
      </w:r>
      <w:r>
        <w:rPr>
          <w:color w:val="000000" w:themeColor="text1"/>
          <w:highlight w:val="none"/>
        </w:rPr>
        <w:fldChar w:fldCharType="separate"/>
      </w:r>
      <w:r>
        <w:rPr>
          <w:color w:val="000000" w:themeColor="text1"/>
          <w:highlight w:val="none"/>
        </w:rPr>
        <w:t>5</w:t>
      </w:r>
      <w:r>
        <w:rPr>
          <w:color w:val="000000" w:themeColor="text1"/>
          <w:highlight w:val="none"/>
        </w:rPr>
        <w:fldChar w:fldCharType="end"/>
      </w:r>
      <w:r>
        <w:rPr>
          <w:bCs w:val="0"/>
          <w:caps w:val="0"/>
          <w:color w:val="000000" w:themeColor="text1"/>
          <w:highlight w:val="none"/>
        </w:rPr>
        <w:fldChar w:fldCharType="end"/>
      </w:r>
    </w:p>
    <w:p>
      <w:pPr>
        <w:pStyle w:val="30"/>
        <w:tabs>
          <w:tab w:val="right" w:leader="dot" w:pos="8959"/>
          <w:tab w:val="clear" w:pos="8949"/>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_Toc23280 </w:instrText>
      </w:r>
      <w:r>
        <w:rPr>
          <w:bCs/>
          <w:caps/>
          <w:color w:val="000000" w:themeColor="text1"/>
          <w:szCs w:val="21"/>
          <w:highlight w:val="none"/>
        </w:rPr>
        <w:fldChar w:fldCharType="separate"/>
      </w:r>
      <w:r>
        <w:rPr>
          <w:rFonts w:hint="eastAsia"/>
          <w:color w:val="000000" w:themeColor="text1"/>
          <w:highlight w:val="none"/>
        </w:rPr>
        <w:t>第二部分 采购项目内容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_Toc23280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_Toc2524 </w:instrText>
      </w:r>
      <w:r>
        <w:rPr>
          <w:bCs/>
          <w:caps/>
          <w:color w:val="000000" w:themeColor="text1"/>
          <w:szCs w:val="21"/>
          <w:highlight w:val="none"/>
        </w:rPr>
        <w:fldChar w:fldCharType="separate"/>
      </w:r>
      <w:r>
        <w:rPr>
          <w:rFonts w:hint="eastAsia"/>
          <w:color w:val="000000" w:themeColor="text1"/>
          <w:kern w:val="0"/>
          <w:highlight w:val="none"/>
          <w:lang w:val="en-US" w:eastAsia="zh-CN"/>
        </w:rPr>
        <w:t>用户需求书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_Toc2524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bCs/>
          <w:caps/>
          <w:color w:val="000000" w:themeColor="text1"/>
          <w:szCs w:val="21"/>
          <w:highlight w:val="none"/>
        </w:rPr>
        <w:fldChar w:fldCharType="end"/>
      </w:r>
    </w:p>
    <w:p>
      <w:pPr>
        <w:pStyle w:val="30"/>
        <w:tabs>
          <w:tab w:val="right" w:leader="dot" w:pos="8959"/>
          <w:tab w:val="clear" w:pos="8949"/>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_Toc5443 </w:instrText>
      </w:r>
      <w:r>
        <w:rPr>
          <w:bCs/>
          <w:caps/>
          <w:color w:val="000000" w:themeColor="text1"/>
          <w:szCs w:val="21"/>
          <w:highlight w:val="none"/>
        </w:rPr>
        <w:fldChar w:fldCharType="separate"/>
      </w:r>
      <w:r>
        <w:rPr>
          <w:rFonts w:hint="eastAsia"/>
          <w:color w:val="000000" w:themeColor="text1"/>
          <w:highlight w:val="none"/>
        </w:rPr>
        <w:t>第三部分 投标人须知</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_Toc5443 \h </w:instrText>
      </w:r>
      <w:r>
        <w:rPr>
          <w:color w:val="000000" w:themeColor="text1"/>
          <w:highlight w:val="none"/>
        </w:rPr>
        <w:fldChar w:fldCharType="separate"/>
      </w:r>
      <w:r>
        <w:rPr>
          <w:color w:val="000000" w:themeColor="text1"/>
          <w:highlight w:val="none"/>
        </w:rPr>
        <w:t>21</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_Toc17792 </w:instrText>
      </w:r>
      <w:r>
        <w:rPr>
          <w:bCs/>
          <w:caps/>
          <w:color w:val="000000" w:themeColor="text1"/>
          <w:szCs w:val="21"/>
          <w:highlight w:val="none"/>
        </w:rPr>
        <w:fldChar w:fldCharType="separate"/>
      </w:r>
      <w:r>
        <w:rPr>
          <w:rFonts w:hint="eastAsia"/>
          <w:color w:val="000000" w:themeColor="text1"/>
          <w:szCs w:val="21"/>
          <w:highlight w:val="none"/>
        </w:rPr>
        <w:t>投标人须知前附表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_Toc17792 \h </w:instrText>
      </w:r>
      <w:r>
        <w:rPr>
          <w:color w:val="000000" w:themeColor="text1"/>
          <w:highlight w:val="none"/>
        </w:rPr>
        <w:fldChar w:fldCharType="separate"/>
      </w:r>
      <w:r>
        <w:rPr>
          <w:color w:val="000000" w:themeColor="text1"/>
          <w:highlight w:val="none"/>
        </w:rPr>
        <w:t>21</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_Toc11426 </w:instrText>
      </w:r>
      <w:r>
        <w:rPr>
          <w:bCs/>
          <w:caps/>
          <w:color w:val="000000" w:themeColor="text1"/>
          <w:szCs w:val="21"/>
          <w:highlight w:val="none"/>
        </w:rPr>
        <w:fldChar w:fldCharType="separate"/>
      </w:r>
      <w:r>
        <w:rPr>
          <w:rFonts w:hint="eastAsia"/>
          <w:color w:val="000000" w:themeColor="text1"/>
          <w:highlight w:val="none"/>
        </w:rPr>
        <w:t>Ａ说明</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_Toc11426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_Toc541 </w:instrText>
      </w:r>
      <w:r>
        <w:rPr>
          <w:bCs/>
          <w:caps/>
          <w:color w:val="000000" w:themeColor="text1"/>
          <w:szCs w:val="21"/>
          <w:highlight w:val="none"/>
        </w:rPr>
        <w:fldChar w:fldCharType="separate"/>
      </w:r>
      <w:r>
        <w:rPr>
          <w:rFonts w:hint="default"/>
          <w:color w:val="000000" w:themeColor="text1"/>
          <w:highlight w:val="none"/>
        </w:rPr>
        <w:t xml:space="preserve">1 </w:t>
      </w:r>
      <w:r>
        <w:rPr>
          <w:rFonts w:hint="eastAsia"/>
          <w:color w:val="000000" w:themeColor="text1"/>
          <w:highlight w:val="none"/>
        </w:rPr>
        <w:t>适用范围和资金来源</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_Toc541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_Toc18870 </w:instrText>
      </w:r>
      <w:r>
        <w:rPr>
          <w:bCs/>
          <w:caps/>
          <w:color w:val="000000" w:themeColor="text1"/>
          <w:szCs w:val="21"/>
          <w:highlight w:val="none"/>
        </w:rPr>
        <w:fldChar w:fldCharType="separate"/>
      </w:r>
      <w:r>
        <w:rPr>
          <w:rFonts w:hint="default"/>
          <w:color w:val="000000" w:themeColor="text1"/>
          <w:highlight w:val="none"/>
        </w:rPr>
        <w:t xml:space="preserve">2 </w:t>
      </w:r>
      <w:r>
        <w:rPr>
          <w:rFonts w:hint="eastAsia"/>
          <w:color w:val="000000" w:themeColor="text1"/>
          <w:highlight w:val="none"/>
        </w:rPr>
        <w:t>定义</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_Toc18870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_Toc8385 </w:instrText>
      </w:r>
      <w:r>
        <w:rPr>
          <w:bCs/>
          <w:caps/>
          <w:color w:val="000000" w:themeColor="text1"/>
          <w:szCs w:val="21"/>
          <w:highlight w:val="none"/>
        </w:rPr>
        <w:fldChar w:fldCharType="separate"/>
      </w:r>
      <w:r>
        <w:rPr>
          <w:rFonts w:hint="default"/>
          <w:color w:val="000000" w:themeColor="text1"/>
          <w:highlight w:val="none"/>
        </w:rPr>
        <w:t xml:space="preserve">3 </w:t>
      </w:r>
      <w:r>
        <w:rPr>
          <w:rFonts w:hint="eastAsia"/>
          <w:color w:val="000000" w:themeColor="text1"/>
          <w:highlight w:val="none"/>
        </w:rPr>
        <w:t>合格的投标人</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_Toc8385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_Toc16463 </w:instrText>
      </w:r>
      <w:r>
        <w:rPr>
          <w:bCs/>
          <w:caps/>
          <w:color w:val="000000" w:themeColor="text1"/>
          <w:szCs w:val="21"/>
          <w:highlight w:val="none"/>
        </w:rPr>
        <w:fldChar w:fldCharType="separate"/>
      </w:r>
      <w:r>
        <w:rPr>
          <w:rFonts w:hint="default"/>
          <w:color w:val="000000" w:themeColor="text1"/>
          <w:highlight w:val="none"/>
        </w:rPr>
        <w:t xml:space="preserve">4 </w:t>
      </w:r>
      <w:r>
        <w:rPr>
          <w:rFonts w:hint="eastAsia"/>
          <w:color w:val="000000" w:themeColor="text1"/>
          <w:highlight w:val="none"/>
        </w:rPr>
        <w:t>投标费用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_Toc16463 \h </w:instrText>
      </w:r>
      <w:r>
        <w:rPr>
          <w:color w:val="000000" w:themeColor="text1"/>
          <w:highlight w:val="none"/>
        </w:rPr>
        <w:fldChar w:fldCharType="separate"/>
      </w:r>
      <w:r>
        <w:rPr>
          <w:color w:val="000000" w:themeColor="text1"/>
          <w:highlight w:val="none"/>
        </w:rPr>
        <w:t>24</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_Toc10504 </w:instrText>
      </w:r>
      <w:r>
        <w:rPr>
          <w:bCs/>
          <w:caps/>
          <w:color w:val="000000" w:themeColor="text1"/>
          <w:szCs w:val="21"/>
          <w:highlight w:val="none"/>
        </w:rPr>
        <w:fldChar w:fldCharType="separate"/>
      </w:r>
      <w:r>
        <w:rPr>
          <w:rFonts w:hint="eastAsia"/>
          <w:color w:val="000000" w:themeColor="text1"/>
          <w:highlight w:val="none"/>
        </w:rPr>
        <w:t>Ｂ招标文件说明</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_Toc10504 \h </w:instrText>
      </w:r>
      <w:r>
        <w:rPr>
          <w:color w:val="000000" w:themeColor="text1"/>
          <w:highlight w:val="none"/>
        </w:rPr>
        <w:fldChar w:fldCharType="separate"/>
      </w:r>
      <w:r>
        <w:rPr>
          <w:color w:val="000000" w:themeColor="text1"/>
          <w:highlight w:val="none"/>
        </w:rPr>
        <w:t>24</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_Toc14432 </w:instrText>
      </w:r>
      <w:r>
        <w:rPr>
          <w:bCs/>
          <w:caps/>
          <w:color w:val="000000" w:themeColor="text1"/>
          <w:szCs w:val="21"/>
          <w:highlight w:val="none"/>
        </w:rPr>
        <w:fldChar w:fldCharType="separate"/>
      </w:r>
      <w:r>
        <w:rPr>
          <w:rFonts w:hint="default"/>
          <w:color w:val="000000" w:themeColor="text1"/>
          <w:highlight w:val="none"/>
        </w:rPr>
        <w:t xml:space="preserve">5 </w:t>
      </w:r>
      <w:r>
        <w:rPr>
          <w:rFonts w:hint="eastAsia"/>
          <w:color w:val="000000" w:themeColor="text1"/>
          <w:highlight w:val="none"/>
        </w:rPr>
        <w:t>招标文件的构成</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_Toc14432 \h </w:instrText>
      </w:r>
      <w:r>
        <w:rPr>
          <w:color w:val="000000" w:themeColor="text1"/>
          <w:highlight w:val="none"/>
        </w:rPr>
        <w:fldChar w:fldCharType="separate"/>
      </w:r>
      <w:r>
        <w:rPr>
          <w:color w:val="000000" w:themeColor="text1"/>
          <w:highlight w:val="none"/>
        </w:rPr>
        <w:t>24</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_Toc3774 </w:instrText>
      </w:r>
      <w:r>
        <w:rPr>
          <w:bCs/>
          <w:caps/>
          <w:color w:val="000000" w:themeColor="text1"/>
          <w:szCs w:val="21"/>
          <w:highlight w:val="none"/>
        </w:rPr>
        <w:fldChar w:fldCharType="separate"/>
      </w:r>
      <w:r>
        <w:rPr>
          <w:rFonts w:hint="default"/>
          <w:color w:val="000000" w:themeColor="text1"/>
          <w:highlight w:val="none"/>
        </w:rPr>
        <w:t xml:space="preserve">6 </w:t>
      </w:r>
      <w:r>
        <w:rPr>
          <w:rFonts w:hint="eastAsia"/>
          <w:color w:val="000000" w:themeColor="text1"/>
          <w:highlight w:val="none"/>
        </w:rPr>
        <w:t>招标文件的澄清、修改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_Toc3774 \h </w:instrText>
      </w:r>
      <w:r>
        <w:rPr>
          <w:color w:val="000000" w:themeColor="text1"/>
          <w:highlight w:val="none"/>
        </w:rPr>
        <w:fldChar w:fldCharType="separate"/>
      </w:r>
      <w:r>
        <w:rPr>
          <w:color w:val="000000" w:themeColor="text1"/>
          <w:highlight w:val="none"/>
        </w:rPr>
        <w:t>24</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_Toc7076 </w:instrText>
      </w:r>
      <w:r>
        <w:rPr>
          <w:bCs/>
          <w:caps/>
          <w:color w:val="000000" w:themeColor="text1"/>
          <w:szCs w:val="21"/>
          <w:highlight w:val="none"/>
        </w:rPr>
        <w:fldChar w:fldCharType="separate"/>
      </w:r>
      <w:r>
        <w:rPr>
          <w:rFonts w:hint="eastAsia"/>
          <w:color w:val="000000" w:themeColor="text1"/>
          <w:highlight w:val="none"/>
        </w:rPr>
        <w:t>Ｃ投标文件的编制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_Toc7076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_Toc11620 </w:instrText>
      </w:r>
      <w:r>
        <w:rPr>
          <w:bCs/>
          <w:caps/>
          <w:color w:val="000000" w:themeColor="text1"/>
          <w:szCs w:val="21"/>
          <w:highlight w:val="none"/>
        </w:rPr>
        <w:fldChar w:fldCharType="separate"/>
      </w:r>
      <w:r>
        <w:rPr>
          <w:rFonts w:hint="default"/>
          <w:color w:val="000000" w:themeColor="text1"/>
          <w:highlight w:val="none"/>
        </w:rPr>
        <w:t xml:space="preserve">7 </w:t>
      </w:r>
      <w:r>
        <w:rPr>
          <w:rFonts w:hint="eastAsia"/>
          <w:color w:val="000000" w:themeColor="text1"/>
          <w:highlight w:val="none"/>
        </w:rPr>
        <w:t>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_Toc11620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_Toc21884 </w:instrText>
      </w:r>
      <w:r>
        <w:rPr>
          <w:bCs/>
          <w:caps/>
          <w:color w:val="000000" w:themeColor="text1"/>
          <w:szCs w:val="21"/>
          <w:highlight w:val="none"/>
        </w:rPr>
        <w:fldChar w:fldCharType="separate"/>
      </w:r>
      <w:r>
        <w:rPr>
          <w:rFonts w:hint="default"/>
          <w:color w:val="000000" w:themeColor="text1"/>
          <w:highlight w:val="none"/>
        </w:rPr>
        <w:t xml:space="preserve">8 </w:t>
      </w:r>
      <w:r>
        <w:rPr>
          <w:rFonts w:hint="eastAsia"/>
          <w:color w:val="000000" w:themeColor="text1"/>
          <w:highlight w:val="none"/>
        </w:rPr>
        <w:t>投标语言及计量单位</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_Toc21884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_Toc28950 </w:instrText>
      </w:r>
      <w:r>
        <w:rPr>
          <w:bCs/>
          <w:caps/>
          <w:color w:val="000000" w:themeColor="text1"/>
          <w:szCs w:val="21"/>
          <w:highlight w:val="none"/>
        </w:rPr>
        <w:fldChar w:fldCharType="separate"/>
      </w:r>
      <w:r>
        <w:rPr>
          <w:rFonts w:hint="default"/>
          <w:color w:val="000000" w:themeColor="text1"/>
          <w:highlight w:val="none"/>
        </w:rPr>
        <w:t xml:space="preserve">9 </w:t>
      </w:r>
      <w:r>
        <w:rPr>
          <w:rFonts w:hint="eastAsia"/>
          <w:color w:val="000000" w:themeColor="text1"/>
          <w:highlight w:val="none"/>
        </w:rPr>
        <w:t>投标文件的构成</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_Toc28950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_Toc7894 </w:instrText>
      </w:r>
      <w:r>
        <w:rPr>
          <w:bCs/>
          <w:caps/>
          <w:color w:val="000000" w:themeColor="text1"/>
          <w:szCs w:val="21"/>
          <w:highlight w:val="none"/>
        </w:rPr>
        <w:fldChar w:fldCharType="separate"/>
      </w:r>
      <w:r>
        <w:rPr>
          <w:rFonts w:hint="default"/>
          <w:color w:val="000000" w:themeColor="text1"/>
          <w:highlight w:val="none"/>
        </w:rPr>
        <w:t xml:space="preserve">10 </w:t>
      </w:r>
      <w:r>
        <w:rPr>
          <w:rFonts w:hint="eastAsia"/>
          <w:color w:val="000000" w:themeColor="text1"/>
          <w:highlight w:val="none"/>
        </w:rPr>
        <w:t>投标文件格式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_Toc7894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_Toc8032 </w:instrText>
      </w:r>
      <w:r>
        <w:rPr>
          <w:bCs/>
          <w:caps/>
          <w:color w:val="000000" w:themeColor="text1"/>
          <w:szCs w:val="21"/>
          <w:highlight w:val="none"/>
        </w:rPr>
        <w:fldChar w:fldCharType="separate"/>
      </w:r>
      <w:r>
        <w:rPr>
          <w:rFonts w:hint="default"/>
          <w:color w:val="000000" w:themeColor="text1"/>
          <w:highlight w:val="none"/>
        </w:rPr>
        <w:t xml:space="preserve">11 </w:t>
      </w:r>
      <w:r>
        <w:rPr>
          <w:rFonts w:hint="eastAsia"/>
          <w:color w:val="000000" w:themeColor="text1"/>
          <w:highlight w:val="none"/>
        </w:rPr>
        <w:t>资格证明文件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_Toc8032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_Toc7697 </w:instrText>
      </w:r>
      <w:r>
        <w:rPr>
          <w:bCs/>
          <w:caps/>
          <w:color w:val="000000" w:themeColor="text1"/>
          <w:szCs w:val="21"/>
          <w:highlight w:val="none"/>
        </w:rPr>
        <w:fldChar w:fldCharType="separate"/>
      </w:r>
      <w:r>
        <w:rPr>
          <w:rFonts w:hint="default"/>
          <w:color w:val="000000" w:themeColor="text1"/>
          <w:highlight w:val="none"/>
        </w:rPr>
        <w:t xml:space="preserve">12 </w:t>
      </w:r>
      <w:r>
        <w:rPr>
          <w:rFonts w:hint="eastAsia"/>
          <w:color w:val="000000" w:themeColor="text1"/>
          <w:highlight w:val="none"/>
        </w:rPr>
        <w:t>货物和服务的证明文件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_Toc7697 \h </w:instrText>
      </w:r>
      <w:r>
        <w:rPr>
          <w:color w:val="000000" w:themeColor="text1"/>
          <w:highlight w:val="none"/>
        </w:rPr>
        <w:fldChar w:fldCharType="separate"/>
      </w:r>
      <w:r>
        <w:rPr>
          <w:color w:val="000000" w:themeColor="text1"/>
          <w:highlight w:val="none"/>
        </w:rPr>
        <w:t>26</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_Toc2055 </w:instrText>
      </w:r>
      <w:r>
        <w:rPr>
          <w:bCs/>
          <w:caps/>
          <w:color w:val="000000" w:themeColor="text1"/>
          <w:szCs w:val="21"/>
          <w:highlight w:val="none"/>
        </w:rPr>
        <w:fldChar w:fldCharType="separate"/>
      </w:r>
      <w:r>
        <w:rPr>
          <w:rFonts w:hint="default"/>
          <w:color w:val="000000" w:themeColor="text1"/>
          <w:highlight w:val="none"/>
        </w:rPr>
        <w:t xml:space="preserve">13 </w:t>
      </w:r>
      <w:r>
        <w:rPr>
          <w:rFonts w:hint="eastAsia"/>
          <w:color w:val="000000" w:themeColor="text1"/>
          <w:highlight w:val="none"/>
        </w:rPr>
        <w:t>投标报价与投标货币</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_Toc2055 \h </w:instrText>
      </w:r>
      <w:r>
        <w:rPr>
          <w:color w:val="000000" w:themeColor="text1"/>
          <w:highlight w:val="none"/>
        </w:rPr>
        <w:fldChar w:fldCharType="separate"/>
      </w:r>
      <w:r>
        <w:rPr>
          <w:color w:val="000000" w:themeColor="text1"/>
          <w:highlight w:val="none"/>
        </w:rPr>
        <w:t>26</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_Toc9017 </w:instrText>
      </w:r>
      <w:r>
        <w:rPr>
          <w:bCs/>
          <w:caps/>
          <w:color w:val="000000" w:themeColor="text1"/>
          <w:szCs w:val="21"/>
          <w:highlight w:val="none"/>
        </w:rPr>
        <w:fldChar w:fldCharType="separate"/>
      </w:r>
      <w:r>
        <w:rPr>
          <w:rFonts w:hint="default"/>
          <w:color w:val="000000" w:themeColor="text1"/>
          <w:highlight w:val="none"/>
        </w:rPr>
        <w:t xml:space="preserve">14 </w:t>
      </w:r>
      <w:r>
        <w:rPr>
          <w:rFonts w:hint="eastAsia"/>
          <w:color w:val="000000" w:themeColor="text1"/>
          <w:highlight w:val="none"/>
        </w:rPr>
        <w:t>投标保证金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_Toc9017 \h </w:instrText>
      </w:r>
      <w:r>
        <w:rPr>
          <w:color w:val="000000" w:themeColor="text1"/>
          <w:highlight w:val="none"/>
        </w:rPr>
        <w:fldChar w:fldCharType="separate"/>
      </w:r>
      <w:r>
        <w:rPr>
          <w:color w:val="000000" w:themeColor="text1"/>
          <w:highlight w:val="none"/>
        </w:rPr>
        <w:t>26</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_Toc25811 </w:instrText>
      </w:r>
      <w:r>
        <w:rPr>
          <w:bCs/>
          <w:caps/>
          <w:color w:val="000000" w:themeColor="text1"/>
          <w:szCs w:val="21"/>
          <w:highlight w:val="none"/>
        </w:rPr>
        <w:fldChar w:fldCharType="separate"/>
      </w:r>
      <w:r>
        <w:rPr>
          <w:rFonts w:hint="default"/>
          <w:color w:val="000000" w:themeColor="text1"/>
          <w:highlight w:val="none"/>
        </w:rPr>
        <w:t xml:space="preserve">15 </w:t>
      </w:r>
      <w:r>
        <w:rPr>
          <w:rFonts w:hint="eastAsia"/>
          <w:color w:val="000000" w:themeColor="text1"/>
          <w:highlight w:val="none"/>
        </w:rPr>
        <w:t>投标有效期</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_Toc25811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_Toc19232 </w:instrText>
      </w:r>
      <w:r>
        <w:rPr>
          <w:bCs/>
          <w:caps/>
          <w:color w:val="000000" w:themeColor="text1"/>
          <w:szCs w:val="21"/>
          <w:highlight w:val="none"/>
        </w:rPr>
        <w:fldChar w:fldCharType="separate"/>
      </w:r>
      <w:r>
        <w:rPr>
          <w:rFonts w:hint="default"/>
          <w:color w:val="000000" w:themeColor="text1"/>
          <w:highlight w:val="none"/>
        </w:rPr>
        <w:t xml:space="preserve">16 </w:t>
      </w:r>
      <w:r>
        <w:rPr>
          <w:rFonts w:hint="eastAsia"/>
          <w:color w:val="000000" w:themeColor="text1"/>
          <w:highlight w:val="none"/>
        </w:rPr>
        <w:t>投标文件的签署及规定</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_Toc19232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_Toc10454 </w:instrText>
      </w:r>
      <w:r>
        <w:rPr>
          <w:bCs/>
          <w:caps/>
          <w:color w:val="000000" w:themeColor="text1"/>
          <w:szCs w:val="21"/>
          <w:highlight w:val="none"/>
        </w:rPr>
        <w:fldChar w:fldCharType="separate"/>
      </w:r>
      <w:r>
        <w:rPr>
          <w:rFonts w:hint="eastAsia"/>
          <w:color w:val="000000" w:themeColor="text1"/>
          <w:highlight w:val="none"/>
        </w:rPr>
        <w:t>Ｄ投标文件的递交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_Toc10454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_Toc26639 </w:instrText>
      </w:r>
      <w:r>
        <w:rPr>
          <w:bCs/>
          <w:caps/>
          <w:color w:val="000000" w:themeColor="text1"/>
          <w:szCs w:val="21"/>
          <w:highlight w:val="none"/>
        </w:rPr>
        <w:fldChar w:fldCharType="separate"/>
      </w:r>
      <w:r>
        <w:rPr>
          <w:rFonts w:hint="default" w:ascii="宋体" w:hAnsi="宋体"/>
          <w:color w:val="000000" w:themeColor="text1"/>
          <w:highlight w:val="none"/>
        </w:rPr>
        <w:t xml:space="preserve">17 </w:t>
      </w:r>
      <w:r>
        <w:rPr>
          <w:rFonts w:hint="eastAsia"/>
          <w:color w:val="000000" w:themeColor="text1"/>
          <w:highlight w:val="none"/>
        </w:rPr>
        <w:t>投标文件的密封和标记</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_Toc26639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_Toc17096 </w:instrText>
      </w:r>
      <w:r>
        <w:rPr>
          <w:bCs/>
          <w:caps/>
          <w:color w:val="000000" w:themeColor="text1"/>
          <w:szCs w:val="21"/>
          <w:highlight w:val="none"/>
        </w:rPr>
        <w:fldChar w:fldCharType="separate"/>
      </w:r>
      <w:r>
        <w:rPr>
          <w:rFonts w:hint="default"/>
          <w:color w:val="000000" w:themeColor="text1"/>
          <w:highlight w:val="none"/>
        </w:rPr>
        <w:t xml:space="preserve">18 </w:t>
      </w:r>
      <w:r>
        <w:rPr>
          <w:rFonts w:hint="eastAsia"/>
          <w:color w:val="000000" w:themeColor="text1"/>
          <w:highlight w:val="none"/>
        </w:rPr>
        <w:t>递交投标文件的时间、地点及截止时间</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_Toc17096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_Toc17698 </w:instrText>
      </w:r>
      <w:r>
        <w:rPr>
          <w:bCs/>
          <w:caps/>
          <w:color w:val="000000" w:themeColor="text1"/>
          <w:szCs w:val="21"/>
          <w:highlight w:val="none"/>
        </w:rPr>
        <w:fldChar w:fldCharType="separate"/>
      </w:r>
      <w:r>
        <w:rPr>
          <w:rFonts w:hint="default"/>
          <w:color w:val="000000" w:themeColor="text1"/>
          <w:highlight w:val="none"/>
        </w:rPr>
        <w:t xml:space="preserve">19 </w:t>
      </w:r>
      <w:r>
        <w:rPr>
          <w:rFonts w:hint="eastAsia"/>
          <w:color w:val="000000" w:themeColor="text1"/>
          <w:highlight w:val="none"/>
        </w:rPr>
        <w:t>迟交的投标文件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_Toc17698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_Toc13169 </w:instrText>
      </w:r>
      <w:r>
        <w:rPr>
          <w:bCs/>
          <w:caps/>
          <w:color w:val="000000" w:themeColor="text1"/>
          <w:szCs w:val="21"/>
          <w:highlight w:val="none"/>
        </w:rPr>
        <w:fldChar w:fldCharType="separate"/>
      </w:r>
      <w:r>
        <w:rPr>
          <w:rFonts w:hint="default"/>
          <w:color w:val="000000" w:themeColor="text1"/>
          <w:highlight w:val="none"/>
        </w:rPr>
        <w:t xml:space="preserve">20 </w:t>
      </w:r>
      <w:r>
        <w:rPr>
          <w:rFonts w:hint="eastAsia"/>
          <w:color w:val="000000" w:themeColor="text1"/>
          <w:highlight w:val="none"/>
        </w:rPr>
        <w:t>投标文件的修改和撤回</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_Toc13169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_Toc16797 </w:instrText>
      </w:r>
      <w:r>
        <w:rPr>
          <w:bCs/>
          <w:caps/>
          <w:color w:val="000000" w:themeColor="text1"/>
          <w:szCs w:val="21"/>
          <w:highlight w:val="none"/>
        </w:rPr>
        <w:fldChar w:fldCharType="separate"/>
      </w:r>
      <w:r>
        <w:rPr>
          <w:rFonts w:hint="eastAsia"/>
          <w:color w:val="000000" w:themeColor="text1"/>
          <w:highlight w:val="none"/>
        </w:rPr>
        <w:t>Ｅ开标和评标</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_Toc16797 \h </w:instrText>
      </w:r>
      <w:r>
        <w:rPr>
          <w:color w:val="000000" w:themeColor="text1"/>
          <w:highlight w:val="none"/>
        </w:rPr>
        <w:fldChar w:fldCharType="separate"/>
      </w:r>
      <w:r>
        <w:rPr>
          <w:color w:val="000000" w:themeColor="text1"/>
          <w:highlight w:val="none"/>
        </w:rPr>
        <w:t>29</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_Toc8250 </w:instrText>
      </w:r>
      <w:r>
        <w:rPr>
          <w:bCs/>
          <w:caps/>
          <w:color w:val="000000" w:themeColor="text1"/>
          <w:szCs w:val="21"/>
          <w:highlight w:val="none"/>
        </w:rPr>
        <w:fldChar w:fldCharType="separate"/>
      </w:r>
      <w:r>
        <w:rPr>
          <w:rFonts w:hint="default"/>
          <w:color w:val="000000" w:themeColor="text1"/>
          <w:highlight w:val="none"/>
        </w:rPr>
        <w:t xml:space="preserve">21 </w:t>
      </w:r>
      <w:r>
        <w:rPr>
          <w:rFonts w:hint="eastAsia"/>
          <w:color w:val="000000" w:themeColor="text1"/>
          <w:highlight w:val="none"/>
        </w:rPr>
        <w:t>开标</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_Toc8250 \h </w:instrText>
      </w:r>
      <w:r>
        <w:rPr>
          <w:color w:val="000000" w:themeColor="text1"/>
          <w:highlight w:val="none"/>
        </w:rPr>
        <w:fldChar w:fldCharType="separate"/>
      </w:r>
      <w:r>
        <w:rPr>
          <w:color w:val="000000" w:themeColor="text1"/>
          <w:highlight w:val="none"/>
        </w:rPr>
        <w:t>29</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_Toc27570 </w:instrText>
      </w:r>
      <w:r>
        <w:rPr>
          <w:bCs/>
          <w:caps/>
          <w:color w:val="000000" w:themeColor="text1"/>
          <w:szCs w:val="21"/>
          <w:highlight w:val="none"/>
        </w:rPr>
        <w:fldChar w:fldCharType="separate"/>
      </w:r>
      <w:r>
        <w:rPr>
          <w:rFonts w:hint="default" w:ascii="宋体" w:hAnsi="宋体"/>
          <w:color w:val="000000" w:themeColor="text1"/>
          <w:highlight w:val="none"/>
        </w:rPr>
        <w:t xml:space="preserve">22 </w:t>
      </w:r>
      <w:r>
        <w:rPr>
          <w:rFonts w:hint="eastAsia"/>
          <w:color w:val="000000" w:themeColor="text1"/>
          <w:highlight w:val="none"/>
        </w:rPr>
        <w:t>评标委员会</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_Toc27570 \h </w:instrText>
      </w:r>
      <w:r>
        <w:rPr>
          <w:color w:val="000000" w:themeColor="text1"/>
          <w:highlight w:val="none"/>
        </w:rPr>
        <w:fldChar w:fldCharType="separate"/>
      </w:r>
      <w:r>
        <w:rPr>
          <w:color w:val="000000" w:themeColor="text1"/>
          <w:highlight w:val="none"/>
        </w:rPr>
        <w:t>29</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_Toc2900 </w:instrText>
      </w:r>
      <w:r>
        <w:rPr>
          <w:bCs/>
          <w:caps/>
          <w:color w:val="000000" w:themeColor="text1"/>
          <w:szCs w:val="21"/>
          <w:highlight w:val="none"/>
        </w:rPr>
        <w:fldChar w:fldCharType="separate"/>
      </w:r>
      <w:r>
        <w:rPr>
          <w:rFonts w:hint="default"/>
          <w:color w:val="000000" w:themeColor="text1"/>
          <w:highlight w:val="none"/>
        </w:rPr>
        <w:t xml:space="preserve">23 </w:t>
      </w:r>
      <w:r>
        <w:rPr>
          <w:rFonts w:hint="eastAsia"/>
          <w:color w:val="000000" w:themeColor="text1"/>
          <w:highlight w:val="none"/>
        </w:rPr>
        <w:t>对投标文件的初审和响应性的确定</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_Toc2900 \h </w:instrText>
      </w:r>
      <w:r>
        <w:rPr>
          <w:color w:val="000000" w:themeColor="text1"/>
          <w:highlight w:val="none"/>
        </w:rPr>
        <w:fldChar w:fldCharType="separate"/>
      </w:r>
      <w:r>
        <w:rPr>
          <w:color w:val="000000" w:themeColor="text1"/>
          <w:highlight w:val="none"/>
        </w:rPr>
        <w:t>29</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_Toc16005 </w:instrText>
      </w:r>
      <w:r>
        <w:rPr>
          <w:bCs/>
          <w:caps/>
          <w:color w:val="000000" w:themeColor="text1"/>
          <w:szCs w:val="21"/>
          <w:highlight w:val="none"/>
        </w:rPr>
        <w:fldChar w:fldCharType="separate"/>
      </w:r>
      <w:r>
        <w:rPr>
          <w:rFonts w:hint="default"/>
          <w:color w:val="000000" w:themeColor="text1"/>
          <w:highlight w:val="none"/>
        </w:rPr>
        <w:t xml:space="preserve">24 </w:t>
      </w:r>
      <w:r>
        <w:rPr>
          <w:rFonts w:hint="eastAsia"/>
          <w:color w:val="000000" w:themeColor="text1"/>
          <w:highlight w:val="none"/>
        </w:rPr>
        <w:t>投标报价的审核</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_Toc16005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_Toc26140 </w:instrText>
      </w:r>
      <w:r>
        <w:rPr>
          <w:bCs/>
          <w:caps/>
          <w:color w:val="000000" w:themeColor="text1"/>
          <w:szCs w:val="21"/>
          <w:highlight w:val="none"/>
        </w:rPr>
        <w:fldChar w:fldCharType="separate"/>
      </w:r>
      <w:r>
        <w:rPr>
          <w:rFonts w:hint="default"/>
          <w:color w:val="000000" w:themeColor="text1"/>
          <w:highlight w:val="none"/>
        </w:rPr>
        <w:t xml:space="preserve">25 </w:t>
      </w:r>
      <w:r>
        <w:rPr>
          <w:rFonts w:hint="eastAsia"/>
          <w:color w:val="000000" w:themeColor="text1"/>
          <w:highlight w:val="none"/>
        </w:rPr>
        <w:t>询标及投标文件的澄清</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_Toc26140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_Toc1414 </w:instrText>
      </w:r>
      <w:r>
        <w:rPr>
          <w:bCs/>
          <w:caps/>
          <w:color w:val="000000" w:themeColor="text1"/>
          <w:szCs w:val="21"/>
          <w:highlight w:val="none"/>
        </w:rPr>
        <w:fldChar w:fldCharType="separate"/>
      </w:r>
      <w:r>
        <w:rPr>
          <w:rFonts w:hint="default"/>
          <w:color w:val="000000" w:themeColor="text1"/>
          <w:highlight w:val="none"/>
        </w:rPr>
        <w:t xml:space="preserve">26 </w:t>
      </w:r>
      <w:r>
        <w:rPr>
          <w:rFonts w:hint="eastAsia"/>
          <w:color w:val="000000" w:themeColor="text1"/>
          <w:highlight w:val="none"/>
        </w:rPr>
        <w:t>评标原则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_Toc1414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_Toc6057 </w:instrText>
      </w:r>
      <w:r>
        <w:rPr>
          <w:bCs/>
          <w:caps/>
          <w:color w:val="000000" w:themeColor="text1"/>
          <w:szCs w:val="21"/>
          <w:highlight w:val="none"/>
        </w:rPr>
        <w:fldChar w:fldCharType="separate"/>
      </w:r>
      <w:r>
        <w:rPr>
          <w:rFonts w:hint="default"/>
          <w:color w:val="000000" w:themeColor="text1"/>
          <w:highlight w:val="none"/>
        </w:rPr>
        <w:t xml:space="preserve">27 </w:t>
      </w:r>
      <w:r>
        <w:rPr>
          <w:rFonts w:hint="eastAsia"/>
          <w:color w:val="000000" w:themeColor="text1"/>
          <w:highlight w:val="none"/>
        </w:rPr>
        <w:t>评标标准和办法</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_Toc6057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_Toc14159 </w:instrText>
      </w:r>
      <w:r>
        <w:rPr>
          <w:bCs/>
          <w:caps/>
          <w:color w:val="000000" w:themeColor="text1"/>
          <w:szCs w:val="21"/>
          <w:highlight w:val="none"/>
        </w:rPr>
        <w:fldChar w:fldCharType="separate"/>
      </w:r>
      <w:r>
        <w:rPr>
          <w:rFonts w:hint="default"/>
          <w:color w:val="000000" w:themeColor="text1"/>
          <w:highlight w:val="none"/>
        </w:rPr>
        <w:t xml:space="preserve">28 </w:t>
      </w:r>
      <w:r>
        <w:rPr>
          <w:rFonts w:hint="eastAsia"/>
          <w:color w:val="000000" w:themeColor="text1"/>
          <w:highlight w:val="none"/>
        </w:rPr>
        <w:t>评标注意事项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_Toc14159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_Toc8349 </w:instrText>
      </w:r>
      <w:r>
        <w:rPr>
          <w:bCs/>
          <w:caps/>
          <w:color w:val="000000" w:themeColor="text1"/>
          <w:szCs w:val="21"/>
          <w:highlight w:val="none"/>
        </w:rPr>
        <w:fldChar w:fldCharType="separate"/>
      </w:r>
      <w:r>
        <w:rPr>
          <w:rFonts w:hint="default"/>
          <w:color w:val="000000" w:themeColor="text1"/>
          <w:highlight w:val="none"/>
        </w:rPr>
        <w:t xml:space="preserve">29 </w:t>
      </w:r>
      <w:r>
        <w:rPr>
          <w:rFonts w:hint="eastAsia"/>
          <w:color w:val="000000" w:themeColor="text1"/>
          <w:highlight w:val="none"/>
        </w:rPr>
        <w:t>接受和拒绝投标的权利</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_Toc8349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_Toc27811 </w:instrText>
      </w:r>
      <w:r>
        <w:rPr>
          <w:bCs/>
          <w:caps/>
          <w:color w:val="000000" w:themeColor="text1"/>
          <w:szCs w:val="21"/>
          <w:highlight w:val="none"/>
        </w:rPr>
        <w:fldChar w:fldCharType="separate"/>
      </w:r>
      <w:r>
        <w:rPr>
          <w:rFonts w:hint="default"/>
          <w:color w:val="000000" w:themeColor="text1"/>
          <w:highlight w:val="none"/>
        </w:rPr>
        <w:t xml:space="preserve">30 </w:t>
      </w:r>
      <w:r>
        <w:rPr>
          <w:rFonts w:hint="eastAsia"/>
          <w:color w:val="000000" w:themeColor="text1"/>
          <w:highlight w:val="none"/>
        </w:rPr>
        <w:t>发布中标结果公告和发放中标通知书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_Toc27811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_Toc3763 </w:instrText>
      </w:r>
      <w:r>
        <w:rPr>
          <w:bCs/>
          <w:caps/>
          <w:color w:val="000000" w:themeColor="text1"/>
          <w:szCs w:val="21"/>
          <w:highlight w:val="none"/>
        </w:rPr>
        <w:fldChar w:fldCharType="separate"/>
      </w:r>
      <w:r>
        <w:rPr>
          <w:rFonts w:hint="default"/>
          <w:color w:val="000000" w:themeColor="text1"/>
          <w:highlight w:val="none"/>
        </w:rPr>
        <w:t xml:space="preserve">31 </w:t>
      </w:r>
      <w:r>
        <w:rPr>
          <w:rFonts w:hint="eastAsia"/>
          <w:color w:val="000000" w:themeColor="text1"/>
          <w:highlight w:val="none"/>
        </w:rPr>
        <w:t>投标人对中标结果的质疑、投诉</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_Toc3763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_Toc31817 </w:instrText>
      </w:r>
      <w:r>
        <w:rPr>
          <w:bCs/>
          <w:caps/>
          <w:color w:val="000000" w:themeColor="text1"/>
          <w:szCs w:val="21"/>
          <w:highlight w:val="none"/>
        </w:rPr>
        <w:fldChar w:fldCharType="separate"/>
      </w:r>
      <w:r>
        <w:rPr>
          <w:rFonts w:hint="eastAsia"/>
          <w:color w:val="000000" w:themeColor="text1"/>
          <w:highlight w:val="none"/>
        </w:rPr>
        <w:t>Ｆ  授予合同</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_Toc31817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_Toc17833 </w:instrText>
      </w:r>
      <w:r>
        <w:rPr>
          <w:bCs/>
          <w:caps/>
          <w:color w:val="000000" w:themeColor="text1"/>
          <w:szCs w:val="21"/>
          <w:highlight w:val="none"/>
        </w:rPr>
        <w:fldChar w:fldCharType="separate"/>
      </w:r>
      <w:r>
        <w:rPr>
          <w:rFonts w:hint="default"/>
          <w:color w:val="000000" w:themeColor="text1"/>
          <w:highlight w:val="none"/>
        </w:rPr>
        <w:t xml:space="preserve">32 </w:t>
      </w:r>
      <w:r>
        <w:rPr>
          <w:rFonts w:hint="eastAsia"/>
          <w:color w:val="000000" w:themeColor="text1"/>
          <w:highlight w:val="none"/>
        </w:rPr>
        <w:t>合同授予标准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_Toc17833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_Toc19153 </w:instrText>
      </w:r>
      <w:r>
        <w:rPr>
          <w:bCs/>
          <w:caps/>
          <w:color w:val="000000" w:themeColor="text1"/>
          <w:szCs w:val="21"/>
          <w:highlight w:val="none"/>
        </w:rPr>
        <w:fldChar w:fldCharType="separate"/>
      </w:r>
      <w:r>
        <w:rPr>
          <w:rFonts w:hint="default"/>
          <w:color w:val="000000" w:themeColor="text1"/>
          <w:highlight w:val="none"/>
        </w:rPr>
        <w:t xml:space="preserve">33 </w:t>
      </w:r>
      <w:r>
        <w:rPr>
          <w:rFonts w:hint="eastAsia"/>
          <w:color w:val="000000" w:themeColor="text1"/>
          <w:highlight w:val="none"/>
        </w:rPr>
        <w:t>签订合同</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_Toc19153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_Toc4204 </w:instrText>
      </w:r>
      <w:r>
        <w:rPr>
          <w:bCs/>
          <w:caps/>
          <w:color w:val="000000" w:themeColor="text1"/>
          <w:szCs w:val="21"/>
          <w:highlight w:val="none"/>
        </w:rPr>
        <w:fldChar w:fldCharType="separate"/>
      </w:r>
      <w:r>
        <w:rPr>
          <w:color w:val="000000" w:themeColor="text1"/>
          <w:highlight w:val="none"/>
        </w:rPr>
        <w:t>G</w:t>
      </w:r>
      <w:r>
        <w:rPr>
          <w:rFonts w:hint="eastAsia"/>
          <w:color w:val="000000" w:themeColor="text1"/>
          <w:highlight w:val="none"/>
        </w:rPr>
        <w:t>、政府采购政策</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_Toc4204 \h </w:instrText>
      </w:r>
      <w:r>
        <w:rPr>
          <w:color w:val="000000" w:themeColor="text1"/>
          <w:highlight w:val="none"/>
        </w:rPr>
        <w:fldChar w:fldCharType="separate"/>
      </w:r>
      <w:r>
        <w:rPr>
          <w:color w:val="000000" w:themeColor="text1"/>
          <w:highlight w:val="none"/>
        </w:rPr>
        <w:t>34</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_Toc5521 </w:instrText>
      </w:r>
      <w:r>
        <w:rPr>
          <w:bCs/>
          <w:caps/>
          <w:color w:val="000000" w:themeColor="text1"/>
          <w:szCs w:val="21"/>
          <w:highlight w:val="none"/>
        </w:rPr>
        <w:fldChar w:fldCharType="separate"/>
      </w:r>
      <w:r>
        <w:rPr>
          <w:rFonts w:hint="eastAsia"/>
          <w:color w:val="000000" w:themeColor="text1"/>
          <w:highlight w:val="none"/>
        </w:rPr>
        <w:t>H、评标细则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_Toc5521 \h </w:instrText>
      </w:r>
      <w:r>
        <w:rPr>
          <w:color w:val="000000" w:themeColor="text1"/>
          <w:highlight w:val="none"/>
        </w:rPr>
        <w:fldChar w:fldCharType="separate"/>
      </w:r>
      <w:r>
        <w:rPr>
          <w:color w:val="000000" w:themeColor="text1"/>
          <w:highlight w:val="none"/>
        </w:rPr>
        <w:t>36</w:t>
      </w:r>
      <w:r>
        <w:rPr>
          <w:color w:val="000000" w:themeColor="text1"/>
          <w:highlight w:val="none"/>
        </w:rPr>
        <w:fldChar w:fldCharType="end"/>
      </w:r>
      <w:r>
        <w:rPr>
          <w:bCs/>
          <w:caps/>
          <w:color w:val="000000" w:themeColor="text1"/>
          <w:szCs w:val="21"/>
          <w:highlight w:val="none"/>
        </w:rPr>
        <w:fldChar w:fldCharType="end"/>
      </w:r>
    </w:p>
    <w:p>
      <w:pPr>
        <w:pStyle w:val="30"/>
        <w:tabs>
          <w:tab w:val="right" w:leader="dot" w:pos="8959"/>
          <w:tab w:val="clear" w:pos="8949"/>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_Toc17587 </w:instrText>
      </w:r>
      <w:r>
        <w:rPr>
          <w:bCs/>
          <w:caps/>
          <w:color w:val="000000" w:themeColor="text1"/>
          <w:szCs w:val="21"/>
          <w:highlight w:val="none"/>
        </w:rPr>
        <w:fldChar w:fldCharType="separate"/>
      </w:r>
      <w:r>
        <w:rPr>
          <w:rFonts w:hint="eastAsia"/>
          <w:color w:val="000000" w:themeColor="text1"/>
          <w:highlight w:val="none"/>
        </w:rPr>
        <w:t>第四部分  采购项目合同（参考范本）</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_Toc17587 \h </w:instrText>
      </w:r>
      <w:r>
        <w:rPr>
          <w:color w:val="000000" w:themeColor="text1"/>
          <w:highlight w:val="none"/>
        </w:rPr>
        <w:fldChar w:fldCharType="separate"/>
      </w:r>
      <w:r>
        <w:rPr>
          <w:color w:val="000000" w:themeColor="text1"/>
          <w:highlight w:val="none"/>
        </w:rPr>
        <w:t>39</w:t>
      </w:r>
      <w:r>
        <w:rPr>
          <w:color w:val="000000" w:themeColor="text1"/>
          <w:highlight w:val="none"/>
        </w:rPr>
        <w:fldChar w:fldCharType="end"/>
      </w:r>
      <w:r>
        <w:rPr>
          <w:bCs/>
          <w:caps/>
          <w:color w:val="000000" w:themeColor="text1"/>
          <w:szCs w:val="21"/>
          <w:highlight w:val="none"/>
        </w:rPr>
        <w:fldChar w:fldCharType="end"/>
      </w:r>
    </w:p>
    <w:p>
      <w:pPr>
        <w:pStyle w:val="30"/>
        <w:tabs>
          <w:tab w:val="right" w:leader="dot" w:pos="8959"/>
          <w:tab w:val="clear" w:pos="8949"/>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_Toc31309 </w:instrText>
      </w:r>
      <w:r>
        <w:rPr>
          <w:bCs/>
          <w:caps/>
          <w:color w:val="000000" w:themeColor="text1"/>
          <w:szCs w:val="21"/>
          <w:highlight w:val="none"/>
        </w:rPr>
        <w:fldChar w:fldCharType="separate"/>
      </w:r>
      <w:r>
        <w:rPr>
          <w:rFonts w:hint="eastAsia"/>
          <w:color w:val="000000" w:themeColor="text1"/>
          <w:highlight w:val="none"/>
        </w:rPr>
        <w:t>第五部分投标文件格式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_Toc31309 \h </w:instrText>
      </w:r>
      <w:r>
        <w:rPr>
          <w:color w:val="000000" w:themeColor="text1"/>
          <w:highlight w:val="none"/>
        </w:rPr>
        <w:fldChar w:fldCharType="separate"/>
      </w:r>
      <w:r>
        <w:rPr>
          <w:color w:val="000000" w:themeColor="text1"/>
          <w:highlight w:val="none"/>
        </w:rPr>
        <w:t>59</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_Toc21613 </w:instrText>
      </w:r>
      <w:r>
        <w:rPr>
          <w:bCs/>
          <w:caps/>
          <w:color w:val="000000" w:themeColor="text1"/>
          <w:szCs w:val="21"/>
          <w:highlight w:val="none"/>
        </w:rPr>
        <w:fldChar w:fldCharType="separate"/>
      </w:r>
      <w:r>
        <w:rPr>
          <w:rFonts w:hint="eastAsia"/>
          <w:color w:val="000000" w:themeColor="text1"/>
          <w:highlight w:val="none"/>
        </w:rPr>
        <w:t>资格审查封面格式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_Toc21613 \h </w:instrText>
      </w:r>
      <w:r>
        <w:rPr>
          <w:color w:val="000000" w:themeColor="text1"/>
          <w:highlight w:val="none"/>
        </w:rPr>
        <w:fldChar w:fldCharType="separate"/>
      </w:r>
      <w:r>
        <w:rPr>
          <w:color w:val="000000" w:themeColor="text1"/>
          <w:highlight w:val="none"/>
        </w:rPr>
        <w:t>59</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_Toc18800 </w:instrText>
      </w:r>
      <w:r>
        <w:rPr>
          <w:bCs/>
          <w:caps/>
          <w:color w:val="000000" w:themeColor="text1"/>
          <w:szCs w:val="21"/>
          <w:highlight w:val="none"/>
        </w:rPr>
        <w:fldChar w:fldCharType="separate"/>
      </w:r>
      <w:r>
        <w:rPr>
          <w:rFonts w:hint="default"/>
          <w:color w:val="000000" w:themeColor="text1"/>
          <w:highlight w:val="none"/>
        </w:rPr>
        <w:t xml:space="preserve">第一章 </w:t>
      </w:r>
      <w:r>
        <w:rPr>
          <w:rFonts w:hint="eastAsia"/>
          <w:color w:val="000000" w:themeColor="text1"/>
          <w:highlight w:val="none"/>
        </w:rPr>
        <w:t>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_Toc18800 \h </w:instrText>
      </w:r>
      <w:r>
        <w:rPr>
          <w:color w:val="000000" w:themeColor="text1"/>
          <w:highlight w:val="none"/>
        </w:rPr>
        <w:fldChar w:fldCharType="separate"/>
      </w:r>
      <w:r>
        <w:rPr>
          <w:color w:val="000000" w:themeColor="text1"/>
          <w:highlight w:val="none"/>
        </w:rPr>
        <w:t>61</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_Toc17330 </w:instrText>
      </w:r>
      <w:r>
        <w:rPr>
          <w:bCs/>
          <w:caps/>
          <w:color w:val="000000" w:themeColor="text1"/>
          <w:szCs w:val="21"/>
          <w:highlight w:val="none"/>
        </w:rPr>
        <w:fldChar w:fldCharType="separate"/>
      </w:r>
      <w:r>
        <w:rPr>
          <w:rFonts w:hint="eastAsia" w:ascii="宋体"/>
          <w:bCs w:val="0"/>
          <w:color w:val="000000" w:themeColor="text1"/>
          <w:szCs w:val="21"/>
          <w:highlight w:val="none"/>
        </w:rPr>
        <w:t>资格性自查表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_Toc17330 \h </w:instrText>
      </w:r>
      <w:r>
        <w:rPr>
          <w:color w:val="000000" w:themeColor="text1"/>
          <w:highlight w:val="none"/>
        </w:rPr>
        <w:fldChar w:fldCharType="separate"/>
      </w:r>
      <w:r>
        <w:rPr>
          <w:color w:val="000000" w:themeColor="text1"/>
          <w:highlight w:val="none"/>
        </w:rPr>
        <w:t>61</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_Toc24255 </w:instrText>
      </w:r>
      <w:r>
        <w:rPr>
          <w:bCs/>
          <w:caps/>
          <w:color w:val="000000" w:themeColor="text1"/>
          <w:szCs w:val="21"/>
          <w:highlight w:val="none"/>
        </w:rPr>
        <w:fldChar w:fldCharType="separate"/>
      </w:r>
      <w:r>
        <w:rPr>
          <w:rFonts w:hint="eastAsia"/>
          <w:color w:val="000000" w:themeColor="text1"/>
          <w:highlight w:val="none"/>
        </w:rPr>
        <w:t>（一）资格审查文件要求提交的有效证明文件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_Toc24255 \h </w:instrText>
      </w:r>
      <w:r>
        <w:rPr>
          <w:color w:val="000000" w:themeColor="text1"/>
          <w:highlight w:val="none"/>
        </w:rPr>
        <w:fldChar w:fldCharType="separate"/>
      </w:r>
      <w:r>
        <w:rPr>
          <w:color w:val="000000" w:themeColor="text1"/>
          <w:highlight w:val="none"/>
        </w:rPr>
        <w:t>63</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_Toc28431 </w:instrText>
      </w:r>
      <w:r>
        <w:rPr>
          <w:bCs/>
          <w:caps/>
          <w:color w:val="000000" w:themeColor="text1"/>
          <w:szCs w:val="21"/>
          <w:highlight w:val="none"/>
        </w:rPr>
        <w:fldChar w:fldCharType="separate"/>
      </w:r>
      <w:r>
        <w:rPr>
          <w:rFonts w:hint="eastAsia" w:hAnsi="黑体"/>
          <w:color w:val="000000" w:themeColor="text1"/>
          <w:szCs w:val="21"/>
          <w:highlight w:val="none"/>
        </w:rPr>
        <w:t>（二）无重大违法记录声明函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_Toc28431 \h </w:instrText>
      </w:r>
      <w:r>
        <w:rPr>
          <w:color w:val="000000" w:themeColor="text1"/>
          <w:highlight w:val="none"/>
        </w:rPr>
        <w:fldChar w:fldCharType="separate"/>
      </w:r>
      <w:r>
        <w:rPr>
          <w:color w:val="000000" w:themeColor="text1"/>
          <w:highlight w:val="none"/>
        </w:rPr>
        <w:t>64</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_Toc23785 </w:instrText>
      </w:r>
      <w:r>
        <w:rPr>
          <w:bCs/>
          <w:caps/>
          <w:color w:val="000000" w:themeColor="text1"/>
          <w:szCs w:val="21"/>
          <w:highlight w:val="none"/>
        </w:rPr>
        <w:fldChar w:fldCharType="separate"/>
      </w:r>
      <w:r>
        <w:rPr>
          <w:rFonts w:hint="default"/>
          <w:color w:val="000000" w:themeColor="text1"/>
          <w:highlight w:val="none"/>
        </w:rPr>
        <w:t xml:space="preserve">第二章 </w:t>
      </w:r>
      <w:r>
        <w:rPr>
          <w:rFonts w:hint="eastAsia"/>
          <w:color w:val="000000" w:themeColor="text1"/>
          <w:highlight w:val="none"/>
        </w:rPr>
        <w:t>投标文件商务及技术部分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_Toc23785 \h </w:instrText>
      </w:r>
      <w:r>
        <w:rPr>
          <w:color w:val="000000" w:themeColor="text1"/>
          <w:highlight w:val="none"/>
        </w:rPr>
        <w:fldChar w:fldCharType="separate"/>
      </w:r>
      <w:r>
        <w:rPr>
          <w:color w:val="000000" w:themeColor="text1"/>
          <w:highlight w:val="none"/>
        </w:rPr>
        <w:t>65</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_Toc11625 </w:instrText>
      </w:r>
      <w:r>
        <w:rPr>
          <w:bCs/>
          <w:caps/>
          <w:color w:val="000000" w:themeColor="text1"/>
          <w:szCs w:val="21"/>
          <w:highlight w:val="none"/>
        </w:rPr>
        <w:fldChar w:fldCharType="separate"/>
      </w:r>
      <w:r>
        <w:rPr>
          <w:rFonts w:hint="eastAsia"/>
          <w:color w:val="000000" w:themeColor="text1"/>
          <w:highlight w:val="none"/>
        </w:rPr>
        <w:t>商务及技术封面格式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_Toc11625 \h </w:instrText>
      </w:r>
      <w:r>
        <w:rPr>
          <w:color w:val="000000" w:themeColor="text1"/>
          <w:highlight w:val="none"/>
        </w:rPr>
        <w:fldChar w:fldCharType="separate"/>
      </w:r>
      <w:r>
        <w:rPr>
          <w:color w:val="000000" w:themeColor="text1"/>
          <w:highlight w:val="none"/>
        </w:rPr>
        <w:t>65</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_Toc19051 </w:instrText>
      </w:r>
      <w:r>
        <w:rPr>
          <w:bCs/>
          <w:caps/>
          <w:color w:val="000000" w:themeColor="text1"/>
          <w:szCs w:val="21"/>
          <w:highlight w:val="none"/>
        </w:rPr>
        <w:fldChar w:fldCharType="separate"/>
      </w:r>
      <w:r>
        <w:rPr>
          <w:rFonts w:hint="eastAsia" w:ascii="宋体"/>
          <w:bCs w:val="0"/>
          <w:color w:val="000000" w:themeColor="text1"/>
          <w:szCs w:val="21"/>
          <w:highlight w:val="none"/>
        </w:rPr>
        <w:t>符合性自查表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_Toc19051 \h </w:instrText>
      </w:r>
      <w:r>
        <w:rPr>
          <w:color w:val="000000" w:themeColor="text1"/>
          <w:highlight w:val="none"/>
        </w:rPr>
        <w:fldChar w:fldCharType="separate"/>
      </w:r>
      <w:r>
        <w:rPr>
          <w:color w:val="000000" w:themeColor="text1"/>
          <w:highlight w:val="none"/>
        </w:rPr>
        <w:t>67</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_Toc29136 </w:instrText>
      </w:r>
      <w:r>
        <w:rPr>
          <w:bCs/>
          <w:caps/>
          <w:color w:val="000000" w:themeColor="text1"/>
          <w:szCs w:val="21"/>
          <w:highlight w:val="none"/>
        </w:rPr>
        <w:fldChar w:fldCharType="separate"/>
      </w:r>
      <w:r>
        <w:rPr>
          <w:rFonts w:hint="eastAsia" w:ascii="宋体"/>
          <w:color w:val="000000" w:themeColor="text1"/>
          <w:szCs w:val="21"/>
          <w:highlight w:val="none"/>
        </w:rPr>
        <w:t>评审项目投标资料表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_Toc29136 \h </w:instrText>
      </w:r>
      <w:r>
        <w:rPr>
          <w:color w:val="000000" w:themeColor="text1"/>
          <w:highlight w:val="none"/>
        </w:rPr>
        <w:fldChar w:fldCharType="separate"/>
      </w:r>
      <w:r>
        <w:rPr>
          <w:color w:val="000000" w:themeColor="text1"/>
          <w:highlight w:val="none"/>
        </w:rPr>
        <w:t>68</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_Toc17042 </w:instrText>
      </w:r>
      <w:r>
        <w:rPr>
          <w:bCs/>
          <w:caps/>
          <w:color w:val="000000" w:themeColor="text1"/>
          <w:szCs w:val="21"/>
          <w:highlight w:val="none"/>
        </w:rPr>
        <w:fldChar w:fldCharType="separate"/>
      </w:r>
      <w:r>
        <w:rPr>
          <w:rFonts w:hint="eastAsia"/>
          <w:color w:val="000000" w:themeColor="text1"/>
          <w:highlight w:val="none"/>
        </w:rPr>
        <w:t>（一）法定代表人（负责人）证明书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_Toc17042 \h </w:instrText>
      </w:r>
      <w:r>
        <w:rPr>
          <w:color w:val="000000" w:themeColor="text1"/>
          <w:highlight w:val="none"/>
        </w:rPr>
        <w:fldChar w:fldCharType="separate"/>
      </w:r>
      <w:r>
        <w:rPr>
          <w:color w:val="000000" w:themeColor="text1"/>
          <w:highlight w:val="none"/>
        </w:rPr>
        <w:t>69</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_Toc29932 </w:instrText>
      </w:r>
      <w:r>
        <w:rPr>
          <w:bCs/>
          <w:caps/>
          <w:color w:val="000000" w:themeColor="text1"/>
          <w:szCs w:val="21"/>
          <w:highlight w:val="none"/>
        </w:rPr>
        <w:fldChar w:fldCharType="separate"/>
      </w:r>
      <w:r>
        <w:rPr>
          <w:rFonts w:hint="eastAsia"/>
          <w:color w:val="000000" w:themeColor="text1"/>
          <w:highlight w:val="none"/>
        </w:rPr>
        <w:t>（二）法定代表人（负责人）授权书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_Toc29932 \h </w:instrText>
      </w:r>
      <w:r>
        <w:rPr>
          <w:color w:val="000000" w:themeColor="text1"/>
          <w:highlight w:val="none"/>
        </w:rPr>
        <w:fldChar w:fldCharType="separate"/>
      </w:r>
      <w:r>
        <w:rPr>
          <w:color w:val="000000" w:themeColor="text1"/>
          <w:highlight w:val="none"/>
        </w:rPr>
        <w:t>70</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_Toc17323 </w:instrText>
      </w:r>
      <w:r>
        <w:rPr>
          <w:bCs/>
          <w:caps/>
          <w:color w:val="000000" w:themeColor="text1"/>
          <w:szCs w:val="21"/>
          <w:highlight w:val="none"/>
        </w:rPr>
        <w:fldChar w:fldCharType="separate"/>
      </w:r>
      <w:r>
        <w:rPr>
          <w:rFonts w:hint="eastAsia"/>
          <w:color w:val="000000" w:themeColor="text1"/>
          <w:highlight w:val="none"/>
        </w:rPr>
        <w:t>附件一：投标函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_Toc17323 \h </w:instrText>
      </w:r>
      <w:r>
        <w:rPr>
          <w:color w:val="000000" w:themeColor="text1"/>
          <w:highlight w:val="none"/>
        </w:rPr>
        <w:fldChar w:fldCharType="separate"/>
      </w:r>
      <w:r>
        <w:rPr>
          <w:color w:val="000000" w:themeColor="text1"/>
          <w:highlight w:val="none"/>
        </w:rPr>
        <w:t>71</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_Toc27384 </w:instrText>
      </w:r>
      <w:r>
        <w:rPr>
          <w:bCs/>
          <w:caps/>
          <w:color w:val="000000" w:themeColor="text1"/>
          <w:szCs w:val="21"/>
          <w:highlight w:val="none"/>
        </w:rPr>
        <w:fldChar w:fldCharType="separate"/>
      </w:r>
      <w:r>
        <w:rPr>
          <w:rFonts w:hint="eastAsia"/>
          <w:color w:val="000000" w:themeColor="text1"/>
          <w:highlight w:val="none"/>
        </w:rPr>
        <w:t>附件二：开标一览表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_Toc27384 \h </w:instrText>
      </w:r>
      <w:r>
        <w:rPr>
          <w:color w:val="000000" w:themeColor="text1"/>
          <w:highlight w:val="none"/>
        </w:rPr>
        <w:fldChar w:fldCharType="separate"/>
      </w:r>
      <w:r>
        <w:rPr>
          <w:color w:val="000000" w:themeColor="text1"/>
          <w:highlight w:val="none"/>
        </w:rPr>
        <w:t>72</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_Toc11171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三</w:t>
      </w:r>
      <w:r>
        <w:rPr>
          <w:rFonts w:hint="eastAsia"/>
          <w:color w:val="000000" w:themeColor="text1"/>
          <w:highlight w:val="none"/>
        </w:rPr>
        <w:t>：</w:t>
      </w:r>
      <w:r>
        <w:rPr>
          <w:rFonts w:hint="eastAsia"/>
          <w:color w:val="000000" w:themeColor="text1"/>
          <w:highlight w:val="none"/>
          <w:lang w:val="en-US" w:eastAsia="zh-CN"/>
        </w:rPr>
        <w:t>用户需求</w:t>
      </w:r>
      <w:r>
        <w:rPr>
          <w:rFonts w:hint="eastAsia"/>
          <w:color w:val="000000" w:themeColor="text1"/>
          <w:highlight w:val="none"/>
        </w:rPr>
        <w:t>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_Toc11171 \h </w:instrText>
      </w:r>
      <w:r>
        <w:rPr>
          <w:color w:val="000000" w:themeColor="text1"/>
          <w:highlight w:val="none"/>
        </w:rPr>
        <w:fldChar w:fldCharType="separate"/>
      </w:r>
      <w:r>
        <w:rPr>
          <w:color w:val="000000" w:themeColor="text1"/>
          <w:highlight w:val="none"/>
        </w:rPr>
        <w:t>73</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_Toc12896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四</w:t>
      </w:r>
      <w:r>
        <w:rPr>
          <w:rFonts w:hint="eastAsia"/>
          <w:color w:val="000000" w:themeColor="text1"/>
          <w:highlight w:val="none"/>
        </w:rPr>
        <w:t>：</w:t>
      </w:r>
      <w:r>
        <w:rPr>
          <w:rFonts w:hint="eastAsia"/>
          <w:color w:val="000000" w:themeColor="text1"/>
          <w:highlight w:val="none"/>
          <w:lang w:val="en-US" w:eastAsia="zh-CN"/>
        </w:rPr>
        <w:t>合同条款</w:t>
      </w:r>
      <w:r>
        <w:rPr>
          <w:rFonts w:hint="eastAsia"/>
          <w:color w:val="000000" w:themeColor="text1"/>
          <w:highlight w:val="none"/>
        </w:rPr>
        <w:t>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_Toc12896 \h </w:instrText>
      </w:r>
      <w:r>
        <w:rPr>
          <w:color w:val="000000" w:themeColor="text1"/>
          <w:highlight w:val="none"/>
        </w:rPr>
        <w:fldChar w:fldCharType="separate"/>
      </w:r>
      <w:r>
        <w:rPr>
          <w:color w:val="000000" w:themeColor="text1"/>
          <w:highlight w:val="none"/>
        </w:rPr>
        <w:t>74</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_Toc16029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五</w:t>
      </w:r>
      <w:r>
        <w:rPr>
          <w:rFonts w:hint="eastAsia"/>
          <w:color w:val="000000" w:themeColor="text1"/>
          <w:highlight w:val="none"/>
        </w:rPr>
        <w:t>：同类业绩一览表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_Toc16029 \h </w:instrText>
      </w:r>
      <w:r>
        <w:rPr>
          <w:color w:val="000000" w:themeColor="text1"/>
          <w:highlight w:val="none"/>
        </w:rPr>
        <w:fldChar w:fldCharType="separate"/>
      </w:r>
      <w:r>
        <w:rPr>
          <w:color w:val="000000" w:themeColor="text1"/>
          <w:highlight w:val="none"/>
        </w:rPr>
        <w:t>75</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_Toc2172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六</w:t>
      </w:r>
      <w:r>
        <w:rPr>
          <w:rFonts w:hint="eastAsia"/>
          <w:color w:val="000000" w:themeColor="text1"/>
          <w:highlight w:val="none"/>
        </w:rPr>
        <w:t>：</w:t>
      </w:r>
      <w:r>
        <w:rPr>
          <w:rFonts w:hint="eastAsia" w:hAnsi="黑体" w:cs="黑体"/>
          <w:color w:val="000000" w:themeColor="text1"/>
          <w:highlight w:val="none"/>
        </w:rPr>
        <w:t>中小企业声明函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_Toc2172 \h </w:instrText>
      </w:r>
      <w:r>
        <w:rPr>
          <w:color w:val="000000" w:themeColor="text1"/>
          <w:highlight w:val="none"/>
        </w:rPr>
        <w:fldChar w:fldCharType="separate"/>
      </w:r>
      <w:r>
        <w:rPr>
          <w:color w:val="000000" w:themeColor="text1"/>
          <w:highlight w:val="none"/>
        </w:rPr>
        <w:t>76</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_Toc12109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七</w:t>
      </w:r>
      <w:r>
        <w:rPr>
          <w:rFonts w:hint="eastAsia"/>
          <w:color w:val="000000" w:themeColor="text1"/>
          <w:highlight w:val="none"/>
        </w:rPr>
        <w:t>：</w:t>
      </w:r>
      <w:r>
        <w:rPr>
          <w:rFonts w:hint="eastAsia" w:hAnsi="黑体" w:cs="黑体"/>
          <w:color w:val="000000" w:themeColor="text1"/>
          <w:highlight w:val="none"/>
        </w:rPr>
        <w:t>残疾人福利性单位声明函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_Toc12109 \h </w:instrText>
      </w:r>
      <w:r>
        <w:rPr>
          <w:color w:val="000000" w:themeColor="text1"/>
          <w:highlight w:val="none"/>
        </w:rPr>
        <w:fldChar w:fldCharType="separate"/>
      </w:r>
      <w:r>
        <w:rPr>
          <w:color w:val="000000" w:themeColor="text1"/>
          <w:highlight w:val="none"/>
        </w:rPr>
        <w:t>77</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_Toc32002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八</w:t>
      </w:r>
      <w:r>
        <w:rPr>
          <w:rFonts w:hint="eastAsia"/>
          <w:color w:val="000000" w:themeColor="text1"/>
          <w:highlight w:val="none"/>
        </w:rPr>
        <w:t>：中标服务费承诺</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_Toc32002 \h </w:instrText>
      </w:r>
      <w:r>
        <w:rPr>
          <w:color w:val="000000" w:themeColor="text1"/>
          <w:highlight w:val="none"/>
        </w:rPr>
        <w:fldChar w:fldCharType="separate"/>
      </w:r>
      <w:r>
        <w:rPr>
          <w:color w:val="000000" w:themeColor="text1"/>
          <w:highlight w:val="none"/>
        </w:rPr>
        <w:t>78</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_Toc7961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九</w:t>
      </w:r>
      <w:r>
        <w:rPr>
          <w:rFonts w:hint="eastAsia"/>
          <w:color w:val="000000" w:themeColor="text1"/>
          <w:highlight w:val="none"/>
        </w:rPr>
        <w:t>：投标人提交的其它商务和技术资料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_Toc7961 \h </w:instrText>
      </w:r>
      <w:r>
        <w:rPr>
          <w:color w:val="000000" w:themeColor="text1"/>
          <w:highlight w:val="none"/>
        </w:rPr>
        <w:fldChar w:fldCharType="separate"/>
      </w:r>
      <w:r>
        <w:rPr>
          <w:color w:val="000000" w:themeColor="text1"/>
          <w:highlight w:val="none"/>
        </w:rPr>
        <w:t>79</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_Toc25122 </w:instrText>
      </w:r>
      <w:r>
        <w:rPr>
          <w:bCs/>
          <w:caps/>
          <w:color w:val="000000" w:themeColor="text1"/>
          <w:szCs w:val="21"/>
          <w:highlight w:val="none"/>
        </w:rPr>
        <w:fldChar w:fldCharType="separate"/>
      </w:r>
      <w:r>
        <w:rPr>
          <w:rFonts w:hint="eastAsia"/>
          <w:color w:val="000000" w:themeColor="text1"/>
          <w:highlight w:val="none"/>
        </w:rPr>
        <w:t>其 他 格 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_Toc25122 \h </w:instrText>
      </w:r>
      <w:r>
        <w:rPr>
          <w:color w:val="000000" w:themeColor="text1"/>
          <w:highlight w:val="none"/>
        </w:rPr>
        <w:fldChar w:fldCharType="separate"/>
      </w:r>
      <w:r>
        <w:rPr>
          <w:color w:val="000000" w:themeColor="text1"/>
          <w:highlight w:val="none"/>
        </w:rPr>
        <w:t>80</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_Toc31821 </w:instrText>
      </w:r>
      <w:r>
        <w:rPr>
          <w:bCs/>
          <w:caps/>
          <w:color w:val="000000" w:themeColor="text1"/>
          <w:szCs w:val="21"/>
          <w:highlight w:val="none"/>
        </w:rPr>
        <w:fldChar w:fldCharType="separate"/>
      </w:r>
      <w:r>
        <w:rPr>
          <w:rFonts w:hint="eastAsia" w:ascii="宋体" w:hAnsi="宋体" w:eastAsia="宋体"/>
          <w:color w:val="000000" w:themeColor="text1"/>
          <w:highlight w:val="none"/>
        </w:rPr>
        <w:t>投标保证金退付书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_Toc31821 \h </w:instrText>
      </w:r>
      <w:r>
        <w:rPr>
          <w:color w:val="000000" w:themeColor="text1"/>
          <w:highlight w:val="none"/>
        </w:rPr>
        <w:fldChar w:fldCharType="separate"/>
      </w:r>
      <w:r>
        <w:rPr>
          <w:color w:val="000000" w:themeColor="text1"/>
          <w:highlight w:val="none"/>
        </w:rPr>
        <w:t>81</w:t>
      </w:r>
      <w:r>
        <w:rPr>
          <w:color w:val="000000" w:themeColor="text1"/>
          <w:highlight w:val="none"/>
        </w:rPr>
        <w:fldChar w:fldCharType="end"/>
      </w:r>
      <w:r>
        <w:rPr>
          <w:bCs/>
          <w:caps/>
          <w:color w:val="000000" w:themeColor="text1"/>
          <w:szCs w:val="21"/>
          <w:highlight w:val="none"/>
        </w:rPr>
        <w:fldChar w:fldCharType="end"/>
      </w:r>
    </w:p>
    <w:p>
      <w:pPr>
        <w:rPr>
          <w:color w:val="000000" w:themeColor="text1"/>
          <w:highlight w:val="none"/>
        </w:rPr>
        <w:sectPr>
          <w:headerReference r:id="rId7" w:type="first"/>
          <w:footerReference r:id="rId8" w:type="first"/>
          <w:headerReference r:id="rId6" w:type="default"/>
          <w:type w:val="continuous"/>
          <w:pgSz w:w="11907" w:h="16840"/>
          <w:pgMar w:top="1418" w:right="1474" w:bottom="1418" w:left="1474" w:header="851" w:footer="851" w:gutter="0"/>
          <w:cols w:space="720" w:num="1"/>
          <w:docGrid w:linePitch="462" w:charSpace="0"/>
        </w:sectPr>
      </w:pPr>
      <w:r>
        <w:rPr>
          <w:bCs/>
          <w:caps/>
          <w:color w:val="000000" w:themeColor="text1"/>
          <w:szCs w:val="21"/>
          <w:highlight w:val="none"/>
        </w:rPr>
        <w:fldChar w:fldCharType="end"/>
      </w:r>
    </w:p>
    <w:bookmarkEnd w:id="0"/>
    <w:p>
      <w:pPr>
        <w:pStyle w:val="3"/>
        <w:numPr>
          <w:ilvl w:val="0"/>
          <w:numId w:val="0"/>
        </w:numPr>
        <w:spacing w:beforeLines="0"/>
        <w:rPr>
          <w:color w:val="000000" w:themeColor="text1"/>
          <w:highlight w:val="none"/>
        </w:rPr>
      </w:pPr>
      <w:bookmarkStart w:id="1" w:name="_Toc332270305"/>
      <w:bookmarkStart w:id="2" w:name="_Toc333237723"/>
      <w:bookmarkStart w:id="3" w:name="_Toc333935619"/>
      <w:bookmarkStart w:id="4" w:name="_Toc337632315"/>
      <w:bookmarkStart w:id="5" w:name="_Toc339019954"/>
      <w:bookmarkStart w:id="6" w:name="_Toc339020048"/>
      <w:bookmarkStart w:id="7" w:name="_Toc336681892"/>
      <w:bookmarkStart w:id="8" w:name="_Toc350438702"/>
      <w:bookmarkStart w:id="9" w:name="_Toc330459945"/>
      <w:bookmarkStart w:id="10" w:name="_Toc340507403"/>
      <w:bookmarkStart w:id="11" w:name="_Toc365967002"/>
      <w:bookmarkStart w:id="12" w:name="_Toc336681537"/>
      <w:bookmarkStart w:id="13" w:name="_Toc332206657"/>
      <w:bookmarkStart w:id="14" w:name="_Toc350756403"/>
      <w:bookmarkStart w:id="15" w:name="_Toc349143546"/>
      <w:bookmarkStart w:id="16" w:name="_Toc339441044"/>
      <w:bookmarkStart w:id="17" w:name="_Toc340672830"/>
      <w:bookmarkStart w:id="18" w:name="_Toc331512856"/>
      <w:bookmarkStart w:id="19" w:name="_Toc32474"/>
      <w:bookmarkStart w:id="20" w:name="_Toc366072457"/>
      <w:bookmarkStart w:id="21" w:name="_Toc333237612"/>
      <w:bookmarkStart w:id="22" w:name="_Toc331683994"/>
      <w:bookmarkStart w:id="23" w:name="_Toc341348291"/>
      <w:bookmarkStart w:id="24" w:name="_Toc333238571"/>
      <w:bookmarkStart w:id="25" w:name="_Toc345513762"/>
      <w:bookmarkStart w:id="26" w:name="_Toc339019828"/>
      <w:bookmarkStart w:id="27" w:name="_Toc342296708"/>
      <w:bookmarkStart w:id="28" w:name="_Toc342060322"/>
      <w:bookmarkStart w:id="29" w:name="_Toc340677031"/>
      <w:bookmarkStart w:id="30" w:name="_Toc365985108"/>
      <w:bookmarkStart w:id="31" w:name="_Toc349127583"/>
      <w:bookmarkStart w:id="32" w:name="_Toc333935278"/>
      <w:bookmarkStart w:id="33" w:name="_Toc339020186"/>
      <w:bookmarkStart w:id="34" w:name="_Toc339362257"/>
      <w:bookmarkStart w:id="35" w:name="_Toc500860978"/>
      <w:r>
        <w:rPr>
          <w:rFonts w:hint="eastAsia"/>
          <w:color w:val="000000" w:themeColor="text1"/>
          <w:highlight w:val="none"/>
        </w:rPr>
        <w:t>第一</w:t>
      </w:r>
      <w:bookmarkStart w:id="36" w:name="_Hlt23321731"/>
      <w:bookmarkEnd w:id="36"/>
      <w:r>
        <w:rPr>
          <w:rFonts w:hint="eastAsia"/>
          <w:color w:val="000000" w:themeColor="text1"/>
          <w:highlight w:val="none"/>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rPr>
      </w:pPr>
      <w:r>
        <w:rPr>
          <w:rFonts w:hint="eastAsia" w:ascii="宋体" w:hAnsi="宋体"/>
          <w:bCs/>
          <w:color w:val="000000" w:themeColor="text1"/>
          <w:highlight w:val="none"/>
        </w:rPr>
        <w:t>广东业信采购招标有限公司（以下简称“代理采购机构”）受</w:t>
      </w:r>
      <w:r>
        <w:rPr>
          <w:rFonts w:hint="eastAsia" w:ascii="宋体" w:hAnsi="宋体"/>
          <w:bCs/>
          <w:color w:val="000000" w:themeColor="text1"/>
          <w:highlight w:val="none"/>
          <w:lang w:eastAsia="zh-CN"/>
        </w:rPr>
        <w:t>国家税务总局阳西县税务局</w:t>
      </w:r>
      <w:r>
        <w:rPr>
          <w:rFonts w:hint="eastAsia" w:ascii="宋体" w:hAnsi="宋体"/>
          <w:bCs/>
          <w:color w:val="000000" w:themeColor="text1"/>
          <w:highlight w:val="none"/>
        </w:rPr>
        <w:t>（以下简称</w:t>
      </w:r>
      <w:r>
        <w:rPr>
          <w:rFonts w:ascii="宋体" w:hAnsi="宋体"/>
          <w:bCs/>
          <w:color w:val="000000" w:themeColor="text1"/>
          <w:highlight w:val="none"/>
        </w:rPr>
        <w:t>“</w:t>
      </w:r>
      <w:r>
        <w:rPr>
          <w:rFonts w:hint="eastAsia" w:ascii="宋体" w:hAnsi="宋体"/>
          <w:bCs/>
          <w:color w:val="000000" w:themeColor="text1"/>
          <w:highlight w:val="none"/>
        </w:rPr>
        <w:t>采购人</w:t>
      </w:r>
      <w:r>
        <w:rPr>
          <w:rFonts w:ascii="宋体" w:hAnsi="宋体"/>
          <w:bCs/>
          <w:color w:val="000000" w:themeColor="text1"/>
          <w:highlight w:val="none"/>
        </w:rPr>
        <w:t>”</w:t>
      </w:r>
      <w:r>
        <w:rPr>
          <w:rFonts w:hint="eastAsia" w:ascii="宋体" w:hAnsi="宋体"/>
          <w:bCs/>
          <w:color w:val="000000" w:themeColor="text1"/>
          <w:highlight w:val="none"/>
        </w:rPr>
        <w:t>）的委托，就</w:t>
      </w:r>
      <w:r>
        <w:rPr>
          <w:rFonts w:hint="eastAsia" w:ascii="宋体" w:hAnsi="宋体"/>
          <w:bCs/>
          <w:color w:val="000000" w:themeColor="text1"/>
          <w:highlight w:val="none"/>
          <w:lang w:eastAsia="zh-CN"/>
        </w:rPr>
        <w:t>国家税务总局阳西县税务局2023年－2025年劳务外包服务项目</w:t>
      </w:r>
      <w:r>
        <w:rPr>
          <w:rFonts w:hint="eastAsia" w:ascii="宋体" w:hAnsi="宋体"/>
          <w:bCs/>
          <w:color w:val="000000" w:themeColor="text1"/>
          <w:highlight w:val="none"/>
        </w:rPr>
        <w:t>进行公开招标(项目编号:</w:t>
      </w:r>
      <w:r>
        <w:rPr>
          <w:rFonts w:hint="eastAsia" w:ascii="宋体" w:hAnsi="宋体"/>
          <w:bCs/>
          <w:color w:val="000000" w:themeColor="text1"/>
          <w:highlight w:val="none"/>
          <w:lang w:eastAsia="zh-CN"/>
        </w:rPr>
        <w:t>YXCG-20230514</w:t>
      </w:r>
      <w:r>
        <w:rPr>
          <w:rFonts w:hint="eastAsia" w:ascii="宋体" w:hAnsi="宋体"/>
          <w:bCs/>
          <w:color w:val="000000" w:themeColor="text1"/>
          <w:highlight w:val="none"/>
        </w:rPr>
        <w:t>)，欢迎符合条件的投标人参加。有关事项如下：</w:t>
      </w:r>
    </w:p>
    <w:p>
      <w:pPr>
        <w:widowControl/>
        <w:tabs>
          <w:tab w:val="left" w:pos="502"/>
        </w:tabs>
        <w:adjustRightInd w:val="0"/>
        <w:snapToGrid w:val="0"/>
        <w:spacing w:line="360" w:lineRule="auto"/>
        <w:rPr>
          <w:rFonts w:hint="eastAsia" w:ascii="Tahoma" w:hAnsi="Tahoma" w:eastAsia="宋体" w:cs="Tahoma"/>
          <w:b/>
          <w:bCs/>
          <w:color w:val="000000" w:themeColor="text1"/>
          <w:szCs w:val="21"/>
          <w:highlight w:val="none"/>
          <w:lang w:eastAsia="zh-CN"/>
        </w:rPr>
      </w:pPr>
      <w:r>
        <w:rPr>
          <w:rFonts w:hint="eastAsia" w:ascii="宋体" w:hAnsi="宋体" w:cs="Tahoma"/>
          <w:b/>
          <w:bCs/>
          <w:color w:val="000000" w:themeColor="text1"/>
          <w:highlight w:val="none"/>
        </w:rPr>
        <w:t>一、</w:t>
      </w:r>
      <w:r>
        <w:rPr>
          <w:rFonts w:hint="eastAsia" w:ascii="Tahoma" w:hAnsi="Tahoma" w:cs="Tahoma"/>
          <w:b/>
          <w:bCs/>
          <w:color w:val="000000" w:themeColor="text1"/>
          <w:szCs w:val="21"/>
          <w:highlight w:val="none"/>
        </w:rPr>
        <w:t>招标项目的名称、用途、数量、采购方式</w:t>
      </w:r>
      <w:r>
        <w:rPr>
          <w:rFonts w:hint="eastAsia" w:ascii="Tahoma" w:hAnsi="Tahoma" w:cs="Tahoma"/>
          <w:b/>
          <w:bCs/>
          <w:color w:val="000000" w:themeColor="text1"/>
          <w:szCs w:val="21"/>
          <w:highlight w:val="none"/>
          <w:lang w:eastAsia="zh-CN"/>
        </w:rPr>
        <w:t>等</w:t>
      </w:r>
    </w:p>
    <w:p>
      <w:pPr>
        <w:widowControl/>
        <w:numPr>
          <w:ilvl w:val="0"/>
          <w:numId w:val="20"/>
        </w:numPr>
        <w:tabs>
          <w:tab w:val="left" w:pos="735"/>
          <w:tab w:val="clear" w:pos="528"/>
        </w:tabs>
        <w:adjustRightInd w:val="0"/>
        <w:snapToGrid w:val="0"/>
        <w:spacing w:line="360" w:lineRule="auto"/>
        <w:ind w:left="1785" w:leftChars="200" w:hanging="1365" w:hangingChars="650"/>
        <w:rPr>
          <w:rFonts w:ascii="宋体" w:hAnsi="宋体"/>
          <w:bCs/>
          <w:color w:val="000000" w:themeColor="text1"/>
          <w:highlight w:val="none"/>
        </w:rPr>
      </w:pPr>
      <w:r>
        <w:rPr>
          <w:rFonts w:hint="eastAsia" w:ascii="宋体" w:hAnsi="宋体"/>
          <w:bCs/>
          <w:color w:val="000000" w:themeColor="text1"/>
          <w:highlight w:val="none"/>
        </w:rPr>
        <w:t>项目名称：</w:t>
      </w:r>
      <w:r>
        <w:rPr>
          <w:rFonts w:hint="eastAsia" w:ascii="宋体" w:hAnsi="宋体"/>
          <w:bCs/>
          <w:color w:val="000000" w:themeColor="text1"/>
          <w:highlight w:val="none"/>
          <w:lang w:eastAsia="zh-CN"/>
        </w:rPr>
        <w:t>国家税务总局阳西县税务局2023年－2025年劳务外包服务项目</w:t>
      </w:r>
    </w:p>
    <w:p>
      <w:pPr>
        <w:widowControl/>
        <w:numPr>
          <w:ilvl w:val="0"/>
          <w:numId w:val="20"/>
        </w:numPr>
        <w:tabs>
          <w:tab w:val="left" w:pos="735"/>
          <w:tab w:val="clear" w:pos="528"/>
        </w:tabs>
        <w:adjustRightInd w:val="0"/>
        <w:snapToGrid w:val="0"/>
        <w:spacing w:line="360" w:lineRule="auto"/>
        <w:ind w:left="420" w:leftChars="200" w:firstLine="0"/>
        <w:rPr>
          <w:rFonts w:ascii="宋体" w:hAnsi="宋体"/>
          <w:bCs/>
          <w:color w:val="000000" w:themeColor="text1"/>
          <w:highlight w:val="none"/>
        </w:rPr>
      </w:pPr>
      <w:r>
        <w:rPr>
          <w:rFonts w:hint="eastAsia" w:ascii="宋体" w:hAnsi="宋体"/>
          <w:bCs/>
          <w:color w:val="000000" w:themeColor="text1"/>
          <w:highlight w:val="none"/>
        </w:rPr>
        <w:t xml:space="preserve">项目编号: </w:t>
      </w:r>
      <w:r>
        <w:rPr>
          <w:rFonts w:hint="eastAsia" w:ascii="宋体" w:hAnsi="宋体"/>
          <w:bCs/>
          <w:color w:val="000000" w:themeColor="text1"/>
          <w:highlight w:val="none"/>
          <w:lang w:eastAsia="zh-CN"/>
        </w:rPr>
        <w:t>YXCG-20230514</w:t>
      </w:r>
    </w:p>
    <w:p>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rPr>
      </w:pPr>
      <w:r>
        <w:rPr>
          <w:rFonts w:hint="eastAsia" w:ascii="宋体" w:hAnsi="宋体"/>
          <w:bCs/>
          <w:color w:val="000000" w:themeColor="text1"/>
          <w:highlight w:val="none"/>
          <w:lang w:val="en-US" w:eastAsia="zh-CN"/>
        </w:rPr>
        <w:t>项目预算</w:t>
      </w:r>
      <w:r>
        <w:rPr>
          <w:rFonts w:hint="eastAsia" w:ascii="宋体" w:hAnsi="宋体"/>
          <w:bCs/>
          <w:color w:val="000000" w:themeColor="text1"/>
          <w:highlight w:val="none"/>
        </w:rPr>
        <w:t>：</w:t>
      </w:r>
      <w:r>
        <w:rPr>
          <w:rFonts w:hint="eastAsia" w:ascii="宋体" w:hAnsi="宋体"/>
          <w:bCs/>
          <w:color w:val="000000" w:themeColor="text1"/>
          <w:highlight w:val="none"/>
          <w:lang w:val="en-US" w:eastAsia="zh-CN"/>
        </w:rPr>
        <w:t>人民币720万元，其中每年360万元，不划分包组。</w:t>
      </w:r>
    </w:p>
    <w:p>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rPr>
      </w:pPr>
      <w:r>
        <w:rPr>
          <w:rFonts w:hint="eastAsia" w:ascii="宋体" w:hAnsi="宋体"/>
          <w:bCs/>
          <w:color w:val="000000" w:themeColor="text1"/>
          <w:highlight w:val="none"/>
        </w:rPr>
        <w:t>数  量：一项</w:t>
      </w:r>
    </w:p>
    <w:p>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rPr>
      </w:pPr>
      <w:r>
        <w:rPr>
          <w:rFonts w:hint="eastAsia" w:ascii="宋体" w:hAnsi="宋体"/>
          <w:b w:val="0"/>
          <w:bCs w:val="0"/>
          <w:color w:val="000000" w:themeColor="text1"/>
          <w:szCs w:val="21"/>
          <w:highlight w:val="none"/>
        </w:rPr>
        <w:t>服务期</w:t>
      </w:r>
      <w:r>
        <w:rPr>
          <w:rFonts w:hint="eastAsia" w:ascii="宋体" w:hAnsi="宋体"/>
          <w:b w:val="0"/>
          <w:bCs w:val="0"/>
          <w:color w:val="000000" w:themeColor="text1"/>
          <w:spacing w:val="-6"/>
          <w:szCs w:val="21"/>
          <w:highlight w:val="none"/>
        </w:rPr>
        <w:t>：</w:t>
      </w:r>
      <w:r>
        <w:rPr>
          <w:rFonts w:hint="eastAsia" w:ascii="宋体" w:hAnsi="宋体"/>
          <w:color w:val="000000" w:themeColor="text1"/>
          <w:szCs w:val="21"/>
          <w:highlight w:val="none"/>
          <w:lang w:eastAsia="zh-CN"/>
        </w:rPr>
        <w:t>两年，共24个月。</w:t>
      </w:r>
      <w:r>
        <w:rPr>
          <w:rFonts w:hint="eastAsia" w:ascii="宋体" w:hAnsi="宋体"/>
          <w:bCs/>
          <w:color w:val="000000" w:themeColor="text1"/>
          <w:highlight w:val="none"/>
        </w:rPr>
        <w:t>（</w:t>
      </w:r>
      <w:r>
        <w:rPr>
          <w:rFonts w:hint="eastAsia" w:ascii="宋体" w:hAnsi="宋体"/>
          <w:bCs/>
          <w:color w:val="000000" w:themeColor="text1"/>
          <w:highlight w:val="none"/>
          <w:lang w:val="en-US" w:eastAsia="zh-CN"/>
        </w:rPr>
        <w:t>少于</w:t>
      </w:r>
      <w:r>
        <w:rPr>
          <w:rFonts w:hint="eastAsia" w:ascii="宋体" w:hAnsi="宋体"/>
          <w:bCs/>
          <w:color w:val="000000" w:themeColor="text1"/>
          <w:highlight w:val="none"/>
        </w:rPr>
        <w:t>该服务期将作为无效投标处理）</w:t>
      </w:r>
    </w:p>
    <w:p>
      <w:pPr>
        <w:widowControl/>
        <w:numPr>
          <w:ilvl w:val="0"/>
          <w:numId w:val="20"/>
        </w:numPr>
        <w:tabs>
          <w:tab w:val="left" w:pos="315"/>
          <w:tab w:val="left" w:pos="735"/>
          <w:tab w:val="clear" w:pos="528"/>
        </w:tabs>
        <w:adjustRightInd w:val="0"/>
        <w:snapToGrid w:val="0"/>
        <w:spacing w:line="360" w:lineRule="auto"/>
        <w:ind w:left="420" w:leftChars="200" w:firstLine="0"/>
        <w:rPr>
          <w:rFonts w:hint="eastAsia" w:ascii="宋体" w:hAnsi="宋体" w:cs="Tahoma"/>
          <w:b w:val="0"/>
          <w:bCs w:val="0"/>
          <w:color w:val="000000" w:themeColor="text1"/>
          <w:highlight w:val="none"/>
          <w:lang w:eastAsia="zh-CN"/>
        </w:rPr>
      </w:pPr>
      <w:r>
        <w:rPr>
          <w:rFonts w:hint="eastAsia" w:ascii="宋体" w:hAnsi="宋体" w:cs="Tahoma"/>
          <w:color w:val="000000" w:themeColor="text1"/>
          <w:kern w:val="28"/>
          <w:szCs w:val="21"/>
          <w:highlight w:val="none"/>
        </w:rPr>
        <w:t>项目采购方式：公开招标</w:t>
      </w:r>
    </w:p>
    <w:p>
      <w:pPr>
        <w:widowControl/>
        <w:numPr>
          <w:ilvl w:val="0"/>
          <w:numId w:val="20"/>
        </w:numPr>
        <w:tabs>
          <w:tab w:val="left" w:pos="315"/>
          <w:tab w:val="left" w:pos="735"/>
          <w:tab w:val="clear" w:pos="528"/>
        </w:tabs>
        <w:adjustRightInd w:val="0"/>
        <w:snapToGrid w:val="0"/>
        <w:spacing w:line="360" w:lineRule="auto"/>
        <w:ind w:left="420" w:leftChars="200" w:firstLine="0"/>
        <w:rPr>
          <w:rFonts w:hint="eastAsia" w:ascii="宋体" w:hAnsi="宋体" w:cs="Tahoma"/>
          <w:b w:val="0"/>
          <w:bCs w:val="0"/>
          <w:color w:val="000000" w:themeColor="text1"/>
          <w:highlight w:val="none"/>
          <w:lang w:eastAsia="zh-CN"/>
        </w:rPr>
      </w:pPr>
      <w:r>
        <w:rPr>
          <w:rFonts w:hint="eastAsia" w:ascii="宋体" w:hAnsi="宋体" w:cs="Tahoma"/>
          <w:b w:val="0"/>
          <w:bCs w:val="0"/>
          <w:color w:val="000000" w:themeColor="text1"/>
          <w:highlight w:val="none"/>
          <w:lang w:eastAsia="zh-CN"/>
        </w:rPr>
        <w:t>项目总费用明细：</w:t>
      </w:r>
    </w:p>
    <w:p>
      <w:pPr>
        <w:widowControl/>
        <w:tabs>
          <w:tab w:val="left" w:pos="502"/>
        </w:tabs>
        <w:adjustRightInd w:val="0"/>
        <w:snapToGrid w:val="0"/>
        <w:spacing w:line="360" w:lineRule="auto"/>
        <w:ind w:left="420" w:leftChars="200" w:firstLine="0" w:firstLineChars="0"/>
        <w:rPr>
          <w:rFonts w:hint="eastAsia" w:ascii="宋体" w:hAnsi="宋体" w:cs="Tahoma"/>
          <w:b w:val="0"/>
          <w:bCs w:val="0"/>
          <w:color w:val="000000" w:themeColor="text1"/>
          <w:highlight w:val="none"/>
          <w:lang w:val="en-US" w:eastAsia="zh-CN"/>
        </w:rPr>
      </w:pPr>
      <w:r>
        <w:rPr>
          <w:rFonts w:hint="eastAsia" w:ascii="宋体" w:hAnsi="宋体" w:cs="Tahoma"/>
          <w:b w:val="0"/>
          <w:bCs w:val="0"/>
          <w:color w:val="000000" w:themeColor="text1"/>
          <w:highlight w:val="none"/>
          <w:lang w:val="en-US" w:eastAsia="zh-CN"/>
        </w:rPr>
        <w:t>（1）服务人员正常工作时间的工资及加班费、福利、应缴纳各项社会保险费（含养老、医疗、工伤、失业、生育险、</w:t>
      </w:r>
      <w:r>
        <w:rPr>
          <w:rFonts w:hint="eastAsia"/>
          <w:color w:val="000000" w:themeColor="text1"/>
          <w:highlight w:val="none"/>
          <w:lang w:val="en-US" w:eastAsia="zh-CN"/>
        </w:rPr>
        <w:t>高额医疗保险</w:t>
      </w:r>
      <w:r>
        <w:rPr>
          <w:rFonts w:hint="eastAsia" w:ascii="宋体" w:hAnsi="宋体" w:cs="Tahoma"/>
          <w:b w:val="0"/>
          <w:bCs w:val="0"/>
          <w:color w:val="000000" w:themeColor="text1"/>
          <w:highlight w:val="none"/>
          <w:lang w:val="en-US" w:eastAsia="zh-CN"/>
        </w:rPr>
        <w:t>）、住房公积金。</w:t>
      </w:r>
    </w:p>
    <w:p>
      <w:pPr>
        <w:widowControl/>
        <w:tabs>
          <w:tab w:val="left" w:pos="502"/>
        </w:tabs>
        <w:adjustRightInd w:val="0"/>
        <w:snapToGrid w:val="0"/>
        <w:spacing w:line="360" w:lineRule="auto"/>
        <w:ind w:firstLine="420" w:firstLineChars="200"/>
        <w:rPr>
          <w:rFonts w:hint="eastAsia" w:ascii="宋体" w:hAnsi="宋体" w:cs="Tahoma"/>
          <w:b w:val="0"/>
          <w:bCs w:val="0"/>
          <w:color w:val="000000" w:themeColor="text1"/>
          <w:highlight w:val="none"/>
          <w:lang w:val="en-US" w:eastAsia="zh-CN"/>
        </w:rPr>
      </w:pPr>
      <w:r>
        <w:rPr>
          <w:rFonts w:hint="eastAsia" w:ascii="宋体" w:hAnsi="宋体" w:cs="Tahoma"/>
          <w:b w:val="0"/>
          <w:bCs w:val="0"/>
          <w:color w:val="000000" w:themeColor="text1"/>
          <w:highlight w:val="none"/>
          <w:lang w:val="en-US" w:eastAsia="zh-CN"/>
        </w:rPr>
        <w:t>（2）对服务人员开展节日慰问，提供年度体检服务、培训教育、工作制服有关的费用。</w:t>
      </w:r>
    </w:p>
    <w:p>
      <w:pPr>
        <w:widowControl/>
        <w:tabs>
          <w:tab w:val="left" w:pos="502"/>
        </w:tabs>
        <w:adjustRightInd w:val="0"/>
        <w:snapToGrid w:val="0"/>
        <w:spacing w:line="360" w:lineRule="auto"/>
        <w:ind w:firstLine="420" w:firstLineChars="200"/>
        <w:rPr>
          <w:rFonts w:hint="eastAsia" w:ascii="宋体" w:hAnsi="宋体" w:cs="Tahoma"/>
          <w:b w:val="0"/>
          <w:bCs w:val="0"/>
          <w:color w:val="000000" w:themeColor="text1"/>
          <w:highlight w:val="none"/>
          <w:lang w:val="en-US" w:eastAsia="zh-CN"/>
        </w:rPr>
      </w:pPr>
      <w:r>
        <w:rPr>
          <w:rFonts w:hint="eastAsia" w:ascii="宋体" w:hAnsi="宋体" w:cs="Tahoma"/>
          <w:b w:val="0"/>
          <w:bCs w:val="0"/>
          <w:color w:val="000000" w:themeColor="text1"/>
          <w:highlight w:val="none"/>
          <w:lang w:val="en-US" w:eastAsia="zh-CN"/>
        </w:rPr>
        <w:t>上述第（1）（2）项费用，以下合称“薪酬”。</w:t>
      </w:r>
    </w:p>
    <w:p>
      <w:pPr>
        <w:widowControl/>
        <w:tabs>
          <w:tab w:val="left" w:pos="502"/>
        </w:tabs>
        <w:adjustRightInd w:val="0"/>
        <w:snapToGrid w:val="0"/>
        <w:spacing w:line="360" w:lineRule="auto"/>
        <w:ind w:left="420" w:leftChars="200" w:firstLine="0" w:firstLineChars="0"/>
        <w:rPr>
          <w:rFonts w:hint="eastAsia" w:ascii="宋体" w:hAnsi="宋体" w:cs="Tahoma"/>
          <w:b w:val="0"/>
          <w:bCs w:val="0"/>
          <w:color w:val="000000" w:themeColor="text1"/>
          <w:highlight w:val="none"/>
          <w:lang w:val="en-US" w:eastAsia="zh-CN"/>
        </w:rPr>
      </w:pPr>
      <w:r>
        <w:rPr>
          <w:rFonts w:hint="eastAsia" w:ascii="宋体" w:hAnsi="宋体" w:cs="Tahoma"/>
          <w:b w:val="0"/>
          <w:bCs w:val="0"/>
          <w:color w:val="000000" w:themeColor="text1"/>
          <w:highlight w:val="none"/>
          <w:lang w:val="en-US" w:eastAsia="zh-CN"/>
        </w:rPr>
        <w:t>（3）合同履行过程中因与员工产生劳动纠纷而产生的经济补偿金或赔偿金、工伤待遇、未及时签订劳动合同的另一倍工资等可能产生的法律责任和费用均由中标人承担，中标人不得要求采购人承担。</w:t>
      </w:r>
    </w:p>
    <w:p>
      <w:pPr>
        <w:widowControl/>
        <w:tabs>
          <w:tab w:val="left" w:pos="502"/>
        </w:tabs>
        <w:adjustRightInd w:val="0"/>
        <w:snapToGrid w:val="0"/>
        <w:spacing w:line="360" w:lineRule="auto"/>
        <w:ind w:left="420" w:leftChars="200" w:firstLine="0" w:firstLineChars="0"/>
        <w:rPr>
          <w:rFonts w:hint="eastAsia" w:ascii="宋体" w:hAnsi="宋体" w:cs="Tahoma"/>
          <w:b w:val="0"/>
          <w:bCs w:val="0"/>
          <w:color w:val="000000" w:themeColor="text1"/>
          <w:highlight w:val="none"/>
          <w:lang w:val="en-US" w:eastAsia="zh-CN"/>
        </w:rPr>
      </w:pPr>
      <w:r>
        <w:rPr>
          <w:rFonts w:hint="eastAsia" w:ascii="宋体" w:hAnsi="宋体" w:cs="Tahoma"/>
          <w:b w:val="0"/>
          <w:bCs w:val="0"/>
          <w:color w:val="000000" w:themeColor="text1"/>
          <w:highlight w:val="none"/>
          <w:lang w:val="en-US" w:eastAsia="zh-CN"/>
        </w:rPr>
        <w:t>（4）中标人的服务管理费：每月服务管理费按不得高于该月份服务人员薪酬的10%计算（取小数点</w:t>
      </w:r>
      <w:bookmarkStart w:id="2048" w:name="_GoBack"/>
      <w:bookmarkEnd w:id="2048"/>
      <w:r>
        <w:rPr>
          <w:rFonts w:hint="eastAsia" w:ascii="宋体" w:hAnsi="宋体" w:cs="Tahoma"/>
          <w:b w:val="0"/>
          <w:bCs w:val="0"/>
          <w:color w:val="000000" w:themeColor="text1"/>
          <w:highlight w:val="none"/>
          <w:lang w:val="en-US" w:eastAsia="zh-CN"/>
        </w:rPr>
        <w:t>后两位）。</w:t>
      </w:r>
    </w:p>
    <w:p>
      <w:pPr>
        <w:widowControl/>
        <w:tabs>
          <w:tab w:val="left" w:pos="502"/>
        </w:tabs>
        <w:adjustRightInd w:val="0"/>
        <w:snapToGrid w:val="0"/>
        <w:spacing w:line="360" w:lineRule="auto"/>
        <w:ind w:firstLine="420" w:firstLineChars="200"/>
        <w:rPr>
          <w:rFonts w:hint="eastAsia" w:ascii="宋体" w:hAnsi="宋体" w:cs="Tahoma"/>
          <w:b w:val="0"/>
          <w:bCs w:val="0"/>
          <w:color w:val="000000" w:themeColor="text1"/>
          <w:highlight w:val="none"/>
          <w:lang w:val="en-US" w:eastAsia="zh-CN"/>
        </w:rPr>
      </w:pPr>
      <w:r>
        <w:rPr>
          <w:rFonts w:hint="eastAsia" w:ascii="宋体" w:hAnsi="宋体" w:cs="Tahoma"/>
          <w:b w:val="0"/>
          <w:bCs w:val="0"/>
          <w:color w:val="000000" w:themeColor="text1"/>
          <w:highlight w:val="none"/>
          <w:lang w:val="en-US" w:eastAsia="zh-CN"/>
        </w:rPr>
        <w:t>投标人只需对服务管理费的折扣率进行报价。报价方式：折扣率（0-100%）</w:t>
      </w:r>
    </w:p>
    <w:p>
      <w:pPr>
        <w:widowControl/>
        <w:tabs>
          <w:tab w:val="left" w:pos="502"/>
        </w:tabs>
        <w:adjustRightInd w:val="0"/>
        <w:snapToGrid w:val="0"/>
        <w:spacing w:line="360" w:lineRule="auto"/>
        <w:rPr>
          <w:rFonts w:ascii="宋体" w:hAnsi="宋体" w:cs="Tahoma"/>
          <w:b/>
          <w:bCs/>
          <w:color w:val="000000" w:themeColor="text1"/>
          <w:highlight w:val="none"/>
        </w:rPr>
      </w:pPr>
      <w:r>
        <w:rPr>
          <w:rFonts w:hint="eastAsia" w:ascii="宋体" w:hAnsi="宋体" w:cs="Tahoma"/>
          <w:b/>
          <w:bCs/>
          <w:color w:val="000000" w:themeColor="text1"/>
          <w:highlight w:val="none"/>
        </w:rPr>
        <w:t>二、投标人资格要求为：</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投标人应具备《中华人民共和国政府采购法》第二十二条规定的条件：</w:t>
      </w:r>
    </w:p>
    <w:p>
      <w:pPr>
        <w:widowControl/>
        <w:tabs>
          <w:tab w:val="left" w:pos="525"/>
        </w:tabs>
        <w:adjustRightInd w:val="0"/>
        <w:snapToGrid w:val="0"/>
        <w:spacing w:line="360" w:lineRule="auto"/>
        <w:ind w:left="630" w:leftChars="300"/>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Cs w:val="21"/>
          <w:highlight w:val="none"/>
        </w:rPr>
        <w:t>1）具有独立承担民事责任的能力；</w:t>
      </w:r>
    </w:p>
    <w:p>
      <w:pPr>
        <w:widowControl/>
        <w:tabs>
          <w:tab w:val="left" w:pos="525"/>
        </w:tabs>
        <w:adjustRightInd w:val="0"/>
        <w:snapToGrid w:val="0"/>
        <w:spacing w:line="360" w:lineRule="auto"/>
        <w:ind w:left="630" w:leftChars="300"/>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Cs w:val="21"/>
          <w:highlight w:val="none"/>
        </w:rPr>
        <w:t>2）具有良好的商业信誉和健全的财务会计制度；</w:t>
      </w:r>
    </w:p>
    <w:p>
      <w:pPr>
        <w:widowControl/>
        <w:tabs>
          <w:tab w:val="left" w:pos="525"/>
        </w:tabs>
        <w:adjustRightInd w:val="0"/>
        <w:snapToGrid w:val="0"/>
        <w:spacing w:line="360" w:lineRule="auto"/>
        <w:ind w:left="630" w:leftChars="300"/>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Cs w:val="21"/>
          <w:highlight w:val="none"/>
        </w:rPr>
        <w:t>3）具有履行合同所必需的设备和专业技术能力；</w:t>
      </w:r>
    </w:p>
    <w:p>
      <w:pPr>
        <w:widowControl/>
        <w:tabs>
          <w:tab w:val="left" w:pos="525"/>
        </w:tabs>
        <w:adjustRightInd w:val="0"/>
        <w:snapToGrid w:val="0"/>
        <w:spacing w:line="360" w:lineRule="auto"/>
        <w:ind w:left="630" w:leftChars="300"/>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Cs w:val="21"/>
          <w:highlight w:val="none"/>
        </w:rPr>
        <w:t>4）有依法缴纳税收和社会保障资金的良好记录；</w:t>
      </w:r>
    </w:p>
    <w:p>
      <w:pPr>
        <w:widowControl/>
        <w:tabs>
          <w:tab w:val="left" w:pos="525"/>
        </w:tabs>
        <w:adjustRightInd w:val="0"/>
        <w:snapToGrid w:val="0"/>
        <w:spacing w:line="360" w:lineRule="auto"/>
        <w:ind w:left="630" w:leftChars="300"/>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Cs w:val="21"/>
          <w:highlight w:val="none"/>
        </w:rPr>
        <w:t>5）参加政府采购活动前三年内，在经营活动中没有重大违法记录；</w:t>
      </w:r>
    </w:p>
    <w:p>
      <w:pPr>
        <w:widowControl/>
        <w:tabs>
          <w:tab w:val="left" w:pos="525"/>
        </w:tabs>
        <w:adjustRightInd w:val="0"/>
        <w:snapToGrid w:val="0"/>
        <w:spacing w:line="360" w:lineRule="auto"/>
        <w:ind w:left="630" w:leftChars="300"/>
        <w:rPr>
          <w:rFonts w:hint="eastAsia" w:ascii="宋体" w:hAnsi="宋体" w:eastAsia="宋体" w:cs="宋体"/>
          <w:color w:val="000000" w:themeColor="text1"/>
          <w:highlight w:val="none"/>
        </w:rPr>
      </w:pPr>
      <w:r>
        <w:rPr>
          <w:rFonts w:hint="eastAsia" w:ascii="宋体" w:hAnsi="宋体" w:eastAsia="宋体" w:cs="宋体"/>
          <w:color w:val="000000" w:themeColor="text1"/>
          <w:szCs w:val="21"/>
          <w:highlight w:val="none"/>
        </w:rPr>
        <w:t>6）法律、行政法规规定的其他条件。</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为采购项目提供整体设计、规范编制或者项目管理、监理、检测等服务的供应商，不再参加该采购项目的其他采购活动。（</w:t>
      </w:r>
      <w:r>
        <w:rPr>
          <w:rFonts w:hint="eastAsia" w:ascii="宋体" w:hAnsi="宋体" w:eastAsia="宋体" w:cs="宋体"/>
          <w:color w:val="000000" w:themeColor="text1"/>
          <w:szCs w:val="21"/>
          <w:highlight w:val="none"/>
          <w:lang w:val="en-US" w:eastAsia="zh-CN"/>
        </w:rPr>
        <w:t>提供《投标函》</w:t>
      </w:r>
      <w:r>
        <w:rPr>
          <w:rFonts w:hint="eastAsia" w:ascii="宋体" w:hAnsi="宋体" w:eastAsia="宋体" w:cs="宋体"/>
          <w:color w:val="000000" w:themeColor="text1"/>
          <w:szCs w:val="21"/>
          <w:highlight w:val="none"/>
        </w:rPr>
        <w:t>）</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单位负责人为同一人或者存在直接控股、管理关系的不同供应商，不得参加同一合同项下的政府采购活动。（</w:t>
      </w:r>
      <w:r>
        <w:rPr>
          <w:rFonts w:hint="eastAsia" w:ascii="宋体" w:hAnsi="宋体" w:eastAsia="宋体" w:cs="宋体"/>
          <w:color w:val="000000" w:themeColor="text1"/>
          <w:szCs w:val="21"/>
          <w:highlight w:val="none"/>
          <w:lang w:val="en-US" w:eastAsia="zh-CN"/>
        </w:rPr>
        <w:t>提供《投标函》</w:t>
      </w:r>
      <w:r>
        <w:rPr>
          <w:rFonts w:hint="eastAsia" w:ascii="宋体" w:hAnsi="宋体" w:eastAsia="宋体" w:cs="宋体"/>
          <w:color w:val="000000" w:themeColor="text1"/>
          <w:szCs w:val="21"/>
          <w:highlight w:val="none"/>
        </w:rPr>
        <w:t>）</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投标人未被列入“信用中国”网站(</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"http://www.creditchina.gov.cn"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www.creditchina.gov.cn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)以下任意名单之一：①失信被执行人名单；②重大税收违法案件当事人名单；③政府采购严重违法失信名单。同时，不处于中国政府采购网（www.ccgp.gov.cn ）“政府采购严重违法失信行为信息记录”中的禁止参加政府采购活动期间。（以采购代理机构于评审当天在上述网站查询结果为准，如在上述网站查询结果均显示没有相关记录，视为没有上述不良信用记录。同时对信用信息查询记录和证据截图存档。如相关失信记录已失效，供应商须提供相关证明资料。）</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本项目属于专门面向中小企业采购。为落实《政府采购促进中小企业发展管理办法》（财库〔2020〕46号）政策，投标人为中型企业的，必须承诺中标后分包一定比例给小微企业，其中分包给小微企业的合同金额比例不低于 60%。（提供《分包意向协议书》或《分包承诺书》）。（所属行业为：</w:t>
      </w:r>
      <w:r>
        <w:rPr>
          <w:rFonts w:hint="eastAsia" w:ascii="宋体" w:hAnsi="宋体" w:eastAsia="宋体" w:cs="宋体"/>
          <w:color w:val="000000" w:themeColor="text1"/>
          <w:szCs w:val="21"/>
          <w:highlight w:val="none"/>
        </w:rPr>
        <w:t>租赁和商务服务业</w:t>
      </w:r>
      <w:r>
        <w:rPr>
          <w:rFonts w:hint="eastAsia" w:ascii="宋体" w:hAnsi="宋体" w:eastAsia="宋体" w:cs="宋体"/>
          <w:color w:val="000000" w:themeColor="text1"/>
          <w:highlight w:val="none"/>
        </w:rPr>
        <w:t>）</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本项目不接受联合体投标；</w:t>
      </w:r>
    </w:p>
    <w:p>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rPr>
      </w:pPr>
      <w:r>
        <w:rPr>
          <w:rFonts w:hint="eastAsia" w:ascii="宋体" w:hAnsi="宋体" w:eastAsia="宋体" w:cs="宋体"/>
          <w:color w:val="000000" w:themeColor="text1"/>
          <w:szCs w:val="21"/>
          <w:highlight w:val="none"/>
        </w:rPr>
        <w:t>投标人须在招标代理机构登记并购买招标文件。</w:t>
      </w:r>
    </w:p>
    <w:p>
      <w:pPr>
        <w:widowControl/>
        <w:tabs>
          <w:tab w:val="left" w:pos="502"/>
        </w:tabs>
        <w:adjustRightInd w:val="0"/>
        <w:snapToGrid w:val="0"/>
        <w:spacing w:line="360" w:lineRule="auto"/>
        <w:rPr>
          <w:rFonts w:ascii="Tahoma" w:hAnsi="Tahoma" w:cs="Tahoma"/>
          <w:b/>
          <w:bCs/>
          <w:color w:val="000000" w:themeColor="text1"/>
          <w:szCs w:val="21"/>
          <w:highlight w:val="none"/>
        </w:rPr>
      </w:pPr>
      <w:r>
        <w:rPr>
          <w:rFonts w:hint="eastAsia" w:ascii="Tahoma" w:hAnsi="Tahoma" w:cs="Tahoma"/>
          <w:b/>
          <w:bCs/>
          <w:color w:val="000000" w:themeColor="text1"/>
          <w:szCs w:val="21"/>
          <w:highlight w:val="none"/>
        </w:rPr>
        <w:t>三、</w:t>
      </w:r>
      <w:r>
        <w:rPr>
          <w:rFonts w:ascii="Tahoma" w:hAnsi="Tahoma" w:cs="Tahoma"/>
          <w:b/>
          <w:bCs/>
          <w:color w:val="000000" w:themeColor="text1"/>
          <w:szCs w:val="21"/>
          <w:highlight w:val="none"/>
        </w:rPr>
        <w:t>招标文件的公示</w:t>
      </w:r>
    </w:p>
    <w:p>
      <w:pPr>
        <w:spacing w:line="360" w:lineRule="auto"/>
        <w:ind w:firstLine="210" w:firstLineChars="100"/>
        <w:rPr>
          <w:rFonts w:ascii="宋体" w:hAnsi="宋体"/>
          <w:bCs/>
          <w:color w:val="000000" w:themeColor="text1"/>
          <w:highlight w:val="none"/>
        </w:rPr>
      </w:pPr>
      <w:r>
        <w:rPr>
          <w:rFonts w:hint="eastAsia" w:ascii="宋体" w:hAnsi="宋体" w:cs="宋体"/>
          <w:color w:val="000000" w:themeColor="text1"/>
          <w:kern w:val="0"/>
          <w:szCs w:val="21"/>
          <w:highlight w:val="none"/>
        </w:rPr>
        <w:t>1．</w:t>
      </w:r>
      <w:r>
        <w:rPr>
          <w:rFonts w:hint="eastAsia" w:ascii="宋体" w:hAnsi="宋体" w:cs="Arial"/>
          <w:color w:val="000000" w:themeColor="text1"/>
          <w:highlight w:val="none"/>
        </w:rPr>
        <w:t>招标文件公示时</w:t>
      </w:r>
      <w:r>
        <w:rPr>
          <w:rFonts w:hint="eastAsia" w:ascii="宋体" w:hAnsi="宋体"/>
          <w:bCs/>
          <w:color w:val="000000" w:themeColor="text1"/>
          <w:highlight w:val="none"/>
        </w:rPr>
        <w:t>间及下载：</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19</w:t>
      </w:r>
      <w:r>
        <w:rPr>
          <w:rFonts w:ascii="Times New Roman" w:hAnsi="Times New Roman" w:eastAsia="宋体" w:cs="Times New Roman"/>
          <w:color w:val="000000" w:themeColor="text1"/>
          <w:kern w:val="2"/>
          <w:sz w:val="21"/>
          <w:szCs w:val="24"/>
          <w:highlight w:val="none"/>
          <w:lang w:val="en-US" w:eastAsia="zh-CN" w:bidi="ar-SA"/>
        </w:rPr>
        <w:t>日</w:t>
      </w:r>
      <w:r>
        <w:rPr>
          <w:rFonts w:hint="eastAsia"/>
          <w:color w:val="000000" w:themeColor="text1"/>
          <w:szCs w:val="21"/>
          <w:highlight w:val="none"/>
        </w:rPr>
        <w:t>至</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27</w:t>
      </w:r>
      <w:r>
        <w:rPr>
          <w:rFonts w:ascii="Times New Roman" w:hAnsi="Times New Roman" w:eastAsia="宋体" w:cs="Times New Roman"/>
          <w:color w:val="000000" w:themeColor="text1"/>
          <w:kern w:val="2"/>
          <w:sz w:val="21"/>
          <w:szCs w:val="24"/>
          <w:highlight w:val="none"/>
          <w:lang w:val="en-US" w:eastAsia="zh-CN" w:bidi="ar-SA"/>
        </w:rPr>
        <w:t>日</w:t>
      </w:r>
      <w:r>
        <w:rPr>
          <w:rFonts w:hint="eastAsia" w:ascii="宋体" w:hAnsi="宋体"/>
          <w:bCs/>
          <w:color w:val="000000" w:themeColor="text1"/>
          <w:highlight w:val="none"/>
        </w:rPr>
        <w:t>。</w:t>
      </w:r>
    </w:p>
    <w:p>
      <w:pPr>
        <w:widowControl/>
        <w:adjustRightInd w:val="0"/>
        <w:snapToGrid w:val="0"/>
        <w:spacing w:line="360" w:lineRule="auto"/>
        <w:ind w:left="315" w:leftChars="100" w:hanging="105" w:hangingChars="50"/>
        <w:rPr>
          <w:rFonts w:ascii="宋体" w:hAnsi="宋体" w:cs="宋体"/>
          <w:color w:val="000000" w:themeColor="text1"/>
          <w:kern w:val="0"/>
          <w:szCs w:val="21"/>
          <w:highlight w:val="none"/>
        </w:rPr>
      </w:pPr>
      <w:r>
        <w:rPr>
          <w:rFonts w:hint="eastAsia" w:ascii="宋体" w:hAnsi="宋体"/>
          <w:bCs/>
          <w:color w:val="000000" w:themeColor="text1"/>
          <w:highlight w:val="none"/>
        </w:rPr>
        <w:t>2．</w:t>
      </w:r>
      <w:r>
        <w:rPr>
          <w:rFonts w:ascii="宋体" w:hAnsi="宋体"/>
          <w:bCs/>
          <w:color w:val="000000" w:themeColor="text1"/>
          <w:highlight w:val="none"/>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rPr>
        <w:t>的，可以在公示期间或者自期满之日起七个工作日内以书面形式向采购人或</w:t>
      </w:r>
      <w:r>
        <w:rPr>
          <w:rFonts w:hint="eastAsia" w:ascii="宋体" w:hAnsi="宋体" w:cs="宋体"/>
          <w:color w:val="000000" w:themeColor="text1"/>
          <w:kern w:val="0"/>
          <w:szCs w:val="21"/>
          <w:highlight w:val="none"/>
        </w:rPr>
        <w:t>代理采购机构</w:t>
      </w:r>
      <w:r>
        <w:rPr>
          <w:rFonts w:ascii="宋体" w:hAnsi="宋体" w:cs="宋体"/>
          <w:color w:val="000000" w:themeColor="text1"/>
          <w:kern w:val="0"/>
          <w:szCs w:val="21"/>
          <w:highlight w:val="none"/>
        </w:rPr>
        <w:t>提出质疑。质疑函应当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投标人的法定代表人</w:t>
      </w:r>
      <w:r>
        <w:rPr>
          <w:rFonts w:ascii="宋体" w:hAnsi="宋体" w:cs="宋体"/>
          <w:color w:val="000000" w:themeColor="text1"/>
          <w:kern w:val="0"/>
          <w:szCs w:val="21"/>
          <w:highlight w:val="none"/>
        </w:rPr>
        <w:t>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pPr>
        <w:widowControl/>
        <w:numPr>
          <w:ilvl w:val="0"/>
          <w:numId w:val="23"/>
        </w:numPr>
        <w:tabs>
          <w:tab w:val="left" w:pos="502"/>
        </w:tabs>
        <w:adjustRightInd w:val="0"/>
        <w:snapToGrid w:val="0"/>
        <w:spacing w:line="360" w:lineRule="auto"/>
        <w:rPr>
          <w:rFonts w:ascii="Tahoma" w:hAnsi="Tahoma" w:cs="Tahoma"/>
          <w:b/>
          <w:bCs/>
          <w:color w:val="000000" w:themeColor="text1"/>
          <w:szCs w:val="21"/>
          <w:highlight w:val="none"/>
        </w:rPr>
      </w:pPr>
      <w:r>
        <w:rPr>
          <w:rFonts w:hint="eastAsia" w:ascii="Tahoma" w:hAnsi="Tahoma" w:cs="Tahoma"/>
          <w:b/>
          <w:bCs/>
          <w:color w:val="000000" w:themeColor="text1"/>
          <w:szCs w:val="21"/>
          <w:highlight w:val="none"/>
        </w:rPr>
        <w:t>购买招标文件的时间、地点、方式及招标文件售价</w:t>
      </w:r>
    </w:p>
    <w:p>
      <w:pPr>
        <w:widowControl/>
        <w:tabs>
          <w:tab w:val="left" w:pos="735"/>
        </w:tabs>
        <w:adjustRightInd w:val="0"/>
        <w:snapToGrid w:val="0"/>
        <w:spacing w:line="360" w:lineRule="auto"/>
        <w:ind w:left="210" w:leftChars="100"/>
        <w:rPr>
          <w:rFonts w:ascii="宋体" w:hAnsi="宋体" w:cs="Arial"/>
          <w:color w:val="000000" w:themeColor="text1"/>
          <w:highlight w:val="none"/>
        </w:rPr>
      </w:pPr>
      <w:r>
        <w:rPr>
          <w:rFonts w:hint="eastAsia" w:ascii="宋体" w:hAnsi="宋体" w:cs="Tahoma"/>
          <w:color w:val="000000" w:themeColor="text1"/>
          <w:highlight w:val="none"/>
        </w:rPr>
        <w:t>1.购买招标文件</w:t>
      </w:r>
      <w:r>
        <w:rPr>
          <w:rFonts w:hint="eastAsia" w:ascii="宋体" w:hAnsi="宋体"/>
          <w:bCs/>
          <w:color w:val="000000" w:themeColor="text1"/>
          <w:highlight w:val="none"/>
        </w:rPr>
        <w:t>时间：</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19</w:t>
      </w:r>
      <w:r>
        <w:rPr>
          <w:rFonts w:ascii="Times New Roman" w:hAnsi="Times New Roman" w:eastAsia="宋体" w:cs="Times New Roman"/>
          <w:color w:val="000000" w:themeColor="text1"/>
          <w:kern w:val="2"/>
          <w:sz w:val="21"/>
          <w:szCs w:val="24"/>
          <w:highlight w:val="none"/>
          <w:lang w:val="en-US" w:eastAsia="zh-CN" w:bidi="ar-SA"/>
        </w:rPr>
        <w:t>日</w:t>
      </w:r>
      <w:r>
        <w:rPr>
          <w:rFonts w:hint="eastAsia"/>
          <w:color w:val="000000" w:themeColor="text1"/>
          <w:szCs w:val="21"/>
          <w:highlight w:val="none"/>
        </w:rPr>
        <w:t>至</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27</w:t>
      </w:r>
      <w:r>
        <w:rPr>
          <w:rFonts w:ascii="Times New Roman" w:hAnsi="Times New Roman" w:eastAsia="宋体" w:cs="Times New Roman"/>
          <w:color w:val="000000" w:themeColor="text1"/>
          <w:kern w:val="2"/>
          <w:sz w:val="21"/>
          <w:szCs w:val="24"/>
          <w:highlight w:val="none"/>
          <w:lang w:val="en-US" w:eastAsia="zh-CN" w:bidi="ar-SA"/>
        </w:rPr>
        <w:t>日</w:t>
      </w:r>
      <w:r>
        <w:rPr>
          <w:rFonts w:hint="eastAsia" w:ascii="宋体" w:hAnsi="宋体"/>
          <w:bCs/>
          <w:color w:val="000000" w:themeColor="text1"/>
          <w:highlight w:val="none"/>
        </w:rPr>
        <w:t>，上午9</w:t>
      </w:r>
      <w:r>
        <w:rPr>
          <w:rFonts w:ascii="宋体" w:hAnsi="宋体"/>
          <w:bCs/>
          <w:color w:val="000000" w:themeColor="text1"/>
          <w:highlight w:val="none"/>
        </w:rPr>
        <w:t>:</w:t>
      </w:r>
      <w:r>
        <w:rPr>
          <w:rFonts w:hint="eastAsia" w:ascii="宋体" w:hAnsi="宋体"/>
          <w:bCs/>
          <w:color w:val="000000" w:themeColor="text1"/>
          <w:highlight w:val="none"/>
        </w:rPr>
        <w:t>0</w:t>
      </w:r>
      <w:r>
        <w:rPr>
          <w:rFonts w:ascii="宋体" w:hAnsi="宋体"/>
          <w:bCs/>
          <w:color w:val="000000" w:themeColor="text1"/>
          <w:highlight w:val="none"/>
        </w:rPr>
        <w:t>0</w:t>
      </w:r>
      <w:r>
        <w:rPr>
          <w:rFonts w:hint="eastAsia" w:ascii="宋体" w:hAnsi="宋体"/>
          <w:bCs/>
          <w:color w:val="000000" w:themeColor="text1"/>
          <w:highlight w:val="none"/>
        </w:rPr>
        <w:t>～</w:t>
      </w:r>
      <w:r>
        <w:rPr>
          <w:rFonts w:ascii="宋体" w:hAnsi="宋体"/>
          <w:bCs/>
          <w:color w:val="000000" w:themeColor="text1"/>
          <w:highlight w:val="none"/>
        </w:rPr>
        <w:t>1</w:t>
      </w:r>
      <w:r>
        <w:rPr>
          <w:rFonts w:hint="eastAsia" w:ascii="宋体" w:hAnsi="宋体"/>
          <w:bCs/>
          <w:color w:val="000000" w:themeColor="text1"/>
          <w:highlight w:val="none"/>
        </w:rPr>
        <w:t>2</w:t>
      </w:r>
      <w:r>
        <w:rPr>
          <w:rFonts w:ascii="宋体" w:hAnsi="宋体"/>
          <w:bCs/>
          <w:color w:val="000000" w:themeColor="text1"/>
          <w:highlight w:val="none"/>
        </w:rPr>
        <w:t>:</w:t>
      </w:r>
      <w:r>
        <w:rPr>
          <w:rFonts w:hint="eastAsia" w:ascii="宋体" w:hAnsi="宋体"/>
          <w:bCs/>
          <w:color w:val="000000" w:themeColor="text1"/>
          <w:highlight w:val="none"/>
        </w:rPr>
        <w:t>0</w:t>
      </w:r>
      <w:r>
        <w:rPr>
          <w:rFonts w:ascii="宋体" w:hAnsi="宋体"/>
          <w:bCs/>
          <w:color w:val="000000" w:themeColor="text1"/>
          <w:highlight w:val="none"/>
        </w:rPr>
        <w:t>0</w:t>
      </w:r>
      <w:r>
        <w:rPr>
          <w:rFonts w:hint="eastAsia" w:ascii="宋体" w:hAnsi="宋体"/>
          <w:bCs/>
          <w:color w:val="000000" w:themeColor="text1"/>
          <w:highlight w:val="none"/>
        </w:rPr>
        <w:t>，下午</w:t>
      </w:r>
      <w:r>
        <w:rPr>
          <w:rFonts w:ascii="宋体" w:hAnsi="宋体"/>
          <w:bCs/>
          <w:color w:val="000000" w:themeColor="text1"/>
          <w:highlight w:val="none"/>
        </w:rPr>
        <w:t>2:30</w:t>
      </w:r>
      <w:r>
        <w:rPr>
          <w:rFonts w:hint="eastAsia" w:ascii="宋体" w:hAnsi="宋体"/>
          <w:bCs/>
          <w:color w:val="000000" w:themeColor="text1"/>
          <w:highlight w:val="none"/>
        </w:rPr>
        <w:t>～</w:t>
      </w:r>
      <w:r>
        <w:rPr>
          <w:rFonts w:ascii="宋体" w:hAnsi="宋体"/>
          <w:bCs/>
          <w:color w:val="000000" w:themeColor="text1"/>
          <w:highlight w:val="none"/>
        </w:rPr>
        <w:t>5:</w:t>
      </w:r>
      <w:r>
        <w:rPr>
          <w:rFonts w:hint="eastAsia" w:ascii="宋体" w:hAnsi="宋体"/>
          <w:bCs/>
          <w:color w:val="000000" w:themeColor="text1"/>
          <w:highlight w:val="none"/>
        </w:rPr>
        <w:t>3</w:t>
      </w:r>
      <w:r>
        <w:rPr>
          <w:rFonts w:ascii="宋体" w:hAnsi="宋体"/>
          <w:bCs/>
          <w:color w:val="000000" w:themeColor="text1"/>
          <w:highlight w:val="none"/>
        </w:rPr>
        <w:t>0</w:t>
      </w:r>
      <w:r>
        <w:rPr>
          <w:rFonts w:hint="eastAsia" w:ascii="宋体" w:hAnsi="宋体"/>
          <w:bCs/>
          <w:color w:val="000000" w:themeColor="text1"/>
          <w:highlight w:val="none"/>
        </w:rPr>
        <w:t>（节假日除外）（北</w:t>
      </w:r>
      <w:r>
        <w:rPr>
          <w:rFonts w:hint="eastAsia" w:ascii="宋体" w:hAnsi="宋体" w:cs="Arial"/>
          <w:color w:val="000000" w:themeColor="text1"/>
          <w:highlight w:val="none"/>
        </w:rPr>
        <w:t>京时间）。</w:t>
      </w:r>
    </w:p>
    <w:p>
      <w:pPr>
        <w:widowControl/>
        <w:tabs>
          <w:tab w:val="left" w:pos="735"/>
        </w:tabs>
        <w:adjustRightInd w:val="0"/>
        <w:snapToGrid w:val="0"/>
        <w:spacing w:line="360" w:lineRule="auto"/>
        <w:ind w:left="210" w:leftChars="100"/>
        <w:rPr>
          <w:rFonts w:ascii="宋体" w:hAnsi="宋体" w:cs="Arial"/>
          <w:color w:val="000000" w:themeColor="text1"/>
          <w:highlight w:val="none"/>
        </w:rPr>
      </w:pPr>
      <w:r>
        <w:rPr>
          <w:rFonts w:hint="eastAsia" w:ascii="宋体" w:hAnsi="宋体" w:cs="Tahoma"/>
          <w:color w:val="000000" w:themeColor="text1"/>
          <w:highlight w:val="none"/>
        </w:rPr>
        <w:t>2.购买招标文件地点：阳江市江城区猫山四街33号A座2楼</w:t>
      </w:r>
      <w:r>
        <w:rPr>
          <w:rFonts w:hint="eastAsia"/>
          <w:color w:val="000000" w:themeColor="text1"/>
          <w:szCs w:val="21"/>
          <w:highlight w:val="none"/>
          <w:lang w:val="en-US" w:eastAsia="zh-CN"/>
        </w:rPr>
        <w:t>2</w:t>
      </w:r>
      <w:r>
        <w:rPr>
          <w:rFonts w:hint="eastAsia"/>
          <w:color w:val="000000" w:themeColor="text1"/>
          <w:szCs w:val="21"/>
          <w:highlight w:val="none"/>
        </w:rPr>
        <w:t>05室。</w:t>
      </w:r>
    </w:p>
    <w:p>
      <w:pPr>
        <w:widowControl/>
        <w:tabs>
          <w:tab w:val="left" w:pos="735"/>
        </w:tabs>
        <w:adjustRightInd w:val="0"/>
        <w:snapToGrid w:val="0"/>
        <w:spacing w:line="360" w:lineRule="auto"/>
        <w:ind w:left="210" w:leftChars="100"/>
        <w:rPr>
          <w:rFonts w:ascii="宋体" w:hAnsi="宋体" w:cs="Arial"/>
          <w:color w:val="000000" w:themeColor="text1"/>
          <w:highlight w:val="none"/>
        </w:rPr>
      </w:pPr>
      <w:r>
        <w:rPr>
          <w:rFonts w:hint="eastAsia" w:ascii="宋体" w:hAnsi="宋体"/>
          <w:bCs/>
          <w:color w:val="000000" w:themeColor="text1"/>
          <w:highlight w:val="none"/>
        </w:rPr>
        <w:t>3.招标文件售价：</w:t>
      </w:r>
      <w:r>
        <w:rPr>
          <w:rFonts w:hint="eastAsia" w:ascii="宋体" w:hAnsi="宋体"/>
          <w:bCs/>
          <w:color w:val="000000" w:themeColor="text1"/>
          <w:szCs w:val="21"/>
          <w:highlight w:val="none"/>
        </w:rPr>
        <w:t>招标文件每套人民币300元，售后不退</w:t>
      </w:r>
      <w:r>
        <w:rPr>
          <w:rFonts w:hint="eastAsia" w:ascii="宋体" w:hAnsi="宋体"/>
          <w:bCs/>
          <w:color w:val="000000" w:themeColor="text1"/>
          <w:highlight w:val="none"/>
        </w:rPr>
        <w:t>。</w:t>
      </w:r>
    </w:p>
    <w:p>
      <w:pPr>
        <w:widowControl/>
        <w:tabs>
          <w:tab w:val="left" w:pos="735"/>
        </w:tabs>
        <w:adjustRightInd w:val="0"/>
        <w:snapToGrid w:val="0"/>
        <w:spacing w:line="360" w:lineRule="auto"/>
        <w:ind w:left="420" w:leftChars="100" w:hanging="210" w:hangingChars="100"/>
        <w:rPr>
          <w:rFonts w:ascii="宋体" w:hAnsi="宋体"/>
          <w:bCs/>
          <w:color w:val="000000" w:themeColor="text1"/>
          <w:highlight w:val="none"/>
        </w:rPr>
      </w:pPr>
      <w:r>
        <w:rPr>
          <w:rFonts w:hint="eastAsia" w:ascii="宋体" w:hAnsi="宋体"/>
          <w:bCs/>
          <w:color w:val="000000" w:themeColor="text1"/>
          <w:highlight w:val="none"/>
        </w:rPr>
        <w:t>4.招标文件获取方式：现场发售。</w:t>
      </w:r>
    </w:p>
    <w:p>
      <w:pPr>
        <w:widowControl/>
        <w:tabs>
          <w:tab w:val="left" w:pos="735"/>
        </w:tabs>
        <w:adjustRightInd w:val="0"/>
        <w:snapToGrid w:val="0"/>
        <w:spacing w:line="360" w:lineRule="auto"/>
        <w:ind w:left="420" w:leftChars="100" w:hanging="210" w:hangingChars="100"/>
        <w:rPr>
          <w:rFonts w:ascii="宋体" w:hAnsi="宋体"/>
          <w:bCs/>
          <w:color w:val="000000" w:themeColor="text1"/>
          <w:szCs w:val="21"/>
          <w:highlight w:val="none"/>
        </w:rPr>
      </w:pPr>
      <w:r>
        <w:rPr>
          <w:rFonts w:hint="eastAsia" w:ascii="宋体" w:hAnsi="宋体"/>
          <w:bCs/>
          <w:color w:val="000000" w:themeColor="text1"/>
          <w:highlight w:val="none"/>
        </w:rPr>
        <w:t>5.</w:t>
      </w:r>
      <w:r>
        <w:rPr>
          <w:rFonts w:hint="eastAsia" w:ascii="宋体" w:hAnsi="宋体"/>
          <w:bCs/>
          <w:color w:val="000000" w:themeColor="text1"/>
          <w:szCs w:val="21"/>
          <w:highlight w:val="none"/>
        </w:rPr>
        <w:t>购买招标文件必须携带:</w:t>
      </w:r>
    </w:p>
    <w:p>
      <w:pPr>
        <w:widowControl/>
        <w:tabs>
          <w:tab w:val="left" w:pos="735"/>
        </w:tabs>
        <w:adjustRightInd w:val="0"/>
        <w:snapToGrid w:val="0"/>
        <w:spacing w:line="360" w:lineRule="auto"/>
        <w:ind w:left="659" w:leftChars="164" w:hanging="315" w:hangingChars="150"/>
        <w:rPr>
          <w:rFonts w:ascii="宋体" w:hAnsi="宋体"/>
          <w:bCs/>
          <w:color w:val="000000" w:themeColor="text1"/>
          <w:highlight w:val="none"/>
        </w:rPr>
      </w:pPr>
      <w:r>
        <w:rPr>
          <w:rFonts w:hint="eastAsia" w:ascii="宋体" w:hAnsi="宋体"/>
          <w:bCs/>
          <w:color w:val="000000" w:themeColor="text1"/>
          <w:szCs w:val="21"/>
          <w:highlight w:val="none"/>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b/>
          <w:bCs/>
          <w:color w:val="000000" w:themeColor="text1"/>
          <w:highlight w:val="none"/>
        </w:rPr>
        <w:t>报名时投标单位的资料与以上报名条件不符合、不齐全、复印件不清晰或未盖红色公章的将不予受理</w:t>
      </w:r>
      <w:r>
        <w:rPr>
          <w:rFonts w:hint="eastAsia" w:ascii="宋体" w:hAnsi="宋体"/>
          <w:bCs/>
          <w:color w:val="000000" w:themeColor="text1"/>
          <w:highlight w:val="none"/>
        </w:rPr>
        <w:t>。</w:t>
      </w:r>
    </w:p>
    <w:p>
      <w:pPr>
        <w:widowControl/>
        <w:tabs>
          <w:tab w:val="left" w:pos="735"/>
        </w:tabs>
        <w:adjustRightInd w:val="0"/>
        <w:snapToGrid w:val="0"/>
        <w:spacing w:line="360" w:lineRule="auto"/>
        <w:ind w:left="660" w:leftChars="164" w:hanging="316" w:hangingChars="150"/>
        <w:rPr>
          <w:rFonts w:ascii="宋体" w:hAnsi="宋体" w:cs="Arial"/>
          <w:b/>
          <w:color w:val="000000" w:themeColor="text1"/>
          <w:highlight w:val="none"/>
        </w:rPr>
      </w:pPr>
      <w:r>
        <w:rPr>
          <w:rFonts w:hint="eastAsia" w:ascii="宋体" w:hAnsi="宋体"/>
          <w:b/>
          <w:bCs/>
          <w:color w:val="000000" w:themeColor="text1"/>
          <w:highlight w:val="none"/>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pPr>
        <w:widowControl/>
        <w:numPr>
          <w:ilvl w:val="0"/>
          <w:numId w:val="23"/>
        </w:numPr>
        <w:tabs>
          <w:tab w:val="left" w:pos="502"/>
        </w:tabs>
        <w:adjustRightInd w:val="0"/>
        <w:snapToGrid w:val="0"/>
        <w:spacing w:line="360" w:lineRule="auto"/>
        <w:rPr>
          <w:rFonts w:ascii="Tahoma" w:hAnsi="Tahoma" w:cs="Tahoma"/>
          <w:b/>
          <w:bCs/>
          <w:color w:val="000000" w:themeColor="text1"/>
          <w:szCs w:val="21"/>
          <w:highlight w:val="none"/>
        </w:rPr>
      </w:pPr>
      <w:r>
        <w:rPr>
          <w:rFonts w:hint="eastAsia" w:ascii="Tahoma" w:hAnsi="Tahoma" w:cs="Tahoma"/>
          <w:b/>
          <w:bCs/>
          <w:color w:val="000000" w:themeColor="text1"/>
          <w:szCs w:val="21"/>
          <w:highlight w:val="none"/>
        </w:rPr>
        <w:t>投标截止时间、开标时间及地点</w:t>
      </w:r>
    </w:p>
    <w:p>
      <w:pPr>
        <w:widowControl/>
        <w:tabs>
          <w:tab w:val="left" w:pos="735"/>
        </w:tabs>
        <w:adjustRightInd w:val="0"/>
        <w:snapToGrid w:val="0"/>
        <w:spacing w:line="360" w:lineRule="auto"/>
        <w:ind w:firstLine="210" w:firstLineChars="100"/>
        <w:rPr>
          <w:rFonts w:ascii="宋体" w:hAnsi="宋体" w:cs="Arial"/>
          <w:color w:val="000000" w:themeColor="text1"/>
          <w:highlight w:val="none"/>
        </w:rPr>
      </w:pPr>
      <w:r>
        <w:rPr>
          <w:rFonts w:hint="eastAsia" w:ascii="宋体" w:hAnsi="宋体" w:cs="Tahoma"/>
          <w:color w:val="000000" w:themeColor="text1"/>
          <w:highlight w:val="none"/>
        </w:rPr>
        <w:t>1.递交投标文件时间：</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7</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11</w:t>
      </w:r>
      <w:r>
        <w:rPr>
          <w:rFonts w:ascii="Times New Roman" w:hAnsi="Times New Roman" w:eastAsia="宋体" w:cs="Times New Roman"/>
          <w:color w:val="000000" w:themeColor="text1"/>
          <w:kern w:val="2"/>
          <w:sz w:val="21"/>
          <w:szCs w:val="24"/>
          <w:highlight w:val="none"/>
          <w:lang w:val="en-US" w:eastAsia="zh-CN" w:bidi="ar-SA"/>
        </w:rPr>
        <w:t>日</w:t>
      </w:r>
      <w:r>
        <w:rPr>
          <w:rFonts w:hint="eastAsia" w:ascii="宋体" w:hAnsi="宋体"/>
          <w:color w:val="000000" w:themeColor="text1"/>
          <w:highlight w:val="none"/>
          <w:lang w:val="en-US" w:eastAsia="zh-CN"/>
        </w:rPr>
        <w:t>9</w:t>
      </w:r>
      <w:r>
        <w:rPr>
          <w:rFonts w:hint="eastAsia" w:ascii="宋体" w:hAnsi="宋体"/>
          <w:color w:val="000000" w:themeColor="text1"/>
          <w:highlight w:val="none"/>
        </w:rPr>
        <w:t>:</w:t>
      </w:r>
      <w:r>
        <w:rPr>
          <w:rFonts w:hint="eastAsia" w:ascii="宋体" w:hAnsi="宋体"/>
          <w:color w:val="000000" w:themeColor="text1"/>
          <w:highlight w:val="none"/>
          <w:lang w:val="en-US" w:eastAsia="zh-CN"/>
        </w:rPr>
        <w:t>0</w:t>
      </w:r>
      <w:r>
        <w:rPr>
          <w:rFonts w:hint="eastAsia" w:ascii="宋体" w:hAnsi="宋体"/>
          <w:color w:val="000000" w:themeColor="text1"/>
          <w:highlight w:val="none"/>
        </w:rPr>
        <w:t>0-</w:t>
      </w:r>
      <w:r>
        <w:rPr>
          <w:rFonts w:hint="eastAsia" w:ascii="宋体" w:hAnsi="宋体"/>
          <w:color w:val="000000" w:themeColor="text1"/>
          <w:highlight w:val="none"/>
          <w:lang w:val="en-US" w:eastAsia="zh-CN"/>
        </w:rPr>
        <w:t>9</w:t>
      </w:r>
      <w:r>
        <w:rPr>
          <w:rFonts w:hint="eastAsia" w:ascii="宋体" w:hAnsi="宋体"/>
          <w:color w:val="000000" w:themeColor="text1"/>
          <w:highlight w:val="none"/>
        </w:rPr>
        <w:t>:</w:t>
      </w:r>
      <w:r>
        <w:rPr>
          <w:rFonts w:hint="eastAsia" w:ascii="宋体" w:hAnsi="宋体"/>
          <w:color w:val="000000" w:themeColor="text1"/>
          <w:highlight w:val="none"/>
          <w:lang w:val="en-US" w:eastAsia="zh-CN"/>
        </w:rPr>
        <w:t>3</w:t>
      </w:r>
      <w:r>
        <w:rPr>
          <w:rFonts w:hint="eastAsia" w:ascii="宋体" w:hAnsi="宋体"/>
          <w:color w:val="000000" w:themeColor="text1"/>
          <w:highlight w:val="none"/>
        </w:rPr>
        <w:t>0</w:t>
      </w:r>
      <w:r>
        <w:rPr>
          <w:rFonts w:ascii="宋体" w:hAnsi="宋体" w:cs="Arial"/>
          <w:color w:val="000000" w:themeColor="text1"/>
          <w:highlight w:val="none"/>
        </w:rPr>
        <w:t xml:space="preserve"> (</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cs="Tahoma"/>
          <w:color w:val="000000" w:themeColor="text1"/>
          <w:highlight w:val="none"/>
        </w:rPr>
        <w:t>2.投标截止时间、开标时间：</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7</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11</w:t>
      </w:r>
      <w:r>
        <w:rPr>
          <w:rFonts w:ascii="Times New Roman" w:hAnsi="Times New Roman" w:eastAsia="宋体" w:cs="Times New Roman"/>
          <w:color w:val="000000" w:themeColor="text1"/>
          <w:kern w:val="2"/>
          <w:sz w:val="21"/>
          <w:szCs w:val="24"/>
          <w:highlight w:val="none"/>
          <w:lang w:val="en-US" w:eastAsia="zh-CN" w:bidi="ar-SA"/>
        </w:rPr>
        <w:t>日</w:t>
      </w:r>
      <w:r>
        <w:rPr>
          <w:rFonts w:hint="eastAsia" w:ascii="宋体" w:hAnsi="宋体"/>
          <w:color w:val="000000" w:themeColor="text1"/>
          <w:highlight w:val="none"/>
          <w:lang w:val="en-US" w:eastAsia="zh-CN"/>
        </w:rPr>
        <w:t>9</w:t>
      </w:r>
      <w:r>
        <w:rPr>
          <w:rFonts w:hint="eastAsia" w:ascii="宋体" w:hAnsi="宋体"/>
          <w:color w:val="000000" w:themeColor="text1"/>
          <w:highlight w:val="none"/>
        </w:rPr>
        <w:t>:</w:t>
      </w:r>
      <w:r>
        <w:rPr>
          <w:rFonts w:hint="eastAsia" w:ascii="宋体" w:hAnsi="宋体"/>
          <w:color w:val="000000" w:themeColor="text1"/>
          <w:highlight w:val="none"/>
          <w:lang w:val="en-US" w:eastAsia="zh-CN"/>
        </w:rPr>
        <w:t>3</w:t>
      </w:r>
      <w:r>
        <w:rPr>
          <w:rFonts w:hint="eastAsia" w:ascii="宋体" w:hAnsi="宋体"/>
          <w:color w:val="000000" w:themeColor="text1"/>
          <w:highlight w:val="none"/>
        </w:rPr>
        <w:t>0</w:t>
      </w:r>
      <w:r>
        <w:rPr>
          <w:rFonts w:ascii="宋体" w:hAnsi="宋体" w:cs="Arial"/>
          <w:color w:val="000000" w:themeColor="text1"/>
          <w:highlight w:val="none"/>
        </w:rPr>
        <w:t>(</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cs="Tahoma"/>
          <w:color w:val="000000" w:themeColor="text1"/>
          <w:highlight w:val="none"/>
        </w:rPr>
        <w:t>3.递交投标文件地点、开标地点：阳江市江城区猫山四街33号A座2楼</w:t>
      </w:r>
      <w:r>
        <w:rPr>
          <w:rFonts w:hint="eastAsia" w:ascii="宋体" w:hAnsi="宋体" w:cs="Tahoma"/>
          <w:color w:val="000000" w:themeColor="text1"/>
          <w:highlight w:val="none"/>
          <w:lang w:val="en-US" w:eastAsia="zh-CN"/>
        </w:rPr>
        <w:t>201</w:t>
      </w:r>
      <w:r>
        <w:rPr>
          <w:rFonts w:hint="eastAsia" w:ascii="宋体" w:hAnsi="宋体" w:cs="Tahoma"/>
          <w:color w:val="000000" w:themeColor="text1"/>
          <w:highlight w:val="none"/>
        </w:rPr>
        <w:t>开标室。</w:t>
      </w:r>
    </w:p>
    <w:p>
      <w:pPr>
        <w:widowControl/>
        <w:tabs>
          <w:tab w:val="left" w:pos="735"/>
        </w:tabs>
        <w:adjustRightInd w:val="0"/>
        <w:snapToGrid w:val="0"/>
        <w:spacing w:line="360" w:lineRule="auto"/>
        <w:rPr>
          <w:rFonts w:ascii="Tahoma" w:hAnsi="Tahoma" w:cs="Tahoma"/>
          <w:b/>
          <w:bCs/>
          <w:color w:val="000000" w:themeColor="text1"/>
          <w:szCs w:val="21"/>
          <w:highlight w:val="none"/>
        </w:rPr>
      </w:pPr>
      <w:r>
        <w:rPr>
          <w:rFonts w:hint="eastAsia" w:ascii="Tahoma" w:hAnsi="Tahoma" w:cs="Tahoma"/>
          <w:b/>
          <w:bCs/>
          <w:color w:val="000000" w:themeColor="text1"/>
          <w:szCs w:val="21"/>
          <w:highlight w:val="none"/>
        </w:rPr>
        <w:t>六、采购人、代理采购机构的名称、地址和联系方式</w:t>
      </w:r>
    </w:p>
    <w:p>
      <w:pPr>
        <w:widowControl/>
        <w:tabs>
          <w:tab w:val="left" w:pos="630"/>
        </w:tabs>
        <w:adjustRightInd w:val="0"/>
        <w:snapToGrid w:val="0"/>
        <w:spacing w:line="360" w:lineRule="auto"/>
        <w:ind w:firstLine="315" w:firstLineChars="150"/>
        <w:rPr>
          <w:rFonts w:ascii="宋体" w:hAnsi="宋体"/>
          <w:bCs/>
          <w:color w:val="000000" w:themeColor="text1"/>
          <w:highlight w:val="none"/>
        </w:rPr>
      </w:pPr>
      <w:r>
        <w:rPr>
          <w:rFonts w:hint="eastAsia" w:ascii="宋体" w:hAnsi="宋体" w:cs="Tahoma"/>
          <w:color w:val="000000" w:themeColor="text1"/>
          <w:highlight w:val="none"/>
        </w:rPr>
        <w:t>1．采购人联系方式：</w:t>
      </w:r>
    </w:p>
    <w:p>
      <w:pPr>
        <w:tabs>
          <w:tab w:val="left" w:pos="735"/>
          <w:tab w:val="left" w:pos="4680"/>
        </w:tabs>
        <w:adjustRightInd w:val="0"/>
        <w:snapToGrid w:val="0"/>
        <w:spacing w:line="360" w:lineRule="auto"/>
        <w:ind w:firstLine="630" w:firstLineChars="300"/>
        <w:rPr>
          <w:rFonts w:hint="eastAsia" w:ascii="宋体" w:hAnsi="宋体" w:eastAsia="宋体" w:cs="Tahoma"/>
          <w:color w:val="000000" w:themeColor="text1"/>
          <w:kern w:val="28"/>
          <w:szCs w:val="21"/>
          <w:highlight w:val="none"/>
          <w:lang w:eastAsia="zh-CN"/>
        </w:rPr>
      </w:pPr>
      <w:r>
        <w:rPr>
          <w:rFonts w:hint="eastAsia" w:ascii="宋体" w:hAnsi="宋体" w:cs="Tahoma"/>
          <w:color w:val="000000" w:themeColor="text1"/>
          <w:kern w:val="28"/>
          <w:szCs w:val="21"/>
          <w:highlight w:val="none"/>
        </w:rPr>
        <w:t>名    称：</w:t>
      </w:r>
      <w:r>
        <w:rPr>
          <w:rFonts w:hint="eastAsia" w:ascii="宋体" w:hAnsi="宋体" w:cs="Tahoma"/>
          <w:color w:val="000000" w:themeColor="text1"/>
          <w:kern w:val="28"/>
          <w:szCs w:val="21"/>
          <w:highlight w:val="none"/>
          <w:lang w:eastAsia="zh-CN"/>
        </w:rPr>
        <w:t>国家税务总局阳西县税务局</w:t>
      </w:r>
    </w:p>
    <w:p>
      <w:pPr>
        <w:tabs>
          <w:tab w:val="left" w:pos="735"/>
          <w:tab w:val="left" w:pos="4680"/>
        </w:tabs>
        <w:adjustRightInd w:val="0"/>
        <w:snapToGrid w:val="0"/>
        <w:spacing w:line="360" w:lineRule="auto"/>
        <w:ind w:firstLine="630" w:firstLineChars="300"/>
        <w:rPr>
          <w:rFonts w:hint="eastAsia"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地    址：广东省阳江市阳西县织篢镇桥平一路278号</w:t>
      </w:r>
    </w:p>
    <w:p>
      <w:pPr>
        <w:tabs>
          <w:tab w:val="left" w:pos="735"/>
          <w:tab w:val="left" w:pos="4680"/>
        </w:tabs>
        <w:adjustRightInd w:val="0"/>
        <w:snapToGrid w:val="0"/>
        <w:spacing w:line="360" w:lineRule="auto"/>
        <w:ind w:firstLine="630" w:firstLineChars="3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联 系 人：梁先生</w:t>
      </w:r>
    </w:p>
    <w:p>
      <w:pPr>
        <w:tabs>
          <w:tab w:val="left" w:pos="735"/>
          <w:tab w:val="left" w:pos="4680"/>
        </w:tabs>
        <w:adjustRightInd w:val="0"/>
        <w:snapToGrid w:val="0"/>
        <w:spacing w:line="360" w:lineRule="auto"/>
        <w:ind w:firstLine="630" w:firstLineChars="300"/>
        <w:rPr>
          <w:rFonts w:hint="default" w:ascii="宋体" w:hAnsi="宋体" w:eastAsia="宋体" w:cs="Tahoma"/>
          <w:color w:val="000000" w:themeColor="text1"/>
          <w:kern w:val="28"/>
          <w:szCs w:val="21"/>
          <w:highlight w:val="none"/>
          <w:lang w:val="en-US" w:eastAsia="zh-CN"/>
        </w:rPr>
      </w:pPr>
      <w:r>
        <w:rPr>
          <w:rFonts w:hint="eastAsia" w:ascii="宋体" w:hAnsi="宋体" w:cs="Tahoma"/>
          <w:color w:val="000000" w:themeColor="text1"/>
          <w:kern w:val="28"/>
          <w:szCs w:val="21"/>
          <w:highlight w:val="none"/>
        </w:rPr>
        <w:t>联系电话：0662-5539357</w:t>
      </w:r>
    </w:p>
    <w:p>
      <w:pPr>
        <w:tabs>
          <w:tab w:val="left" w:pos="735"/>
          <w:tab w:val="left" w:pos="4680"/>
        </w:tabs>
        <w:adjustRightInd w:val="0"/>
        <w:snapToGrid w:val="0"/>
        <w:spacing w:line="360" w:lineRule="auto"/>
        <w:ind w:firstLine="315" w:firstLineChars="15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2．</w:t>
      </w:r>
      <w:r>
        <w:rPr>
          <w:rFonts w:hint="eastAsia" w:ascii="宋体" w:hAnsi="宋体" w:cs="Tahoma"/>
          <w:color w:val="000000" w:themeColor="text1"/>
          <w:highlight w:val="none"/>
        </w:rPr>
        <w:t>代理采购机构联系方式：</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名    称：广东业信采购招标有限公司</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地    址：阳江市江城区猫山四街33号A座2楼</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联 系 人：冯国辉</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联系电话：0662-3167266</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传    真：0662-2669666</w:t>
      </w:r>
    </w:p>
    <w:p>
      <w:pPr>
        <w:tabs>
          <w:tab w:val="left" w:pos="4680"/>
        </w:tabs>
        <w:wordWrap/>
        <w:adjustRightInd w:val="0"/>
        <w:snapToGrid w:val="0"/>
        <w:spacing w:line="336" w:lineRule="auto"/>
        <w:ind w:firstLine="630" w:firstLineChars="300"/>
        <w:textAlignment w:val="auto"/>
        <w:rPr>
          <w:rFonts w:ascii="宋体" w:hAnsi="宋体"/>
          <w:color w:val="000000" w:themeColor="text1"/>
          <w:szCs w:val="21"/>
          <w:highlight w:val="none"/>
        </w:rPr>
      </w:pPr>
      <w:r>
        <w:rPr>
          <w:rFonts w:hint="eastAsia" w:ascii="宋体" w:hAnsi="宋体" w:cs="Tahoma"/>
          <w:color w:val="000000" w:themeColor="text1"/>
          <w:highlight w:val="none"/>
        </w:rPr>
        <w:t>网    址：</w:t>
      </w:r>
      <w:r>
        <w:rPr>
          <w:rFonts w:ascii="宋体" w:hAnsi="宋体"/>
          <w:color w:val="000000" w:themeColor="text1"/>
          <w:szCs w:val="21"/>
          <w:highlight w:val="none"/>
          <w:u w:val="none"/>
        </w:rPr>
        <w:t>http://www.gdgpo.</w:t>
      </w:r>
      <w:r>
        <w:rPr>
          <w:rFonts w:hint="eastAsia" w:ascii="宋体" w:hAnsi="宋体"/>
          <w:color w:val="000000" w:themeColor="text1"/>
          <w:szCs w:val="21"/>
          <w:highlight w:val="none"/>
          <w:u w:val="none"/>
          <w:lang w:val="en-US" w:eastAsia="zh-CN"/>
        </w:rPr>
        <w:t>com.</w:t>
      </w:r>
      <w:r>
        <w:rPr>
          <w:rFonts w:ascii="宋体" w:hAnsi="宋体"/>
          <w:color w:val="000000" w:themeColor="text1"/>
          <w:szCs w:val="21"/>
          <w:highlight w:val="none"/>
          <w:u w:val="none"/>
        </w:rPr>
        <w:t>cn</w:t>
      </w:r>
    </w:p>
    <w:p>
      <w:pPr>
        <w:tabs>
          <w:tab w:val="left" w:pos="4680"/>
        </w:tabs>
        <w:adjustRightInd w:val="0"/>
        <w:snapToGrid w:val="0"/>
        <w:spacing w:line="360" w:lineRule="auto"/>
        <w:ind w:firstLine="1680" w:firstLineChars="800"/>
        <w:rPr>
          <w:rFonts w:ascii="宋体" w:hAnsi="宋体"/>
          <w:bCs/>
          <w:color w:val="000000" w:themeColor="text1"/>
          <w:highlight w:val="none"/>
        </w:rPr>
      </w:pPr>
      <w:r>
        <w:rPr>
          <w:rFonts w:ascii="宋体" w:hAnsi="宋体"/>
          <w:bCs/>
          <w:color w:val="000000" w:themeColor="text1"/>
          <w:highlight w:val="none"/>
        </w:rPr>
        <w:t>http://www.</w:t>
      </w:r>
      <w:r>
        <w:rPr>
          <w:rFonts w:hint="eastAsia" w:ascii="宋体" w:hAnsi="宋体"/>
          <w:bCs/>
          <w:color w:val="000000" w:themeColor="text1"/>
          <w:highlight w:val="none"/>
        </w:rPr>
        <w:t>yjcg</w:t>
      </w:r>
      <w:r>
        <w:rPr>
          <w:rFonts w:ascii="宋体" w:hAnsi="宋体"/>
          <w:bCs/>
          <w:color w:val="000000" w:themeColor="text1"/>
          <w:highlight w:val="none"/>
        </w:rPr>
        <w:t>.</w:t>
      </w:r>
      <w:r>
        <w:rPr>
          <w:rFonts w:hint="eastAsia" w:ascii="宋体" w:hAnsi="宋体"/>
          <w:bCs/>
          <w:color w:val="000000" w:themeColor="text1"/>
          <w:highlight w:val="none"/>
        </w:rPr>
        <w:t>cc</w:t>
      </w:r>
    </w:p>
    <w:p>
      <w:pPr>
        <w:widowControl/>
        <w:adjustRightInd w:val="0"/>
        <w:snapToGrid w:val="0"/>
        <w:spacing w:line="360" w:lineRule="auto"/>
        <w:rPr>
          <w:rFonts w:ascii="宋体" w:hAnsi="宋体"/>
          <w:b/>
          <w:color w:val="000000" w:themeColor="text1"/>
          <w:spacing w:val="20"/>
          <w:szCs w:val="21"/>
          <w:highlight w:val="none"/>
        </w:rPr>
      </w:pPr>
    </w:p>
    <w:p>
      <w:pPr>
        <w:widowControl/>
        <w:tabs>
          <w:tab w:val="left" w:pos="4769"/>
        </w:tabs>
        <w:adjustRightInd w:val="0"/>
        <w:snapToGrid w:val="0"/>
        <w:spacing w:line="360" w:lineRule="auto"/>
        <w:ind w:left="105" w:leftChars="50" w:firstLine="420" w:firstLineChars="200"/>
        <w:jc w:val="right"/>
        <w:rPr>
          <w:rFonts w:hint="eastAsia" w:ascii="宋体" w:hAnsi="宋体"/>
          <w:bCs/>
          <w:color w:val="000000" w:themeColor="text1"/>
          <w:highlight w:val="none"/>
        </w:rPr>
      </w:pPr>
    </w:p>
    <w:p>
      <w:pPr>
        <w:widowControl/>
        <w:tabs>
          <w:tab w:val="left" w:pos="4769"/>
        </w:tabs>
        <w:adjustRightInd w:val="0"/>
        <w:snapToGrid w:val="0"/>
        <w:spacing w:line="360" w:lineRule="auto"/>
        <w:ind w:left="105" w:leftChars="50" w:firstLine="420" w:firstLineChars="200"/>
        <w:jc w:val="right"/>
        <w:rPr>
          <w:rFonts w:ascii="宋体" w:hAnsi="宋体"/>
          <w:bCs/>
          <w:color w:val="000000" w:themeColor="text1"/>
          <w:highlight w:val="none"/>
        </w:rPr>
      </w:pPr>
      <w:r>
        <w:rPr>
          <w:rFonts w:hint="eastAsia" w:ascii="宋体" w:hAnsi="宋体"/>
          <w:bCs/>
          <w:color w:val="000000" w:themeColor="text1"/>
          <w:highlight w:val="none"/>
        </w:rPr>
        <w:t>广东业信采购招标有限公司</w:t>
      </w:r>
    </w:p>
    <w:p>
      <w:pPr>
        <w:widowControl/>
        <w:tabs>
          <w:tab w:val="left" w:pos="4769"/>
        </w:tabs>
        <w:adjustRightInd w:val="0"/>
        <w:snapToGrid w:val="0"/>
        <w:spacing w:line="360" w:lineRule="auto"/>
        <w:ind w:left="105" w:leftChars="50" w:firstLine="420" w:firstLineChars="200"/>
        <w:jc w:val="right"/>
        <w:rPr>
          <w:rFonts w:ascii="宋体" w:hAnsi="宋体"/>
          <w:bCs/>
          <w:color w:val="000000" w:themeColor="text1"/>
          <w:highlight w:val="none"/>
        </w:rPr>
      </w:pPr>
      <w:bookmarkStart w:id="37" w:name="_Toc365985109"/>
      <w:bookmarkStart w:id="38" w:name="_Toc333237724"/>
      <w:bookmarkStart w:id="39" w:name="_Toc365967003"/>
      <w:bookmarkStart w:id="40" w:name="_Toc340507404"/>
      <w:bookmarkStart w:id="41" w:name="_Toc337632316"/>
      <w:bookmarkStart w:id="42" w:name="_Toc340672831"/>
      <w:bookmarkStart w:id="43" w:name="_Toc336681538"/>
      <w:bookmarkStart w:id="44" w:name="_Toc333935279"/>
      <w:bookmarkStart w:id="45" w:name="_Toc332270306"/>
      <w:bookmarkStart w:id="46" w:name="_Toc339019955"/>
      <w:bookmarkStart w:id="47" w:name="_Toc350756404"/>
      <w:bookmarkStart w:id="48" w:name="_Toc340677032"/>
      <w:bookmarkStart w:id="49" w:name="_Toc339362258"/>
      <w:bookmarkStart w:id="50" w:name="_Toc342296709"/>
      <w:bookmarkStart w:id="51" w:name="_Toc339020187"/>
      <w:bookmarkStart w:id="52" w:name="_Toc332206658"/>
      <w:bookmarkStart w:id="53" w:name="_Toc339020049"/>
      <w:bookmarkStart w:id="54" w:name="_Toc331512857"/>
      <w:bookmarkStart w:id="55" w:name="_Toc339441045"/>
      <w:bookmarkStart w:id="56" w:name="_Toc366072458"/>
      <w:bookmarkStart w:id="57" w:name="_Toc331683995"/>
      <w:bookmarkStart w:id="58" w:name="_Toc350438703"/>
      <w:bookmarkStart w:id="59" w:name="_Toc330459946"/>
      <w:bookmarkStart w:id="60" w:name="_Toc345513763"/>
      <w:bookmarkStart w:id="61" w:name="_Toc349127584"/>
      <w:bookmarkStart w:id="62" w:name="_Toc342060323"/>
      <w:bookmarkStart w:id="63" w:name="_Toc349143547"/>
      <w:bookmarkStart w:id="64" w:name="_Toc336681893"/>
      <w:bookmarkStart w:id="65" w:name="_Toc339019829"/>
      <w:bookmarkStart w:id="66" w:name="_Toc333238572"/>
      <w:bookmarkStart w:id="67" w:name="_Toc333935620"/>
      <w:bookmarkStart w:id="68" w:name="_Toc333237613"/>
      <w:bookmarkStart w:id="69" w:name="_Toc341348292"/>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19</w:t>
      </w:r>
      <w:r>
        <w:rPr>
          <w:rFonts w:ascii="Times New Roman" w:hAnsi="Times New Roman" w:eastAsia="宋体" w:cs="Times New Roman"/>
          <w:color w:val="000000" w:themeColor="text1"/>
          <w:kern w:val="2"/>
          <w:sz w:val="21"/>
          <w:szCs w:val="24"/>
          <w:highlight w:val="none"/>
          <w:lang w:val="en-US" w:eastAsia="zh-CN" w:bidi="ar-SA"/>
        </w:rPr>
        <w:t>日</w:t>
      </w:r>
    </w:p>
    <w:p>
      <w:pPr>
        <w:rPr>
          <w:color w:val="000000" w:themeColor="text1"/>
          <w:highlight w:val="none"/>
        </w:rPr>
      </w:pPr>
    </w:p>
    <w:p>
      <w:pPr>
        <w:rPr>
          <w:color w:val="000000" w:themeColor="text1"/>
          <w:highlight w:val="none"/>
        </w:rPr>
      </w:pPr>
    </w:p>
    <w:p>
      <w:pPr>
        <w:rPr>
          <w:color w:val="000000" w:themeColor="text1"/>
          <w:highlight w:val="none"/>
        </w:rPr>
      </w:pPr>
    </w:p>
    <w:p>
      <w:pPr>
        <w:rPr>
          <w:rFonts w:hint="eastAsia"/>
          <w:color w:val="000000" w:themeColor="text1"/>
          <w:highlight w:val="none"/>
        </w:rPr>
      </w:pPr>
      <w:r>
        <w:rPr>
          <w:rFonts w:hint="eastAsia"/>
          <w:color w:val="000000" w:themeColor="text1"/>
          <w:highlight w:val="none"/>
        </w:rPr>
        <w:br w:type="page"/>
      </w:r>
    </w:p>
    <w:p>
      <w:pPr>
        <w:pStyle w:val="3"/>
        <w:numPr>
          <w:ilvl w:val="0"/>
          <w:numId w:val="0"/>
        </w:numPr>
        <w:spacing w:beforeLines="0" w:afterLines="50" w:line="390" w:lineRule="exact"/>
        <w:jc w:val="center"/>
        <w:rPr>
          <w:color w:val="000000" w:themeColor="text1"/>
          <w:highlight w:val="none"/>
        </w:rPr>
      </w:pPr>
      <w:bookmarkStart w:id="70" w:name="_Toc23280"/>
      <w:r>
        <w:rPr>
          <w:rFonts w:hint="eastAsia"/>
          <w:color w:val="000000" w:themeColor="text1"/>
          <w:highlight w:val="none"/>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8573"/>
      <w:bookmarkStart w:id="73" w:name="_Toc333935280"/>
      <w:bookmarkStart w:id="74" w:name="_Toc333935621"/>
      <w:bookmarkStart w:id="75" w:name="_Toc333237725"/>
      <w:bookmarkStart w:id="76" w:name="_Toc330459949"/>
      <w:bookmarkStart w:id="77" w:name="_Toc75570886"/>
      <w:bookmarkStart w:id="78" w:name="_Toc333237614"/>
      <w:r>
        <w:rPr>
          <w:rFonts w:hint="eastAsia"/>
          <w:color w:val="000000" w:themeColor="text1"/>
          <w:highlight w:val="none"/>
        </w:rPr>
        <w:t>采购项目内容</w:t>
      </w:r>
      <w:bookmarkEnd w:id="70"/>
    </w:p>
    <w:bookmarkEnd w:id="72"/>
    <w:bookmarkEnd w:id="73"/>
    <w:bookmarkEnd w:id="74"/>
    <w:bookmarkEnd w:id="75"/>
    <w:bookmarkEnd w:id="76"/>
    <w:bookmarkEnd w:id="77"/>
    <w:bookmarkEnd w:id="78"/>
    <w:p>
      <w:pPr>
        <w:pStyle w:val="4"/>
        <w:numPr>
          <w:ilvl w:val="1"/>
          <w:numId w:val="0"/>
        </w:numPr>
        <w:spacing w:beforeLines="150" w:after="0" w:line="360" w:lineRule="auto"/>
        <w:jc w:val="center"/>
        <w:rPr>
          <w:rFonts w:hint="eastAsia"/>
          <w:color w:val="000000" w:themeColor="text1"/>
          <w:kern w:val="0"/>
          <w:sz w:val="24"/>
          <w:highlight w:val="none"/>
          <w:lang w:val="en-US" w:eastAsia="zh-CN"/>
        </w:rPr>
      </w:pPr>
      <w:bookmarkStart w:id="79" w:name="_Toc2524"/>
      <w:bookmarkStart w:id="80" w:name="_Toc333238600"/>
      <w:bookmarkStart w:id="81" w:name="_Toc331684005"/>
      <w:bookmarkStart w:id="82" w:name="_Toc339019982"/>
      <w:bookmarkStart w:id="83" w:name="_Toc333237644"/>
      <w:bookmarkStart w:id="84" w:name="_Toc349143556"/>
      <w:bookmarkStart w:id="85" w:name="_Toc350756417"/>
      <w:bookmarkStart w:id="86" w:name="_Toc350438716"/>
      <w:bookmarkStart w:id="87" w:name="_Toc349127593"/>
      <w:bookmarkStart w:id="88" w:name="_Toc339362267"/>
      <w:bookmarkStart w:id="89" w:name="_Toc333935313"/>
      <w:bookmarkStart w:id="90" w:name="_Toc336681902"/>
      <w:bookmarkStart w:id="91" w:name="_Toc339019856"/>
      <w:bookmarkStart w:id="92" w:name="_Toc365967040"/>
      <w:bookmarkStart w:id="93" w:name="_Toc332270313"/>
      <w:bookmarkStart w:id="94" w:name="_Toc339020200"/>
      <w:bookmarkStart w:id="95" w:name="_Toc342060341"/>
      <w:bookmarkStart w:id="96" w:name="_Toc341348305"/>
      <w:bookmarkStart w:id="97" w:name="_Toc330459952"/>
      <w:bookmarkStart w:id="98" w:name="_Toc333237755"/>
      <w:bookmarkStart w:id="99" w:name="_Toc339020062"/>
      <w:bookmarkStart w:id="100" w:name="_Toc331512865"/>
      <w:bookmarkStart w:id="101" w:name="_Toc345513834"/>
      <w:bookmarkStart w:id="102" w:name="_Toc340677037"/>
      <w:bookmarkStart w:id="103" w:name="_Toc332206675"/>
      <w:bookmarkStart w:id="104" w:name="_Toc342296727"/>
      <w:bookmarkStart w:id="105" w:name="_Toc339441054"/>
      <w:bookmarkStart w:id="106" w:name="_Toc333935654"/>
      <w:bookmarkStart w:id="107" w:name="_Toc365985146"/>
      <w:bookmarkStart w:id="108" w:name="_Toc337632325"/>
      <w:bookmarkStart w:id="109" w:name="_Toc340672836"/>
      <w:bookmarkStart w:id="110" w:name="_Toc340507409"/>
      <w:bookmarkStart w:id="111" w:name="_Toc366072495"/>
      <w:bookmarkStart w:id="112" w:name="_Toc336681547"/>
      <w:r>
        <w:rPr>
          <w:rFonts w:hint="eastAsia"/>
          <w:color w:val="000000" w:themeColor="text1"/>
          <w:kern w:val="0"/>
          <w:sz w:val="24"/>
          <w:highlight w:val="none"/>
          <w:lang w:val="en-US" w:eastAsia="zh-CN"/>
        </w:rPr>
        <w:t>用户需求书</w:t>
      </w:r>
      <w:bookmarkEnd w:id="7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highlight w:val="none"/>
        </w:rPr>
      </w:pPr>
      <w:bookmarkStart w:id="113" w:name="_Toc23548"/>
      <w:bookmarkStart w:id="114" w:name="_Toc17448"/>
      <w:bookmarkStart w:id="115" w:name="_Toc14149"/>
      <w:bookmarkStart w:id="116" w:name="_Toc32012"/>
      <w:r>
        <w:rPr>
          <w:rFonts w:hint="eastAsia" w:ascii="宋体" w:hAnsi="宋体" w:eastAsia="宋体" w:cs="宋体"/>
          <w:b/>
          <w:bCs/>
          <w:color w:val="000000" w:themeColor="text1"/>
          <w:highlight w:val="none"/>
        </w:rPr>
        <w:t>一、项目概述</w:t>
      </w:r>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bookmarkStart w:id="117" w:name="_Toc31574"/>
      <w:bookmarkStart w:id="118" w:name="_Toc29111"/>
      <w:bookmarkStart w:id="119" w:name="_Toc13052"/>
      <w:bookmarkStart w:id="120" w:name="_Toc22842"/>
      <w:r>
        <w:rPr>
          <w:rFonts w:hint="eastAsia" w:ascii="宋体" w:hAnsi="宋体" w:eastAsia="宋体" w:cs="宋体"/>
          <w:color w:val="000000" w:themeColor="text1"/>
          <w:highlight w:val="none"/>
          <w:lang w:eastAsia="zh-CN"/>
        </w:rPr>
        <w:t>（一）</w:t>
      </w:r>
      <w:r>
        <w:rPr>
          <w:rFonts w:hint="eastAsia" w:ascii="宋体" w:hAnsi="宋体" w:eastAsia="宋体" w:cs="宋体"/>
          <w:color w:val="000000" w:themeColor="text1"/>
          <w:highlight w:val="none"/>
        </w:rPr>
        <w:t>项目背景</w:t>
      </w:r>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在政策层面，《中华人民共和国民法典》等法律法规，对规范劳务外包行为，强化合同双方权责意识，保障劳务外包活动当事人合法权益提供了基本遵循。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需求层面，各行业整合自身资源实施劳务外包，将非核心业务进行委托，有利于促进专注核心业务发展，同时借助外部的专业化人力资源优势，强化组织应对社会发展的应变能力，使生产力得到有效提高。在此背景下，为适应税收事业现代化发展，满足日益增长的专业化劳务服务需求，</w:t>
      </w:r>
      <w:r>
        <w:rPr>
          <w:rFonts w:hint="eastAsia" w:ascii="宋体" w:hAnsi="宋体" w:eastAsia="宋体" w:cs="宋体"/>
          <w:color w:val="000000" w:themeColor="text1"/>
          <w:highlight w:val="none"/>
          <w:lang w:eastAsia="zh-CN"/>
        </w:rPr>
        <w:t>国家税务总局阳西县税务局</w:t>
      </w:r>
      <w:r>
        <w:rPr>
          <w:rFonts w:hint="eastAsia" w:ascii="宋体" w:hAnsi="宋体" w:eastAsia="宋体" w:cs="宋体"/>
          <w:color w:val="000000" w:themeColor="text1"/>
          <w:highlight w:val="none"/>
        </w:rPr>
        <w:t>的劳务外包服务首次面向社会进行公开招标。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在意义层面，本项目通过公开招标，有利于保障社会公共利益和劳务外包服务招标采购活动当事人的合法权益，维护公平竞争的市场秩序，促进</w:t>
      </w:r>
      <w:r>
        <w:rPr>
          <w:rFonts w:hint="eastAsia" w:ascii="宋体" w:hAnsi="宋体" w:eastAsia="宋体" w:cs="宋体"/>
          <w:color w:val="000000" w:themeColor="text1"/>
          <w:highlight w:val="none"/>
          <w:lang w:eastAsia="zh-CN"/>
        </w:rPr>
        <w:t>国家税务总局阳西县税务局</w:t>
      </w:r>
      <w:r>
        <w:rPr>
          <w:rFonts w:hint="eastAsia" w:ascii="宋体" w:hAnsi="宋体" w:eastAsia="宋体" w:cs="宋体"/>
          <w:color w:val="000000" w:themeColor="text1"/>
          <w:highlight w:val="none"/>
        </w:rPr>
        <w:t>后勤</w:t>
      </w:r>
      <w:r>
        <w:rPr>
          <w:rFonts w:hint="eastAsia" w:ascii="宋体" w:hAnsi="宋体" w:eastAsia="宋体" w:cs="宋体"/>
          <w:color w:val="000000" w:themeColor="text1"/>
          <w:highlight w:val="none"/>
          <w:lang w:eastAsia="zh-CN"/>
        </w:rPr>
        <w:t>保障</w:t>
      </w:r>
      <w:r>
        <w:rPr>
          <w:rFonts w:hint="eastAsia" w:ascii="宋体" w:hAnsi="宋体" w:eastAsia="宋体" w:cs="宋体"/>
          <w:color w:val="000000" w:themeColor="text1"/>
          <w:highlight w:val="none"/>
        </w:rPr>
        <w:t>服务水平的提升。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bookmarkStart w:id="121" w:name="_Toc31842"/>
      <w:bookmarkStart w:id="122" w:name="_Toc18854"/>
      <w:bookmarkStart w:id="123" w:name="_Toc22461"/>
      <w:bookmarkStart w:id="124" w:name="_Toc20752"/>
      <w:r>
        <w:rPr>
          <w:rFonts w:hint="eastAsia" w:ascii="宋体" w:hAnsi="宋体" w:eastAsia="宋体" w:cs="宋体"/>
          <w:color w:val="000000" w:themeColor="text1"/>
          <w:highlight w:val="none"/>
          <w:lang w:eastAsia="zh-CN"/>
        </w:rPr>
        <w:t>（二）</w:t>
      </w:r>
      <w:r>
        <w:rPr>
          <w:rFonts w:hint="eastAsia" w:ascii="宋体" w:hAnsi="宋体" w:eastAsia="宋体" w:cs="宋体"/>
          <w:color w:val="000000" w:themeColor="text1"/>
          <w:highlight w:val="none"/>
        </w:rPr>
        <w:t>项目内容</w:t>
      </w:r>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highlight w:val="none"/>
        </w:rPr>
        <w:t>标的名称：</w:t>
      </w:r>
      <w:r>
        <w:rPr>
          <w:rFonts w:hint="eastAsia" w:ascii="宋体" w:hAnsi="宋体" w:eastAsia="宋体" w:cs="宋体"/>
          <w:color w:val="000000" w:themeColor="text1"/>
          <w:highlight w:val="none"/>
          <w:lang w:eastAsia="zh-CN"/>
        </w:rPr>
        <w:t>国家税务总局阳西县税务局2023年－2025年劳务外包服务项目</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标的金额：总预算金额</w:t>
      </w:r>
      <w:r>
        <w:rPr>
          <w:rFonts w:hint="eastAsia" w:ascii="宋体" w:hAnsi="宋体" w:eastAsia="宋体" w:cs="宋体"/>
          <w:color w:val="000000" w:themeColor="text1"/>
          <w:highlight w:val="none"/>
          <w:lang w:val="en-US" w:eastAsia="zh-CN"/>
        </w:rPr>
        <w:t>720</w:t>
      </w:r>
      <w:r>
        <w:rPr>
          <w:rFonts w:hint="eastAsia" w:ascii="宋体" w:hAnsi="宋体" w:eastAsia="宋体" w:cs="宋体"/>
          <w:color w:val="000000" w:themeColor="text1"/>
          <w:highlight w:val="none"/>
        </w:rPr>
        <w:t>万元，其中每年</w:t>
      </w:r>
      <w:r>
        <w:rPr>
          <w:rFonts w:hint="eastAsia" w:ascii="宋体" w:hAnsi="宋体" w:eastAsia="宋体" w:cs="宋体"/>
          <w:color w:val="000000" w:themeColor="text1"/>
          <w:highlight w:val="none"/>
          <w:lang w:val="en-US" w:eastAsia="zh-CN"/>
        </w:rPr>
        <w:t>360</w:t>
      </w:r>
      <w:r>
        <w:rPr>
          <w:rFonts w:hint="eastAsia" w:ascii="宋体" w:hAnsi="宋体" w:eastAsia="宋体" w:cs="宋体"/>
          <w:color w:val="000000" w:themeColor="text1"/>
          <w:highlight w:val="none"/>
        </w:rPr>
        <w:t>万元，不划分包组；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服务期限：</w:t>
      </w:r>
      <w:r>
        <w:rPr>
          <w:rFonts w:hint="eastAsia" w:ascii="宋体" w:hAnsi="宋体" w:eastAsia="宋体" w:cs="宋体"/>
          <w:color w:val="000000" w:themeColor="text1"/>
          <w:highlight w:val="none"/>
          <w:lang w:val="en-US" w:eastAsia="zh-CN"/>
        </w:rPr>
        <w:t>两</w:t>
      </w:r>
      <w:r>
        <w:rPr>
          <w:rFonts w:hint="eastAsia" w:ascii="宋体" w:hAnsi="宋体" w:eastAsia="宋体" w:cs="宋体"/>
          <w:color w:val="000000" w:themeColor="text1"/>
          <w:highlight w:val="none"/>
        </w:rPr>
        <w:t>年</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共</w:t>
      </w:r>
      <w:r>
        <w:rPr>
          <w:rFonts w:hint="eastAsia" w:ascii="宋体" w:hAnsi="宋体" w:eastAsia="宋体" w:cs="宋体"/>
          <w:color w:val="000000" w:themeColor="text1"/>
          <w:highlight w:val="none"/>
          <w:lang w:val="en-US" w:eastAsia="zh-CN"/>
        </w:rPr>
        <w:t>24</w:t>
      </w:r>
      <w:r>
        <w:rPr>
          <w:rFonts w:hint="eastAsia" w:ascii="宋体" w:hAnsi="宋体" w:eastAsia="宋体" w:cs="宋体"/>
          <w:color w:val="000000" w:themeColor="text1"/>
          <w:highlight w:val="none"/>
        </w:rPr>
        <w:t>个月。采购人对中标人的服务质量进行综合考核，若中标人累计2个月以上服务质量及综合指标考核不合格(考核标准详见附件)，采购人可向中标人送达《终止合同通知书》，并终止合同；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本项目的中小企业划分标准所属行业为：租赁和商务服务业。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5.</w:t>
      </w:r>
      <w:r>
        <w:rPr>
          <w:rFonts w:hint="eastAsia" w:ascii="宋体" w:hAnsi="宋体" w:eastAsia="宋体" w:cs="宋体"/>
          <w:color w:val="000000" w:themeColor="text1"/>
          <w:highlight w:val="none"/>
          <w:lang w:eastAsia="zh-CN"/>
        </w:rPr>
        <w:t>服务地点：</w:t>
      </w:r>
      <w:r>
        <w:rPr>
          <w:rFonts w:hint="eastAsia" w:ascii="宋体" w:hAnsi="宋体" w:eastAsia="宋体" w:cs="宋体"/>
          <w:color w:val="000000" w:themeColor="text1"/>
          <w:highlight w:val="none"/>
        </w:rPr>
        <w:t>国家税务总局阳西县税务局桥平办公区、国家税务总局阳西县税务局升平办公区、</w:t>
      </w:r>
      <w:r>
        <w:rPr>
          <w:rFonts w:hint="eastAsia" w:ascii="宋体" w:hAnsi="宋体" w:eastAsia="宋体" w:cs="宋体"/>
          <w:color w:val="000000" w:themeColor="text1"/>
          <w:highlight w:val="none"/>
          <w:lang w:eastAsia="zh-CN"/>
        </w:rPr>
        <w:t>国家税务总局阳西县税务局第一税务分局（办税服务厅）、</w:t>
      </w:r>
      <w:r>
        <w:rPr>
          <w:rFonts w:hint="eastAsia" w:ascii="宋体" w:hAnsi="宋体" w:eastAsia="宋体" w:cs="宋体"/>
          <w:color w:val="000000" w:themeColor="text1"/>
          <w:highlight w:val="none"/>
        </w:rPr>
        <w:t>国家税务总局阳西县税务局沙扒税务分局、国家税务总局阳西县税务局儒洞税务分局</w:t>
      </w:r>
      <w:r>
        <w:rPr>
          <w:rFonts w:hint="eastAsia" w:ascii="宋体" w:hAnsi="宋体" w:eastAsia="宋体" w:cs="宋体"/>
          <w:color w:val="000000" w:themeColor="text1"/>
          <w:highlight w:val="none"/>
          <w:lang w:eastAsia="zh-CN"/>
        </w:rPr>
        <w:t>，以及阳西县内采购人指定的其他地点。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6.项目总费用明细</w:t>
      </w:r>
      <w:r>
        <w:rPr>
          <w:rFonts w:hint="eastAsia" w:ascii="宋体" w:hAnsi="宋体" w:eastAsia="宋体" w:cs="宋体"/>
          <w:color w:val="000000" w:themeColor="text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highlight w:val="none"/>
          <w:lang w:eastAsia="zh-CN"/>
        </w:rPr>
        <w:t>）服务人员正常工作时间的工资及</w:t>
      </w:r>
      <w:r>
        <w:rPr>
          <w:rFonts w:hint="eastAsia" w:ascii="宋体" w:hAnsi="宋体" w:eastAsia="宋体" w:cs="宋体"/>
          <w:color w:val="000000" w:themeColor="text1"/>
          <w:highlight w:val="none"/>
          <w:lang w:val="en-US" w:eastAsia="zh-CN"/>
        </w:rPr>
        <w:t>加班费</w:t>
      </w:r>
      <w:r>
        <w:rPr>
          <w:rFonts w:hint="eastAsia" w:ascii="宋体" w:hAnsi="宋体" w:eastAsia="宋体" w:cs="宋体"/>
          <w:color w:val="000000" w:themeColor="text1"/>
          <w:highlight w:val="none"/>
          <w:lang w:eastAsia="zh-CN"/>
        </w:rPr>
        <w:t>、福利、应缴纳各项社会保险费（含养老、医疗、工伤、失业、生育险</w:t>
      </w:r>
      <w:r>
        <w:rPr>
          <w:rFonts w:hint="eastAsia"/>
          <w:color w:val="000000" w:themeColor="text1"/>
          <w:highlight w:val="none"/>
          <w:lang w:eastAsia="zh-CN"/>
        </w:rPr>
        <w:t>、</w:t>
      </w:r>
      <w:r>
        <w:rPr>
          <w:rFonts w:hint="eastAsia"/>
          <w:color w:val="000000" w:themeColor="text1"/>
          <w:highlight w:val="none"/>
          <w:lang w:val="en-US" w:eastAsia="zh-CN"/>
        </w:rPr>
        <w:t>高额医疗保险</w:t>
      </w:r>
      <w:r>
        <w:rPr>
          <w:rFonts w:hint="eastAsia" w:ascii="宋体" w:hAnsi="宋体" w:eastAsia="宋体" w:cs="宋体"/>
          <w:color w:val="000000" w:themeColor="text1"/>
          <w:highlight w:val="none"/>
          <w:lang w:eastAsia="zh-CN"/>
        </w:rPr>
        <w:t>）、住房公积金。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（2）对服务人员开展节日慰问，提供年度体检服务、培训教育、工作制服有关的费用。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 xml:space="preserve">   上述第（1）（2）项费用，</w:t>
      </w:r>
      <w:r>
        <w:rPr>
          <w:rFonts w:hint="eastAsia" w:ascii="宋体" w:hAnsi="宋体" w:eastAsia="宋体" w:cs="宋体"/>
          <w:color w:val="000000" w:themeColor="text1"/>
          <w:highlight w:val="none"/>
          <w:lang w:eastAsia="zh-CN"/>
        </w:rPr>
        <w:t>以下</w:t>
      </w:r>
      <w:r>
        <w:rPr>
          <w:rFonts w:hint="eastAsia" w:ascii="宋体" w:hAnsi="宋体" w:eastAsia="宋体" w:cs="宋体"/>
          <w:color w:val="000000" w:themeColor="text1"/>
          <w:highlight w:val="none"/>
          <w:lang w:val="en-US" w:eastAsia="zh-CN"/>
        </w:rPr>
        <w:t>合</w:t>
      </w:r>
      <w:r>
        <w:rPr>
          <w:rFonts w:hint="eastAsia" w:ascii="宋体" w:hAnsi="宋体" w:eastAsia="宋体" w:cs="宋体"/>
          <w:color w:val="000000" w:themeColor="text1"/>
          <w:highlight w:val="none"/>
          <w:lang w:eastAsia="zh-CN"/>
        </w:rPr>
        <w:t>称“薪酬”。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合同履行过程中因与员工产生劳动纠纷而产生的经济补偿金或赔偿金、工伤待遇、未及时签订劳动合同的另一倍工资等可能产生的法律责任和费用均由中标人承担，中标人不得要求采购人承担。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（4）中标人的服务管理费：每月服务管理费按不得高于该月份服务人员薪酬的10%计算（取小数点后两位）。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投标人只需对服务管理费的折扣率进行报价。报价方式：折扣率（0-100%）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7、其他要求：投标人在中标后优先录用本次公开招标前自愿与采购人或者相关劳务公司解除劳动合同的人员，且录用后其待遇与原待遇应相当。若低于原待遇的，采购人有权要求中标人纠正。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bookmarkStart w:id="125" w:name="_Toc25094"/>
      <w:bookmarkStart w:id="126" w:name="_Toc18815"/>
      <w:bookmarkStart w:id="127" w:name="_Toc6787"/>
      <w:bookmarkStart w:id="128" w:name="_Toc15193"/>
      <w:r>
        <w:rPr>
          <w:rFonts w:hint="eastAsia" w:ascii="宋体" w:hAnsi="宋体" w:eastAsia="宋体" w:cs="宋体"/>
          <w:b/>
          <w:bCs/>
          <w:color w:val="000000" w:themeColor="text1"/>
          <w:sz w:val="21"/>
          <w:szCs w:val="21"/>
          <w:highlight w:val="none"/>
        </w:rPr>
        <w:t>二、投标要求</w:t>
      </w:r>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29" w:name="_Toc13517"/>
      <w:bookmarkStart w:id="130" w:name="_Toc26865"/>
      <w:bookmarkStart w:id="131" w:name="_Toc2390"/>
      <w:bookmarkStart w:id="132" w:name="_Toc27421"/>
      <w:r>
        <w:rPr>
          <w:rFonts w:hint="eastAsia" w:ascii="宋体" w:hAnsi="宋体" w:eastAsia="宋体" w:cs="宋体"/>
          <w:color w:val="000000" w:themeColor="text1"/>
          <w:sz w:val="21"/>
          <w:szCs w:val="21"/>
          <w:highlight w:val="none"/>
        </w:rPr>
        <w:t>（一）满足《中华人民共和国政府采购法》第二十二条规定，提供下列材料：</w:t>
      </w:r>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1.具有独立承担民事责任的能力</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2.具有良好的商业信誉和健全的财务会计制度</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3.具有履行合同所必需的设备和专业技术能力</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4.有依法缴纳税收和社会保障资金的良好记录</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5.参加政府采购活动前三年内，在经营活动中没有重大违法记录</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6.法律、行政法规规定的其他条件</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33" w:name="_Toc13175"/>
      <w:bookmarkStart w:id="134" w:name="_Toc7015"/>
      <w:bookmarkStart w:id="135" w:name="_Toc7490"/>
      <w:bookmarkStart w:id="136" w:name="_Toc13186"/>
      <w:r>
        <w:rPr>
          <w:rFonts w:hint="eastAsia" w:ascii="宋体" w:hAnsi="宋体" w:eastAsia="宋体" w:cs="宋体"/>
          <w:color w:val="000000" w:themeColor="text1"/>
          <w:sz w:val="21"/>
          <w:szCs w:val="21"/>
          <w:highlight w:val="none"/>
        </w:rPr>
        <w:t>（二）落实政府采购政策需满足的资格要求：</w:t>
      </w:r>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本项目属于专门面向中小企业采购。为落实《政府采购促进中小企业发展管理办法》（财库〔2020〕46号）政策，投标人为中型企业的，必须承诺中标后分包一定比例给小微企业，其中分包给小微企业的合同金额比例不低于 60%。（提供《分包意向协议书》或《分包承诺书》）。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37" w:name="_Toc11895"/>
      <w:bookmarkStart w:id="138" w:name="_Toc6804"/>
      <w:bookmarkStart w:id="139" w:name="_Toc8502"/>
      <w:bookmarkStart w:id="140" w:name="_Toc432"/>
      <w:r>
        <w:rPr>
          <w:rFonts w:hint="eastAsia" w:ascii="宋体" w:hAnsi="宋体" w:eastAsia="宋体" w:cs="宋体"/>
          <w:color w:val="000000" w:themeColor="text1"/>
          <w:sz w:val="21"/>
          <w:szCs w:val="21"/>
          <w:highlight w:val="none"/>
        </w:rPr>
        <w:t>（三）本项目的特定资格要求：</w:t>
      </w:r>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1.为采购项目提供整体设计、规范编制或者项目管理、监理、检测等服务的供应商，不再参加该采购项目的其他采购活动。（提供《关于资格的声明函》）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2.单位负责人为同一人或者存在直接控股、管理关系的不同供应商，不得参加同一合同项下的政府采购活动。（提供《关于资格的声明函》）</w:t>
      </w:r>
    </w:p>
    <w:p>
      <w:pPr>
        <w:bidi w:val="0"/>
        <w:spacing w:line="360" w:lineRule="auto"/>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3.投标人未被列入“信用中国”网站(</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"http://www.creditchina.gov.cn" </w:instrText>
      </w:r>
      <w:r>
        <w:rPr>
          <w:rFonts w:hint="eastAsia" w:ascii="宋体" w:hAnsi="宋体" w:eastAsia="宋体" w:cs="宋体"/>
          <w:color w:val="000000" w:themeColor="text1"/>
          <w:highlight w:val="none"/>
        </w:rPr>
        <w:fldChar w:fldCharType="separate"/>
      </w:r>
      <w:r>
        <w:rPr>
          <w:rStyle w:val="51"/>
          <w:rFonts w:hint="eastAsia" w:ascii="宋体" w:hAnsi="宋体" w:eastAsia="宋体" w:cs="宋体"/>
          <w:color w:val="000000" w:themeColor="text1"/>
          <w:szCs w:val="21"/>
          <w:highlight w:val="none"/>
          <w:shd w:val="clear" w:color="auto" w:fill="FFFFFF"/>
        </w:rPr>
        <w:t>www.creditchina.gov.cn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)以下任意名单之一：①失信被执行人名单；②重大税收违法案件当事人名单；③政府采购严重违法失信名单。同时，不处于中国政府采购网（www.ccgp.gov.cn ）“政府采购严重违法失信行为信息记录”中的禁止参加政府采购活动期间。（以采购代理机构于评审当天在上述网站查询结果为准，如在上述网站查询结果均显示没有相关记录，视为没有上述不良信用记录。同时对信用信息查询记录和证据截图存档。如相关失信记录已失效，供应商须提供相关证明资料。）</w:t>
      </w:r>
    </w:p>
    <w:p>
      <w:pPr>
        <w:bidi w:val="0"/>
        <w:spacing w:line="360" w:lineRule="auto"/>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注：需要落实的政府采购政策： </w:t>
      </w:r>
    </w:p>
    <w:p>
      <w:pPr>
        <w:bidi w:val="0"/>
        <w:spacing w:line="360" w:lineRule="auto"/>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（1）《政府采购促进中小企业发展管理办法》的通知(财库[2020]46号)；</w:t>
      </w:r>
    </w:p>
    <w:p>
      <w:pPr>
        <w:bidi w:val="0"/>
        <w:spacing w:line="360" w:lineRule="auto"/>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（2）《关于政府采购支持监狱企业发展有关问题的通知》(财库(2014)68号)；</w:t>
      </w:r>
    </w:p>
    <w:p>
      <w:pPr>
        <w:bidi w:val="0"/>
        <w:spacing w:line="360" w:lineRule="auto"/>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（3）《关于促进残疾人就业政府采购政策的通知》(财库(2017)141号)；</w:t>
      </w:r>
    </w:p>
    <w:p>
      <w:pPr>
        <w:bidi w:val="0"/>
        <w:spacing w:line="360" w:lineRule="auto"/>
        <w:ind w:firstLine="420" w:firstLineChars="200"/>
        <w:rPr>
          <w:rFonts w:ascii="仿宋_GB2312" w:hAnsi="仿宋_GB2312" w:eastAsia="仿宋_GB2312"/>
          <w:b/>
          <w:bCs/>
          <w:color w:val="000000" w:themeColor="text1"/>
          <w:szCs w:val="32"/>
          <w:highlight w:val="none"/>
        </w:rPr>
      </w:pPr>
      <w:r>
        <w:rPr>
          <w:rFonts w:hint="eastAsia" w:ascii="宋体" w:hAnsi="宋体" w:eastAsia="宋体" w:cs="宋体"/>
          <w:color w:val="000000" w:themeColor="text1"/>
          <w:highlight w:val="none"/>
        </w:rPr>
        <w:t>（4）《关于运用政府采购政策支持乡村产业振兴的通知》(财库(2021)19号)等。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highlight w:val="none"/>
        </w:rPr>
      </w:pPr>
      <w:bookmarkStart w:id="141" w:name="_Toc2931"/>
      <w:bookmarkStart w:id="142" w:name="_Toc3442"/>
      <w:bookmarkStart w:id="143" w:name="_Toc972"/>
      <w:bookmarkStart w:id="144" w:name="_Toc28597"/>
      <w:r>
        <w:rPr>
          <w:rFonts w:hint="eastAsia" w:ascii="宋体" w:hAnsi="宋体" w:eastAsia="宋体" w:cs="宋体"/>
          <w:b/>
          <w:bCs/>
          <w:color w:val="000000" w:themeColor="text1"/>
          <w:highlight w:val="none"/>
        </w:rPr>
        <w:t>三、项目需求</w:t>
      </w:r>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w:t>
      </w:r>
      <w:bookmarkStart w:id="145" w:name="_Hlk99006139"/>
      <w:bookmarkStart w:id="146" w:name="_Hlk98947354"/>
      <w:r>
        <w:rPr>
          <w:rFonts w:hint="eastAsia" w:ascii="宋体" w:hAnsi="宋体" w:eastAsia="宋体" w:cs="宋体"/>
          <w:color w:val="000000" w:themeColor="text1"/>
          <w:highlight w:val="none"/>
        </w:rPr>
        <w:t>劳务外包服务的范围包括以下内容：提供综合辅助服务、</w:t>
      </w:r>
      <w:r>
        <w:rPr>
          <w:rFonts w:hint="eastAsia" w:ascii="宋体" w:hAnsi="宋体" w:eastAsia="宋体" w:cs="宋体"/>
          <w:color w:val="000000" w:themeColor="text1"/>
          <w:highlight w:val="none"/>
          <w:lang w:eastAsia="zh-CN"/>
        </w:rPr>
        <w:t>后勤保障服务、网络和信息支持服务、</w:t>
      </w:r>
      <w:r>
        <w:rPr>
          <w:rFonts w:hint="eastAsia" w:ascii="宋体" w:hAnsi="宋体" w:eastAsia="宋体" w:cs="宋体"/>
          <w:color w:val="000000" w:themeColor="text1"/>
          <w:highlight w:val="none"/>
        </w:rPr>
        <w:t>公务用车驾驶服务、食堂劳务服务等，具体服务内容按照招标文件、合同及双方约定执行。拟外包人员总数量为</w:t>
      </w:r>
      <w:r>
        <w:rPr>
          <w:rFonts w:hint="eastAsia" w:ascii="宋体" w:hAnsi="宋体" w:eastAsia="宋体" w:cs="宋体"/>
          <w:color w:val="000000" w:themeColor="text1"/>
          <w:highlight w:val="none"/>
          <w:lang w:val="en-US" w:eastAsia="zh-CN"/>
        </w:rPr>
        <w:t>64</w:t>
      </w:r>
      <w:r>
        <w:rPr>
          <w:rFonts w:hint="eastAsia" w:ascii="宋体" w:hAnsi="宋体" w:eastAsia="宋体" w:cs="宋体"/>
          <w:color w:val="000000" w:themeColor="text1"/>
          <w:highlight w:val="none"/>
        </w:rPr>
        <w:t>人（实际外包人员数量根据采购人的服务需要进行调整），调整后的劳务外包服务量有减少的，据经采购人及中标人双方确定的实际劳务外包服务量进行结算。</w:t>
      </w:r>
      <w:bookmarkEnd w:id="145"/>
      <w:r>
        <w:rPr>
          <w:rFonts w:hint="eastAsia" w:ascii="宋体" w:hAnsi="宋体" w:eastAsia="宋体" w:cs="宋体"/>
          <w:b/>
          <w:bCs/>
          <w:color w:val="000000" w:themeColor="text1"/>
          <w:highlight w:val="none"/>
        </w:rPr>
        <w:t>（须提供承诺函）</w:t>
      </w:r>
      <w:bookmarkEnd w:id="14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、劳务外包服务</w:t>
      </w:r>
      <w:r>
        <w:rPr>
          <w:rFonts w:hint="eastAsia" w:ascii="宋体" w:hAnsi="宋体" w:eastAsia="宋体" w:cs="宋体"/>
          <w:color w:val="000000" w:themeColor="text1"/>
          <w:highlight w:val="none"/>
          <w:lang w:eastAsia="zh-CN"/>
        </w:rPr>
        <w:t>事项及要求明细如下</w:t>
      </w:r>
      <w:r>
        <w:rPr>
          <w:rFonts w:hint="eastAsia" w:ascii="宋体" w:hAnsi="宋体" w:eastAsia="宋体" w:cs="宋体"/>
          <w:color w:val="000000" w:themeColor="text1"/>
          <w:highlight w:val="none"/>
        </w:rPr>
        <w:t>：</w:t>
      </w:r>
    </w:p>
    <w:tbl>
      <w:tblPr>
        <w:tblStyle w:val="46"/>
        <w:tblW w:w="92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9"/>
        <w:gridCol w:w="1870"/>
        <w:gridCol w:w="5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000000" w:themeColor="text1"/>
                <w:szCs w:val="21"/>
                <w:highlight w:val="none"/>
              </w:rPr>
            </w:pPr>
            <w:r>
              <w:rPr>
                <w:rFonts w:hint="eastAsia" w:ascii="宋体" w:hAnsi="宋体" w:eastAsia="宋体"/>
                <w:color w:val="000000" w:themeColor="text1"/>
                <w:szCs w:val="21"/>
                <w:highlight w:val="none"/>
              </w:rPr>
              <w:t>序号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事项内容</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服务说明</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1</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综合</w:t>
            </w:r>
          </w:p>
          <w:p>
            <w:pPr>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辅助服务</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提供综合</w:t>
            </w:r>
          </w:p>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辅助服务</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办税服务辅助人员</w:t>
            </w:r>
            <w:r>
              <w:rPr>
                <w:rFonts w:hint="eastAsia" w:ascii="宋体" w:hAnsi="宋体"/>
                <w:color w:val="000000" w:themeColor="text1"/>
                <w:szCs w:val="21"/>
                <w:highlight w:val="none"/>
                <w:lang w:val="en-US" w:eastAsia="zh-CN"/>
              </w:rPr>
              <w:t>16</w:t>
            </w:r>
            <w:r>
              <w:rPr>
                <w:rFonts w:hint="eastAsia" w:ascii="宋体" w:hAnsi="宋体" w:eastAsia="宋体"/>
                <w:color w:val="000000" w:themeColor="text1"/>
                <w:szCs w:val="21"/>
                <w:highlight w:val="none"/>
              </w:rPr>
              <w:t>人，</w:t>
            </w:r>
            <w:r>
              <w:rPr>
                <w:rFonts w:hint="eastAsia" w:ascii="宋体" w:hAnsi="宋体"/>
                <w:color w:val="000000" w:themeColor="text1"/>
                <w:szCs w:val="21"/>
                <w:highlight w:val="none"/>
                <w:lang w:eastAsia="zh-CN"/>
              </w:rPr>
              <w:t>行政办公辅助人</w:t>
            </w:r>
            <w:r>
              <w:rPr>
                <w:rFonts w:hint="eastAsia" w:ascii="宋体" w:hAnsi="宋体" w:eastAsia="宋体"/>
                <w:color w:val="000000" w:themeColor="text1"/>
                <w:szCs w:val="21"/>
                <w:highlight w:val="none"/>
                <w:lang w:eastAsia="zh-CN"/>
              </w:rPr>
              <w:t>员</w:t>
            </w:r>
            <w:r>
              <w:rPr>
                <w:rFonts w:hint="eastAsia" w:ascii="宋体" w:hAnsi="宋体" w:eastAsia="宋体"/>
                <w:color w:val="000000" w:themeColor="text1"/>
                <w:szCs w:val="21"/>
                <w:highlight w:val="none"/>
                <w:lang w:val="en-US" w:eastAsia="zh-CN"/>
              </w:rPr>
              <w:t>5人，</w:t>
            </w:r>
            <w:r>
              <w:rPr>
                <w:rFonts w:hint="eastAsia" w:ascii="宋体" w:hAnsi="宋体" w:eastAsia="宋体"/>
                <w:color w:val="000000" w:themeColor="text1"/>
                <w:szCs w:val="21"/>
                <w:highlight w:val="none"/>
              </w:rPr>
              <w:t>能够熟练运用办公软件，具有良好的语言表达和沟通能力。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lang w:val="en-US" w:eastAsia="zh-CN"/>
              </w:rPr>
            </w:pPr>
            <w:r>
              <w:rPr>
                <w:rFonts w:hint="eastAsia" w:ascii="宋体" w:hAnsi="宋体" w:eastAsia="宋体"/>
                <w:color w:val="000000" w:themeColor="text1"/>
                <w:szCs w:val="21"/>
                <w:highlight w:val="none"/>
                <w:lang w:val="en-US" w:eastAsia="zh-CN"/>
              </w:rPr>
              <w:t>2</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后勤</w:t>
            </w:r>
          </w:p>
          <w:p>
            <w:pPr>
              <w:jc w:val="center"/>
              <w:rPr>
                <w:rFonts w:hint="eastAsia"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保障服务</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lang w:eastAsia="zh-CN"/>
              </w:rPr>
            </w:pPr>
            <w:r>
              <w:rPr>
                <w:rFonts w:hint="eastAsia" w:ascii="宋体" w:hAnsi="宋体"/>
                <w:color w:val="000000" w:themeColor="text1"/>
                <w:szCs w:val="21"/>
                <w:highlight w:val="none"/>
                <w:lang w:eastAsia="zh-CN"/>
              </w:rPr>
              <w:t>提供后勤</w:t>
            </w:r>
          </w:p>
          <w:p>
            <w:pPr>
              <w:spacing w:line="360" w:lineRule="auto"/>
              <w:jc w:val="center"/>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lang w:eastAsia="zh-CN"/>
              </w:rPr>
              <w:t>保障服务</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eastAsia="zh-CN"/>
              </w:rPr>
              <w:t>后勤服务人员</w:t>
            </w:r>
            <w:r>
              <w:rPr>
                <w:rFonts w:hint="eastAsia" w:ascii="宋体" w:hAnsi="宋体"/>
                <w:color w:val="000000" w:themeColor="text1"/>
                <w:szCs w:val="21"/>
                <w:highlight w:val="none"/>
                <w:lang w:val="en-US" w:eastAsia="zh-CN"/>
              </w:rPr>
              <w:t>15人，服从组织工作安排，提供优质高效后勤保障服务。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000000" w:themeColor="text1"/>
                <w:szCs w:val="21"/>
                <w:highlight w:val="none"/>
                <w:lang w:val="en-US" w:eastAsia="zh-CN"/>
              </w:rPr>
            </w:pPr>
            <w:r>
              <w:rPr>
                <w:rFonts w:hint="eastAsia" w:ascii="宋体" w:hAnsi="宋体" w:eastAsia="宋体"/>
                <w:color w:val="000000" w:themeColor="text1"/>
                <w:szCs w:val="21"/>
                <w:highlight w:val="none"/>
                <w:lang w:val="en-US" w:eastAsia="zh-CN"/>
              </w:rPr>
              <w:t>3</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lang w:eastAsia="zh-CN"/>
              </w:rPr>
              <w:t>网络和信息支持服务</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lang w:eastAsia="zh-CN"/>
              </w:rPr>
              <w:t>提供网络和信息系统维护服务</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eastAsia="zh-CN"/>
              </w:rPr>
              <w:t>信息化系统维护人员</w:t>
            </w:r>
            <w:r>
              <w:rPr>
                <w:rFonts w:hint="eastAsia" w:ascii="宋体" w:hAnsi="宋体"/>
                <w:color w:val="000000" w:themeColor="text1"/>
                <w:szCs w:val="21"/>
                <w:highlight w:val="none"/>
                <w:lang w:val="en-US" w:eastAsia="zh-CN"/>
              </w:rPr>
              <w:t>4人，能够熟悉网络和信息系统支持和维护技术要求，具有专业的技术水平。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lang w:val="en-US" w:eastAsia="zh-CN"/>
              </w:rPr>
            </w:pPr>
            <w:r>
              <w:rPr>
                <w:rFonts w:hint="eastAsia" w:ascii="宋体" w:hAnsi="宋体" w:eastAsia="宋体"/>
                <w:color w:val="000000" w:themeColor="text1"/>
                <w:szCs w:val="21"/>
                <w:highlight w:val="none"/>
                <w:lang w:val="en-US" w:eastAsia="zh-CN"/>
              </w:rPr>
              <w:t>4</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公务用车</w:t>
            </w:r>
          </w:p>
          <w:p>
            <w:pPr>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驾驶服务</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提供公务用车</w:t>
            </w:r>
          </w:p>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驾驶服务</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司机</w:t>
            </w:r>
            <w:r>
              <w:rPr>
                <w:rFonts w:hint="eastAsia" w:ascii="宋体" w:hAnsi="宋体"/>
                <w:color w:val="000000" w:themeColor="text1"/>
                <w:szCs w:val="21"/>
                <w:highlight w:val="none"/>
                <w:lang w:val="en-US" w:eastAsia="zh-CN"/>
              </w:rPr>
              <w:t>10</w:t>
            </w:r>
            <w:r>
              <w:rPr>
                <w:rFonts w:hint="eastAsia" w:ascii="宋体" w:hAnsi="宋体" w:eastAsia="宋体"/>
                <w:color w:val="000000" w:themeColor="text1"/>
                <w:szCs w:val="21"/>
                <w:highlight w:val="none"/>
              </w:rPr>
              <w:t>人，须持有合法有效的《中华人民共和国机动车驾驶证》，能够熟练驾驶机动车，未发生过重大交通事故。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lang w:val="en-US" w:eastAsia="zh-CN"/>
              </w:rPr>
            </w:pPr>
            <w:r>
              <w:rPr>
                <w:rFonts w:hint="eastAsia" w:ascii="宋体" w:hAnsi="宋体" w:eastAsia="宋体"/>
                <w:color w:val="000000" w:themeColor="text1"/>
                <w:szCs w:val="21"/>
                <w:highlight w:val="none"/>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食堂劳务</w:t>
            </w:r>
          </w:p>
          <w:p>
            <w:pPr>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服务</w:t>
            </w:r>
          </w:p>
        </w:tc>
        <w:tc>
          <w:tcPr>
            <w:tcW w:w="187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提供食堂</w:t>
            </w:r>
          </w:p>
          <w:p>
            <w:pPr>
              <w:spacing w:line="360" w:lineRule="auto"/>
              <w:jc w:val="center"/>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劳务服务</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000000" w:themeColor="text1"/>
                <w:szCs w:val="21"/>
                <w:highlight w:val="none"/>
              </w:rPr>
            </w:pPr>
            <w:r>
              <w:rPr>
                <w:rFonts w:hint="eastAsia" w:ascii="宋体" w:hAnsi="宋体"/>
                <w:color w:val="000000" w:themeColor="text1"/>
                <w:szCs w:val="21"/>
                <w:highlight w:val="none"/>
                <w:lang w:eastAsia="zh-CN"/>
              </w:rPr>
              <w:t>机关</w:t>
            </w:r>
            <w:r>
              <w:rPr>
                <w:rFonts w:hint="eastAsia" w:ascii="宋体" w:hAnsi="宋体" w:eastAsia="宋体"/>
                <w:color w:val="000000" w:themeColor="text1"/>
                <w:szCs w:val="21"/>
                <w:highlight w:val="none"/>
              </w:rPr>
              <w:t>大厨2人</w:t>
            </w:r>
            <w:r>
              <w:rPr>
                <w:rFonts w:hint="eastAsia" w:ascii="宋体" w:hAnsi="宋体"/>
                <w:color w:val="000000" w:themeColor="text1"/>
                <w:szCs w:val="21"/>
                <w:highlight w:val="none"/>
                <w:lang w:eastAsia="zh-CN"/>
              </w:rPr>
              <w:t>、副厨</w:t>
            </w:r>
            <w:r>
              <w:rPr>
                <w:rFonts w:hint="eastAsia" w:ascii="宋体" w:hAnsi="宋体"/>
                <w:color w:val="000000" w:themeColor="text1"/>
                <w:szCs w:val="21"/>
                <w:highlight w:val="none"/>
                <w:lang w:val="en-US" w:eastAsia="zh-CN"/>
              </w:rPr>
              <w:t>1人，</w:t>
            </w:r>
            <w:r>
              <w:rPr>
                <w:rFonts w:hint="eastAsia" w:ascii="宋体" w:hAnsi="宋体" w:eastAsia="宋体"/>
                <w:color w:val="000000" w:themeColor="text1"/>
                <w:szCs w:val="21"/>
                <w:highlight w:val="none"/>
              </w:rPr>
              <w:t>须持有有效健康证、协助每周菜式编制，并根据营养科学提出合理化意见建议。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lang w:val="en-US" w:eastAsia="zh-CN"/>
              </w:rPr>
            </w:pPr>
            <w:r>
              <w:rPr>
                <w:rFonts w:hint="eastAsia" w:ascii="宋体" w:hAnsi="宋体" w:eastAsia="宋体"/>
                <w:color w:val="000000" w:themeColor="text1"/>
                <w:szCs w:val="21"/>
                <w:highlight w:val="none"/>
                <w:lang w:val="en-US" w:eastAsia="zh-CN"/>
              </w:rPr>
              <w:t>6</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000000" w:themeColor="text1"/>
                <w:szCs w:val="21"/>
                <w:highlight w:val="none"/>
              </w:rPr>
            </w:pPr>
          </w:p>
        </w:tc>
        <w:tc>
          <w:tcPr>
            <w:tcW w:w="187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p>
        </w:tc>
        <w:tc>
          <w:tcPr>
            <w:tcW w:w="53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000000" w:themeColor="text1"/>
                <w:szCs w:val="21"/>
                <w:highlight w:val="none"/>
              </w:rPr>
            </w:pPr>
            <w:r>
              <w:rPr>
                <w:rFonts w:hint="eastAsia" w:ascii="宋体" w:hAnsi="宋体"/>
                <w:color w:val="000000" w:themeColor="text1"/>
                <w:szCs w:val="21"/>
                <w:highlight w:val="none"/>
                <w:lang w:eastAsia="zh-CN"/>
              </w:rPr>
              <w:t>基层</w:t>
            </w:r>
            <w:r>
              <w:rPr>
                <w:rFonts w:hint="eastAsia" w:ascii="宋体" w:hAnsi="宋体" w:eastAsia="宋体"/>
                <w:color w:val="000000" w:themeColor="text1"/>
                <w:szCs w:val="21"/>
                <w:highlight w:val="none"/>
              </w:rPr>
              <w:t>普通厨师</w:t>
            </w:r>
            <w:r>
              <w:rPr>
                <w:rFonts w:hint="eastAsia" w:ascii="宋体" w:hAnsi="宋体"/>
                <w:color w:val="000000" w:themeColor="text1"/>
                <w:szCs w:val="21"/>
                <w:highlight w:val="none"/>
                <w:lang w:val="en-US" w:eastAsia="zh-CN"/>
              </w:rPr>
              <w:t>2</w:t>
            </w:r>
            <w:r>
              <w:rPr>
                <w:rFonts w:hint="eastAsia" w:ascii="宋体" w:hAnsi="宋体" w:eastAsia="宋体"/>
                <w:color w:val="000000" w:themeColor="text1"/>
                <w:szCs w:val="21"/>
                <w:highlight w:val="none"/>
              </w:rPr>
              <w:t>人，须持有有效健康证。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lang w:val="en-US" w:eastAsia="zh-CN"/>
              </w:rPr>
            </w:pPr>
            <w:r>
              <w:rPr>
                <w:rFonts w:hint="eastAsia" w:ascii="宋体" w:hAnsi="宋体" w:eastAsia="宋体"/>
                <w:color w:val="000000" w:themeColor="text1"/>
                <w:szCs w:val="21"/>
                <w:highlight w:val="none"/>
                <w:lang w:val="en-US" w:eastAsia="zh-CN"/>
              </w:rPr>
              <w:t>7</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000000" w:themeColor="text1"/>
                <w:szCs w:val="21"/>
                <w:highlight w:val="none"/>
              </w:rPr>
            </w:pPr>
          </w:p>
        </w:tc>
        <w:tc>
          <w:tcPr>
            <w:tcW w:w="187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p>
        </w:tc>
        <w:tc>
          <w:tcPr>
            <w:tcW w:w="531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厨工</w:t>
            </w:r>
            <w:r>
              <w:rPr>
                <w:rFonts w:hint="eastAsia" w:ascii="宋体" w:hAnsi="宋体" w:eastAsia="宋体"/>
                <w:color w:val="000000" w:themeColor="text1"/>
                <w:szCs w:val="21"/>
                <w:highlight w:val="none"/>
                <w:lang w:val="en-US" w:eastAsia="zh-CN"/>
              </w:rPr>
              <w:t>8</w:t>
            </w:r>
            <w:r>
              <w:rPr>
                <w:rFonts w:hint="eastAsia" w:ascii="宋体" w:hAnsi="宋体" w:eastAsia="宋体"/>
                <w:color w:val="000000" w:themeColor="text1"/>
                <w:szCs w:val="21"/>
                <w:highlight w:val="none"/>
              </w:rPr>
              <w:t>人，须持有有效健康证。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lang w:val="en-US" w:eastAsia="zh-CN"/>
              </w:rPr>
            </w:pPr>
            <w:r>
              <w:rPr>
                <w:rFonts w:hint="eastAsia" w:ascii="宋体" w:hAnsi="宋体" w:eastAsia="宋体"/>
                <w:color w:val="000000" w:themeColor="text1"/>
                <w:szCs w:val="21"/>
                <w:highlight w:val="none"/>
                <w:lang w:val="en-US" w:eastAsia="zh-CN"/>
              </w:rPr>
              <w:t>8</w:t>
            </w: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000000" w:themeColor="text1"/>
                <w:szCs w:val="21"/>
                <w:highlight w:val="none"/>
              </w:rPr>
            </w:pPr>
          </w:p>
        </w:tc>
        <w:tc>
          <w:tcPr>
            <w:tcW w:w="1870"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rPr>
            </w:pPr>
          </w:p>
        </w:tc>
        <w:tc>
          <w:tcPr>
            <w:tcW w:w="531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厨房管理员1人，须持有有效健康证。</w:t>
            </w:r>
          </w:p>
        </w:tc>
      </w:tr>
    </w:tbl>
    <w:p>
      <w:pPr>
        <w:pStyle w:val="53"/>
        <w:numPr>
          <w:ilvl w:val="0"/>
          <w:numId w:val="0"/>
        </w:numPr>
        <w:ind w:leftChars="0"/>
        <w:rPr>
          <w:rFonts w:hint="eastAsia" w:ascii="宋体" w:hAnsi="宋体"/>
          <w:color w:val="000000" w:themeColor="text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bookmarkStart w:id="147" w:name="_Toc29224"/>
      <w:bookmarkStart w:id="148" w:name="_Toc28385"/>
      <w:bookmarkStart w:id="149" w:name="_Toc13679"/>
      <w:bookmarkStart w:id="150" w:name="_Toc23211"/>
      <w:r>
        <w:rPr>
          <w:rFonts w:hint="eastAsia" w:ascii="宋体" w:hAnsi="宋体" w:eastAsia="宋体" w:cs="宋体"/>
          <w:b/>
          <w:bCs/>
          <w:color w:val="000000" w:themeColor="text1"/>
          <w:sz w:val="21"/>
          <w:szCs w:val="21"/>
          <w:highlight w:val="none"/>
        </w:rPr>
        <w:t>四、项目实施要求</w:t>
      </w:r>
      <w:bookmarkEnd w:id="147"/>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51" w:name="_Toc10818"/>
      <w:bookmarkStart w:id="152" w:name="_Toc29524"/>
      <w:bookmarkStart w:id="153" w:name="_Toc20433"/>
      <w:bookmarkStart w:id="154" w:name="_Toc107"/>
      <w:r>
        <w:rPr>
          <w:rFonts w:hint="eastAsia" w:ascii="宋体" w:hAnsi="宋体" w:eastAsia="宋体" w:cs="宋体"/>
          <w:color w:val="000000" w:themeColor="text1"/>
          <w:sz w:val="21"/>
          <w:szCs w:val="21"/>
          <w:highlight w:val="none"/>
        </w:rPr>
        <w:t>（一）服务内容及要求</w:t>
      </w:r>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1、中标人根据采购人实际情况及要求安排开展工作。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2、采购人有权以书面形式向中标人提出劳务外包服务的具体要求，以及劳务外包服务人员的素质要求。中标人应按采购人要求提供符合实际需要和符合条件的劳务外包服务人员。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中标人负责所有劳务外包服务人员的人事、劳资、社会保险、计生、基础培训的人事劳资管理工作，并提供为劳务外包服务人员办理劳动用工手续（签订、终止或解除劳动合同，劳务外包服务人员的调动手续等）、结算发放工资、发放经济补偿金、缴纳社会保险、处理保险理赔、管理人事档案、提供员工培训等方面的管理服务。负责处理合同服务期内所有劳资纠纷和调解管理纠纷，落实采购人根据规章制度和工作需要提出的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4、劳务外包服务人员与中标人存在劳动法律关系（包括劳动合同关系、工资保险关系和劳动用工手续等），中标人为用人单位，外包员工与采购人只存在业务服务关系，不存在劳动法律关系。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劳务外包服务人员入职后，如采购人要求，中标人有义务及时向采购人提供劳务外包服务人员资料，包括个人信息、健康证、劳动合同或劳动关系档案编号、社会保险证明等个人资料，采购人承诺不随意对外泄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6、中标人应经常性对劳务外包服务人员进行职业道德教育，监督检查劳务外包服务人员执行采购人规章制度的情况，对违规违法劳务外包服务人员处理，维护采购人正常的经营秩序。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中标人应当妥善维护与劳务外包服务人员的劳动关系，对于劳务外包服务人员通过采购人向中标人提出的管理、服务等方面的投诉或建议，中标人均应三个工作日内进行处理，并在处理完毕后三个工作日以书面形式反馈结果至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▲8、中标人应至少安排1名工作人员专门负责与采购人进行工作对接，对于采购人提出的各类工作事项及服务需求均应按时按质量处理，不得敷衍了事。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★9、中标人提供的</w:t>
      </w:r>
      <w:bookmarkStart w:id="155" w:name="_Hlk98663696"/>
      <w:r>
        <w:rPr>
          <w:rFonts w:hint="eastAsia" w:ascii="宋体" w:hAnsi="宋体" w:eastAsia="宋体" w:cs="宋体"/>
          <w:color w:val="000000" w:themeColor="text1"/>
          <w:sz w:val="21"/>
          <w:szCs w:val="21"/>
          <w:highlight w:val="none"/>
        </w:rPr>
        <w:t>劳务外包服务人员</w:t>
      </w:r>
      <w:bookmarkEnd w:id="155"/>
      <w:r>
        <w:rPr>
          <w:rFonts w:hint="eastAsia" w:ascii="宋体" w:hAnsi="宋体" w:eastAsia="宋体" w:cs="宋体"/>
          <w:color w:val="000000" w:themeColor="text1"/>
          <w:sz w:val="21"/>
          <w:szCs w:val="21"/>
          <w:highlight w:val="none"/>
        </w:rPr>
        <w:t>（须按采购人要求，持证上岗）及各项服务费用需经采购人审核。（须提供承诺函）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▲10、中标人须按照规定为劳务外包服务人员办理社会保险，并负责办理社保的理赔手续和发放保险补助。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▲11、中标人须按照合同约定的时间和采购人核定的标准，及时、足额向劳务外包服务人员支付每月工资，不得无故扣发劳务外包服务人员工资，不得缩减或变更劳务外包服务人员交付全额社会保险的险种。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56" w:name="_Toc16408"/>
      <w:bookmarkStart w:id="157" w:name="_Toc11558"/>
      <w:bookmarkStart w:id="158" w:name="_Toc23908"/>
      <w:bookmarkStart w:id="159" w:name="_Toc13493"/>
      <w:r>
        <w:rPr>
          <w:rFonts w:hint="eastAsia" w:ascii="宋体" w:hAnsi="宋体" w:eastAsia="宋体" w:cs="宋体"/>
          <w:color w:val="000000" w:themeColor="text1"/>
          <w:sz w:val="21"/>
          <w:szCs w:val="21"/>
          <w:highlight w:val="none"/>
        </w:rPr>
        <w:t>（二）服务责任</w:t>
      </w:r>
      <w:bookmarkEnd w:id="156"/>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▲1、因劳务外包服务人员工作失职、故意行为、违法犯罪行为造成采购人经济损失的，中标人应承担相应的管理责任和法律责任。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2、因中标人自身原因导致纠纷扩大或未能减小采购人相关损失的，由中标人承担相关责任。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3、因中标人自身原因所引发的一切纠纷，由中标人负完全责任。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▲4、劳务外包服务人员在非工作时间内发生的人身意外或其他纠纷，由中标人负责处理和承担相关责任。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▲5、中标人不按国家或相关主管部门规定发放劳务外包人员工资</w:t>
      </w:r>
      <w:r>
        <w:rPr>
          <w:rFonts w:hint="eastAsia" w:ascii="宋体" w:hAnsi="宋体" w:eastAsia="宋体" w:cs="宋体"/>
          <w:color w:val="000000" w:themeColor="text1"/>
          <w:sz w:val="21"/>
          <w:szCs w:val="21"/>
          <w:highlight w:val="none"/>
          <w:lang w:eastAsia="zh-CN"/>
        </w:rPr>
        <w:t>及加班费</w:t>
      </w:r>
      <w:r>
        <w:rPr>
          <w:rFonts w:hint="eastAsia" w:ascii="宋体" w:hAnsi="宋体" w:eastAsia="宋体" w:cs="宋体"/>
          <w:color w:val="000000" w:themeColor="text1"/>
          <w:sz w:val="21"/>
          <w:szCs w:val="21"/>
          <w:highlight w:val="none"/>
        </w:rPr>
        <w:t>、社会保险费用、住房公积金费用和其他福利费用的，并引起法律纠纷的，除承担由此引发的一切法律责任外，采购人有权终止服务合同。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6、如果中标时中标人为中型企业，中标人应在与采购人签订合同后30天内与小微企业签订分包协议，约定分包给小微企业的金额比例不低于合同总金额的60%，并将分包协议、小微企业的营业执照、承诺书等有关资料提供一份给采购人备案，否则采购人有权要求中标人纠正，中标人逾期30天不纠正的，采购人有权不支付实结总金额的60%的费用给中标人，直至中标人纠正之日止。若中标人逾期6个月不纠正的，采购人有权解除或终止本合同，因此造成的损失和责任全部由中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60" w:name="_Toc2532"/>
      <w:bookmarkStart w:id="161" w:name="_Toc3274"/>
      <w:bookmarkStart w:id="162" w:name="_Toc554"/>
      <w:bookmarkStart w:id="163" w:name="_Toc637"/>
      <w:r>
        <w:rPr>
          <w:rFonts w:hint="eastAsia" w:ascii="宋体" w:hAnsi="宋体" w:eastAsia="宋体" w:cs="宋体"/>
          <w:color w:val="000000" w:themeColor="text1"/>
          <w:sz w:val="21"/>
          <w:szCs w:val="21"/>
          <w:highlight w:val="none"/>
        </w:rPr>
        <w:t>（三）工作时间</w:t>
      </w:r>
      <w:bookmarkEnd w:id="160"/>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全体劳务外包服务人员工作时间由中标人根据国家有关规定及完成采购人服务工作的需要进行安排。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64" w:name="_Toc11034"/>
      <w:bookmarkStart w:id="165" w:name="_Toc12078"/>
      <w:bookmarkStart w:id="166" w:name="_Toc8420"/>
      <w:bookmarkStart w:id="167" w:name="_Toc9414"/>
      <w:r>
        <w:rPr>
          <w:rFonts w:hint="eastAsia" w:ascii="宋体" w:hAnsi="宋体" w:eastAsia="宋体" w:cs="宋体"/>
          <w:color w:val="000000" w:themeColor="text1"/>
          <w:sz w:val="21"/>
          <w:szCs w:val="21"/>
          <w:highlight w:val="none"/>
        </w:rPr>
        <w:t>（四）岗位设置</w:t>
      </w:r>
      <w:bookmarkEnd w:id="164"/>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本项目岗位包括但不限于以下事项：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68" w:name="_Toc17847"/>
      <w:bookmarkStart w:id="169" w:name="_Toc24041"/>
      <w:bookmarkStart w:id="170" w:name="_Toc12457"/>
      <w:bookmarkStart w:id="171" w:name="_Toc21835"/>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lang w:eastAsia="zh-CN"/>
        </w:rPr>
        <w:t>办税</w:t>
      </w:r>
      <w:r>
        <w:rPr>
          <w:rFonts w:hint="eastAsia" w:ascii="宋体" w:hAnsi="宋体" w:eastAsia="宋体" w:cs="宋体"/>
          <w:color w:val="000000" w:themeColor="text1"/>
          <w:sz w:val="21"/>
          <w:szCs w:val="21"/>
          <w:highlight w:val="none"/>
        </w:rPr>
        <w:t>服务</w:t>
      </w:r>
      <w:r>
        <w:rPr>
          <w:rFonts w:hint="eastAsia" w:ascii="宋体" w:hAnsi="宋体" w:eastAsia="宋体" w:cs="宋体"/>
          <w:color w:val="000000" w:themeColor="text1"/>
          <w:sz w:val="21"/>
          <w:szCs w:val="21"/>
          <w:highlight w:val="none"/>
          <w:lang w:eastAsia="zh-CN"/>
        </w:rPr>
        <w:t>辅助</w:t>
      </w:r>
      <w:r>
        <w:rPr>
          <w:rFonts w:hint="eastAsia" w:ascii="宋体" w:hAnsi="宋体" w:eastAsia="宋体" w:cs="宋体"/>
          <w:color w:val="000000" w:themeColor="text1"/>
          <w:sz w:val="21"/>
          <w:szCs w:val="21"/>
          <w:highlight w:val="none"/>
        </w:rPr>
        <w:t>岗</w:t>
      </w:r>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负责办税服务厅的各项纳税服务工作及采购人交办的其他工作任务，熟悉掌握税费征收业务知识，能熟练指导纳税人按程序办理纳税手续，熟练使用电脑、复印机等基本办公设备，具备基本的礼仪知识并能得体地运用到实际工作之中，具有良好的语言表达和沟通能力，善于倾听和详细解答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72" w:name="_Toc11580"/>
      <w:bookmarkStart w:id="173" w:name="_Toc21378"/>
      <w:bookmarkStart w:id="174" w:name="_Toc31924"/>
      <w:bookmarkStart w:id="175" w:name="_Toc32204"/>
      <w:r>
        <w:rPr>
          <w:rFonts w:hint="eastAsia" w:ascii="宋体" w:hAnsi="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lang w:eastAsia="zh-CN"/>
        </w:rPr>
        <w:t>行政办公辅助</w:t>
      </w:r>
      <w:r>
        <w:rPr>
          <w:rFonts w:hint="eastAsia" w:ascii="宋体" w:hAnsi="宋体" w:eastAsia="宋体" w:cs="宋体"/>
          <w:color w:val="000000" w:themeColor="text1"/>
          <w:sz w:val="21"/>
          <w:szCs w:val="21"/>
          <w:highlight w:val="none"/>
        </w:rPr>
        <w:t>岗</w:t>
      </w:r>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负责文字材料的写作、影像资料管理、数据收集和税收政策宣传等辅助工作，协助完成各项考核工作和采购人交办的其他工作任务。</w:t>
      </w:r>
      <w:r>
        <w:rPr>
          <w:rFonts w:hint="eastAsia" w:ascii="宋体" w:hAnsi="宋体" w:eastAsia="宋体" w:cs="宋体"/>
          <w:color w:val="000000" w:themeColor="text1"/>
          <w:sz w:val="21"/>
          <w:szCs w:val="21"/>
          <w:highlight w:val="none"/>
          <w:lang w:eastAsia="zh-CN"/>
        </w:rPr>
        <w:t>能</w:t>
      </w:r>
      <w:r>
        <w:rPr>
          <w:rFonts w:hint="eastAsia" w:ascii="宋体" w:hAnsi="宋体" w:eastAsia="宋体" w:cs="宋体"/>
          <w:color w:val="000000" w:themeColor="text1"/>
          <w:sz w:val="21"/>
          <w:szCs w:val="21"/>
          <w:highlight w:val="none"/>
          <w:lang w:val="en-US" w:eastAsia="zh-CN"/>
        </w:rPr>
        <w:t>熟练使用电脑、复印机等基本办公设备，做事勤勉、认真细致，能吃苦耐劳，有一定的文字功底，具备基本的礼仪知识，具有良好的语言表达和沟通能力。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bookmarkStart w:id="176" w:name="_Toc32228"/>
      <w:r>
        <w:rPr>
          <w:rFonts w:hint="eastAsia" w:ascii="宋体" w:hAnsi="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lang w:val="en-US" w:eastAsia="zh-CN"/>
        </w:rPr>
        <w:t>后勤保障服务岗</w:t>
      </w:r>
      <w:bookmarkEnd w:id="17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负责会务服务工作、公务接待后勤服务、会客室等场所的后勤保障服务，以及采购人交办的其他事项。做事勤勉、认真细致，能吃苦耐劳，具备基本的礼仪知识，具有良好的语言表达和沟通能力。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bookmarkStart w:id="177" w:name="_Toc27547"/>
      <w:r>
        <w:rPr>
          <w:rFonts w:hint="eastAsia" w:ascii="宋体" w:hAnsi="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lang w:val="en-US" w:eastAsia="zh-CN"/>
        </w:rPr>
        <w:t>网络和信息支持服务岗</w:t>
      </w:r>
      <w:bookmarkEnd w:id="17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lang w:val="en-US" w:eastAsia="zh-CN"/>
        </w:rPr>
        <w:t xml:space="preserve">   </w:t>
      </w:r>
      <w:r>
        <w:rPr>
          <w:rFonts w:hint="eastAsia" w:ascii="宋体" w:hAnsi="宋体" w:eastAsia="宋体" w:cs="宋体"/>
          <w:color w:val="000000" w:themeColor="text1"/>
          <w:sz w:val="21"/>
          <w:szCs w:val="21"/>
          <w:highlight w:val="none"/>
          <w:lang w:val="en-US" w:eastAsia="zh-CN"/>
        </w:rPr>
        <w:t>负责办公网络和信息系统的维护工作，以及计算机类办公设备的日常维护工作，熟悉网络和信息系统支持和维护技术要求，协助做好会议或者活动的设备系统调试工作。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78" w:name="_Toc2062"/>
      <w:bookmarkStart w:id="179" w:name="_Toc24322"/>
      <w:bookmarkStart w:id="180" w:name="_Toc29096"/>
      <w:bookmarkStart w:id="181" w:name="_Toc30031"/>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、公务用车驾驶服务岗</w:t>
      </w:r>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（1）未安排出勤的驾驶员应按时上下班，坚守工作岗位，在司机室等候出车；当天机动应急值班小组人员必须保持24小时通讯畅通，随叫随到。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（2）安排出勤的驾驶员应准时出车，不得误点；出车后，按审核过的公差派车单出勤，不私自出车，不擅自将车辆交给非驾驶员驾驶。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（3）做好使用车辆的洗护工作，保持车辆外部干净无污渍,内部整洁无异味。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（4）做好使用车辆的日常检查维护保养工作，发现故障及时报备维修，消除事故隐患,做到不带故障出车。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（5）检查使用车辆的水、电、油及其他性能是否正常，发现不正常时，要立即加补或调整。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（6）出车执行任务应严格遵守交通规则，安全驾驶。发生交通意外要保护好现场，并及时报告当地公安交警部门、投保的保险公司，同时要及时报告,不得隐瞒不报。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（7）驾驶员出车执行任务，遇特殊情况不能按时返回的，应及时向公务用车管理岗说明原因。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（8）出车在外或出车归来应安全停放车辆，锁好保险锁，保管好车辆和证件，严防丢失。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（9）出车归来应做好车辆交接手续；完成出车任务后应及时向公务用车管理岗报告，并对车辆进行安全检查后归库。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（10）日常工作中应注重保持个人仪容仪表；出车时要讲文明、懂礼貌，保证优质服务。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（11）完成采购人交办的其他事项。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82" w:name="_Toc15708"/>
      <w:bookmarkStart w:id="183" w:name="_Toc15161"/>
      <w:bookmarkStart w:id="184" w:name="_Toc24420"/>
      <w:bookmarkStart w:id="185" w:name="_Toc23957"/>
      <w:r>
        <w:rPr>
          <w:rFonts w:hint="eastAsia" w:ascii="宋体" w:hAnsi="宋体" w:eastAsia="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、食堂劳务服务岗</w:t>
      </w:r>
      <w:bookmarkEnd w:id="182"/>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（1）大厨、</w:t>
      </w:r>
      <w:r>
        <w:rPr>
          <w:rFonts w:hint="eastAsia" w:ascii="宋体" w:hAnsi="宋体" w:eastAsia="宋体" w:cs="宋体"/>
          <w:color w:val="000000" w:themeColor="text1"/>
          <w:sz w:val="21"/>
          <w:szCs w:val="21"/>
          <w:highlight w:val="none"/>
          <w:lang w:eastAsia="zh-CN"/>
        </w:rPr>
        <w:t>副厨、普通厨师、</w:t>
      </w:r>
      <w:r>
        <w:rPr>
          <w:rFonts w:hint="eastAsia" w:ascii="宋体" w:hAnsi="宋体" w:eastAsia="宋体" w:cs="宋体"/>
          <w:color w:val="000000" w:themeColor="text1"/>
          <w:sz w:val="21"/>
          <w:szCs w:val="21"/>
          <w:highlight w:val="none"/>
        </w:rPr>
        <w:t>厨工</w:t>
      </w:r>
      <w:r>
        <w:rPr>
          <w:rFonts w:hint="eastAsia" w:ascii="宋体" w:hAnsi="宋体" w:eastAsia="宋体" w:cs="宋体"/>
          <w:color w:val="000000" w:themeColor="text1"/>
          <w:sz w:val="21"/>
          <w:szCs w:val="21"/>
          <w:highlight w:val="none"/>
          <w:lang w:eastAsia="zh-CN"/>
        </w:rPr>
        <w:t>、厨房管理员</w:t>
      </w:r>
      <w:r>
        <w:rPr>
          <w:rFonts w:hint="eastAsia" w:ascii="宋体" w:hAnsi="宋体" w:eastAsia="宋体" w:cs="宋体"/>
          <w:color w:val="000000" w:themeColor="text1"/>
          <w:sz w:val="21"/>
          <w:szCs w:val="21"/>
          <w:highlight w:val="none"/>
        </w:rPr>
        <w:t>服务内容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厨房管理员</w:t>
      </w:r>
      <w:r>
        <w:rPr>
          <w:rFonts w:hint="eastAsia" w:ascii="宋体" w:hAnsi="宋体" w:eastAsia="宋体" w:cs="宋体"/>
          <w:color w:val="000000" w:themeColor="text1"/>
          <w:sz w:val="21"/>
          <w:szCs w:val="21"/>
          <w:highlight w:val="none"/>
        </w:rPr>
        <w:t>对购进食品物品进行监秤、检查质量及验收，并履行签收和入库手续。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做好食品储存工作，采取有效措施确保食品材料新鲜、洁净，无污染、无变质，成品存放实行“四隔离”（即生与熟隔离，成品与半成品隔离，食物与药物隔离，食品与天然水、冰隔离）。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做好食品材料加工工作，不加工变质原料，确保食品卫生安全。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对原料做到先进先出，随时检查，不得使用任何霉变、有异味等变质食材原料。食材当天使用的食品实行验收领用制，办理签收领用手续。需提前储备的食品、物品经管理员验收入库后，办理进出仓手续。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食堂工作环境实行每日清扫、每周大扫除制度，采取有效措施预防和消灭“四害”，建立健全安全卫生管理制度。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对餐后用具务必做到“四过关”（即“一冲、二刷、三洗、四消毒”），冲洗干净后放入消毒柜进行高温消毒，清洁餐具不能有洗涤用品、食物残渣、油渍残留。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对厨房操作间设备设施与用具实行“定置管理”，按岗位包干负责，做到摆放整齐有序，无油无尘；地面无污水、无杂物。操作间和取餐区域安装视频监控设备，实行“明厨亮灶工程”，接受监督。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食品操作台应将生熟食品分开处理，刀、砧板、抹布必须保持清洁卫生；砧板在贮藏过程中如有变质、变味、腐坏应及时更换。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蔬菜清洁加工时应做到“一拣、二洗、三浸、四检测”，保证无腐败、无杂物，必须保证菜品干净卫生。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厨师配合厨房管理岗指示要求，带领厨房人员做好每日工作，确保厨房工作正常运转。制定每周营养健康食谱，并积极听取干部职工意见建议，不断提升出品质量。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注意个人卫生，勤洗手、勤剪指甲、勤理发、勤洗工作服，保持个人仪容仪表。进入后厨区域必须穿着工作服，正确佩戴厨师帽（不外露头发），正确佩戴口罩。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严格遵守用火、用气安全等相关规定，在显著位置张贴各类紧急报警电话号码。出现突发事件进行基本的应急处理，包括停水、停电、设备故障、火情、食物中毒等。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做好食品留样存储，按要求每餐对直接入口的食品进行留样。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下班后需对厨房内容易发生危险的地方认真检查，储存好各种食品，杜绝食物中毒事件的发生；关好电源、水源、天然气，锁好门窗方可离开。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餐前准备阶段(早餐提前15分钟完成、午、晚餐提前30分钟完成)：将清洁、消毒好的餐具器皿统一归类摆放整齐；检查餐具是否无水渍、无污渍、无油渍，干净明亮；检查用餐餐具及其他用品是否充足(台面的纸巾、牙签) ，及时补充；检查大厅及四周环境卫生(垃圾桶、玻璃窗、洗手池、地面等) ，检查电源、灯光、电视、空调；用餐前后做好桌面、椅子清洁消毒并摆放整齐，如有损坏及时报告；检查自助餐加热炉及台；检查自助餐炉的水温及准备公夹、公勺；准备菜式配用的调料及其他酱料；将电视声音开到适当的音量,空调温度调到26°C规定标准；菜品不足时，上菜是否及时；做好</w:t>
      </w:r>
      <w:r>
        <w:rPr>
          <w:rFonts w:hint="eastAsia" w:ascii="宋体" w:hAnsi="宋体" w:eastAsia="宋体" w:cs="宋体"/>
          <w:color w:val="000000" w:themeColor="text1"/>
          <w:sz w:val="21"/>
          <w:szCs w:val="21"/>
          <w:highlight w:val="none"/>
          <w:lang w:eastAsia="zh-CN"/>
        </w:rPr>
        <w:t>食堂</w:t>
      </w:r>
      <w:r>
        <w:rPr>
          <w:rFonts w:hint="eastAsia" w:ascii="宋体" w:hAnsi="宋体" w:eastAsia="宋体" w:cs="宋体"/>
          <w:color w:val="000000" w:themeColor="text1"/>
          <w:sz w:val="21"/>
          <w:szCs w:val="21"/>
          <w:highlight w:val="none"/>
        </w:rPr>
        <w:t>公共区域卫生清洁。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（3）餐中及餐后工作阶段：收撤餐盘送往洗碗房；完成桌面及地面的清洁、消毒工作；根据餐前准备工作,重新布置桌椅；检查所有电源及空调、电视是否关闭；每周进行大扫除。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（4）完成采购人交办的其他事项。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86" w:name="_Toc20492"/>
      <w:bookmarkStart w:id="187" w:name="_Toc12247"/>
      <w:bookmarkStart w:id="188" w:name="_Toc10024"/>
      <w:bookmarkStart w:id="189" w:name="_Toc2860"/>
      <w:r>
        <w:rPr>
          <w:rFonts w:hint="eastAsia" w:ascii="宋体" w:hAnsi="宋体" w:eastAsia="宋体" w:cs="宋体"/>
          <w:color w:val="000000" w:themeColor="text1"/>
          <w:sz w:val="21"/>
          <w:szCs w:val="21"/>
          <w:highlight w:val="none"/>
        </w:rPr>
        <w:t>（五）用工程序</w:t>
      </w:r>
      <w:bookmarkEnd w:id="186"/>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采购人如需新增新劳务外包服务人员，中标人按如下要求新增：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1、采购人根据业务需要和岗位设置情况，以书面形式向中标人发出需求通知书。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2、中标人收到采购人用工需求通知书后，按照需求提供劳务外包服务人员。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3、采购人对中标人推荐的劳务外包服务人员进行选用确认。采购人有权自行决定是否接受选用中标人推荐的劳务外包服务人员。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▲4、中标人须组织获得选用资格的人员进行体检，审验、收集获得选用资格人员的相关证件等资料，上述资料须备份给采购人。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5、采购人对获得选用资格并体检合格的人员进行岗位培训，中标人对其进行公共职业培训，上述培训均合格后，由采购人确定正式选用名单。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6、中标人通知选用人员入职，并办理相关入职手续、签订劳动合同等。签订的劳动合同须备份给采购人。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▲7、采购人有权要求调换不适合岗位要求的劳务外包服务人员，中标人调换劳务外包服务人员须经过采购人同意。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90" w:name="_Toc5888"/>
      <w:bookmarkStart w:id="191" w:name="_Toc28546"/>
      <w:bookmarkStart w:id="192" w:name="_Toc23089"/>
      <w:bookmarkStart w:id="193" w:name="_Toc21460"/>
      <w:r>
        <w:rPr>
          <w:rFonts w:hint="eastAsia" w:ascii="宋体" w:hAnsi="宋体" w:eastAsia="宋体" w:cs="宋体"/>
          <w:color w:val="000000" w:themeColor="text1"/>
          <w:sz w:val="21"/>
          <w:szCs w:val="21"/>
          <w:highlight w:val="none"/>
        </w:rPr>
        <w:t>（六）其他事项</w:t>
      </w:r>
      <w:bookmarkEnd w:id="190"/>
      <w:bookmarkEnd w:id="191"/>
      <w:bookmarkEnd w:id="192"/>
      <w:bookmarkEnd w:id="19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▲1、如有需要，中标人需配合采购人对劳务外包服务人员提供的证明文件进行核证。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▲2、劳务外包各项服务费用由采购人根据服务情况进行确定。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▲3、劳务外包服务人员的工资、社会保险缴费基数、住房公积金缴存基数按阳江市有关规定执行。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4、项目款项按照有关规定进行支付。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5、中标人不得将项目非法分包或转包给任何单位和个人，否则，采购人有权即刻终止合同，并要求中标人赔偿损失并追究法律责任。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▲6、中标人提供的劳务外包服务人员在工作中因故意或重大过失给采购人造成重大经济损失的，经采购人、中标人双方认定或相关机构认定后，由中标人承担责任。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▲7、中标人必须按时、足额支付劳务外包服务人员工资并缴纳社会保险、缴存住房公积金等。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▲8、中标人应按采购人要求负责组织劳务外包服务人员置装、入职体检和年度体检，相关费用由中标人支付。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9、劳务外包服务人员因采购人的工作安排发生的差旅费由采购人负担，据实结算。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bookmarkStart w:id="194" w:name="_Toc19029"/>
      <w:bookmarkStart w:id="195" w:name="_Toc21601"/>
      <w:bookmarkStart w:id="196" w:name="_Toc18816"/>
      <w:bookmarkStart w:id="197" w:name="_Toc9856"/>
      <w:r>
        <w:rPr>
          <w:rFonts w:hint="eastAsia" w:ascii="宋体" w:hAnsi="宋体" w:eastAsia="宋体" w:cs="宋体"/>
          <w:b/>
          <w:bCs/>
          <w:color w:val="000000" w:themeColor="text1"/>
          <w:sz w:val="21"/>
          <w:szCs w:val="21"/>
          <w:highlight w:val="none"/>
        </w:rPr>
        <w:t>五、项目验收要求</w:t>
      </w:r>
      <w:bookmarkEnd w:id="194"/>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1、采购人对中标人的</w:t>
      </w:r>
      <w:r>
        <w:rPr>
          <w:rFonts w:hint="eastAsia" w:ascii="宋体" w:hAnsi="宋体" w:eastAsia="宋体" w:cs="宋体"/>
          <w:color w:val="000000" w:themeColor="text1"/>
          <w:sz w:val="21"/>
          <w:szCs w:val="21"/>
          <w:highlight w:val="none"/>
          <w:lang w:eastAsia="zh-CN"/>
        </w:rPr>
        <w:t>劳务外包</w:t>
      </w:r>
      <w:r>
        <w:rPr>
          <w:rFonts w:hint="eastAsia" w:ascii="宋体" w:hAnsi="宋体" w:eastAsia="宋体" w:cs="宋体"/>
          <w:color w:val="000000" w:themeColor="text1"/>
          <w:sz w:val="21"/>
          <w:szCs w:val="21"/>
          <w:highlight w:val="none"/>
        </w:rPr>
        <w:t>服务情况进行考核及验收，并对造成失误、过错、事故的，当月</w:t>
      </w:r>
      <w:r>
        <w:rPr>
          <w:rFonts w:hint="eastAsia" w:ascii="宋体" w:hAnsi="宋体" w:eastAsia="宋体" w:cs="宋体"/>
          <w:color w:val="000000" w:themeColor="text1"/>
          <w:sz w:val="21"/>
          <w:szCs w:val="21"/>
          <w:highlight w:val="none"/>
          <w:lang w:eastAsia="zh-CN"/>
        </w:rPr>
        <w:t>作出处理</w:t>
      </w:r>
      <w:r>
        <w:rPr>
          <w:rFonts w:hint="eastAsia" w:ascii="宋体" w:hAnsi="宋体" w:eastAsia="宋体" w:cs="宋体"/>
          <w:color w:val="000000" w:themeColor="text1"/>
          <w:sz w:val="21"/>
          <w:szCs w:val="21"/>
          <w:highlight w:val="none"/>
        </w:rPr>
        <w:t>并追究相关责任，其考核扣罚费用下月据实结算。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2、招标文件条款明确的责任及罚则所涉及的投诉类型、失误、过错大小、事故性质、有效性的确定由采购人与中标人在合同签订时协商予以明确,分歧异议部分，以采购人后勤主管部门的意见为准。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3、采购人对中标人服务期间每月综合考评一次，累计有两个月得分低于</w:t>
      </w:r>
      <w:r>
        <w:rPr>
          <w:rFonts w:hint="eastAsia" w:ascii="宋体" w:hAnsi="宋体" w:eastAsia="宋体" w:cs="宋体"/>
          <w:color w:val="000000" w:themeColor="text1"/>
          <w:sz w:val="21"/>
          <w:szCs w:val="21"/>
          <w:highlight w:val="none"/>
          <w:lang w:val="en-US" w:eastAsia="zh-CN"/>
        </w:rPr>
        <w:t>80</w:t>
      </w:r>
      <w:r>
        <w:rPr>
          <w:rFonts w:hint="eastAsia" w:ascii="宋体" w:hAnsi="宋体" w:eastAsia="宋体" w:cs="宋体"/>
          <w:color w:val="000000" w:themeColor="text1"/>
          <w:sz w:val="21"/>
          <w:szCs w:val="21"/>
          <w:highlight w:val="none"/>
        </w:rPr>
        <w:t>分，则视为不合格，采购人有权终止合同。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4、中标人如有违反或未达到招标文件内★号项要求，视为0分考评，采购人有权终止合同，重新组织招标。有分歧异议的，以采购人的意见为准。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采购人和中标人共同参与中标人服务工作人员考勤管理，中标人服务工作人员出勤率应达规定人数的100%，每日全勤奖励加8分。考勤按在岗时间以小时计算，全体员工迟到、早退等不在岗时间累计共（到）有八小时视为1人当天缺勤，</w:t>
      </w:r>
      <w:r>
        <w:rPr>
          <w:rFonts w:hint="eastAsia" w:ascii="宋体" w:hAnsi="宋体" w:eastAsia="宋体" w:cs="宋体"/>
          <w:color w:val="000000" w:themeColor="text1"/>
          <w:sz w:val="21"/>
          <w:szCs w:val="21"/>
          <w:highlight w:val="none"/>
          <w:lang w:eastAsia="zh-CN"/>
        </w:rPr>
        <w:t>按本岗位用工</w:t>
      </w:r>
      <w:r>
        <w:rPr>
          <w:rFonts w:hint="eastAsia" w:ascii="宋体" w:hAnsi="宋体" w:eastAsia="宋体" w:cs="宋体"/>
          <w:color w:val="000000" w:themeColor="text1"/>
          <w:sz w:val="21"/>
          <w:szCs w:val="21"/>
          <w:highlight w:val="none"/>
          <w:lang w:val="en-US" w:eastAsia="zh-CN"/>
        </w:rPr>
        <w:t>3倍工资的标准计算扣减</w:t>
      </w:r>
      <w:r>
        <w:rPr>
          <w:rFonts w:hint="eastAsia" w:ascii="宋体" w:hAnsi="宋体" w:eastAsia="宋体" w:cs="宋体"/>
          <w:color w:val="000000" w:themeColor="text1"/>
          <w:sz w:val="21"/>
          <w:szCs w:val="21"/>
          <w:highlight w:val="none"/>
          <w:lang w:eastAsia="zh-CN"/>
        </w:rPr>
        <w:t>劳务外包</w:t>
      </w:r>
      <w:r>
        <w:rPr>
          <w:rFonts w:hint="eastAsia" w:ascii="宋体" w:hAnsi="宋体" w:eastAsia="宋体" w:cs="宋体"/>
          <w:color w:val="000000" w:themeColor="text1"/>
          <w:sz w:val="21"/>
          <w:szCs w:val="21"/>
          <w:highlight w:val="none"/>
          <w:lang w:val="en-US" w:eastAsia="zh-CN"/>
        </w:rPr>
        <w:t>服务费</w:t>
      </w:r>
      <w:r>
        <w:rPr>
          <w:rFonts w:hint="eastAsia" w:ascii="宋体" w:hAnsi="宋体" w:eastAsia="宋体" w:cs="宋体"/>
          <w:color w:val="000000" w:themeColor="text1"/>
          <w:sz w:val="21"/>
          <w:szCs w:val="21"/>
          <w:highlight w:val="none"/>
        </w:rPr>
        <w:t>，累计时间缺勤一小时扣一分；因员工离职和考核考评不合格、违规遭到投诉等换人造成的岗位即时缺人，按本岗位用工3倍工资计算扣减服务</w:t>
      </w:r>
      <w:r>
        <w:rPr>
          <w:rFonts w:hint="eastAsia" w:ascii="宋体" w:hAnsi="宋体" w:eastAsia="宋体" w:cs="宋体"/>
          <w:color w:val="000000" w:themeColor="text1"/>
          <w:sz w:val="21"/>
          <w:szCs w:val="21"/>
          <w:highlight w:val="none"/>
          <w:lang w:eastAsia="zh-CN"/>
        </w:rPr>
        <w:t>管理</w:t>
      </w:r>
      <w:r>
        <w:rPr>
          <w:rFonts w:hint="eastAsia" w:ascii="宋体" w:hAnsi="宋体" w:eastAsia="宋体" w:cs="宋体"/>
          <w:color w:val="000000" w:themeColor="text1"/>
          <w:sz w:val="21"/>
          <w:szCs w:val="21"/>
          <w:highlight w:val="none"/>
        </w:rPr>
        <w:t>费，每人每天扣8分。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6、在经营活动中存在违反税收法规财务制度及其他违法违规记录，扣20分。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7、在经营中是否履行合同承诺。很好履行合同承诺得3分；基本履行合同承诺不得分；未履行合同承诺每次扣3分。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8、提倡节约能源，不准浪费水、电及消耗品等公共资源（违反则扣0.5分/次）。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9、不准违反工作纪律、违规操作。严格执行和遵守各项管理制度（违反扣1分）。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98" w:name="_Hlk98325757"/>
      <w:r>
        <w:rPr>
          <w:rFonts w:hint="eastAsia" w:ascii="宋体" w:hAnsi="宋体" w:eastAsia="宋体" w:cs="宋体"/>
          <w:color w:val="000000" w:themeColor="text1"/>
          <w:sz w:val="21"/>
          <w:szCs w:val="21"/>
          <w:highlight w:val="none"/>
        </w:rPr>
        <w:t>10、一般过错的有效投诉，</w:t>
      </w:r>
      <w:r>
        <w:rPr>
          <w:rFonts w:hint="eastAsia" w:ascii="宋体" w:hAnsi="宋体" w:eastAsia="宋体" w:cs="宋体"/>
          <w:color w:val="000000" w:themeColor="text1"/>
          <w:sz w:val="21"/>
          <w:szCs w:val="21"/>
          <w:highlight w:val="none"/>
          <w:lang w:val="en-US" w:eastAsia="zh-CN"/>
        </w:rPr>
        <w:t>按</w:t>
      </w:r>
      <w:r>
        <w:rPr>
          <w:rFonts w:hint="eastAsia" w:ascii="宋体" w:hAnsi="宋体" w:eastAsia="宋体" w:cs="宋体"/>
          <w:color w:val="000000" w:themeColor="text1"/>
          <w:sz w:val="21"/>
          <w:szCs w:val="21"/>
          <w:highlight w:val="none"/>
        </w:rPr>
        <w:t>60元/次</w:t>
      </w:r>
      <w:r>
        <w:rPr>
          <w:rFonts w:hint="eastAsia" w:ascii="宋体" w:hAnsi="宋体" w:eastAsia="宋体" w:cs="宋体"/>
          <w:color w:val="000000" w:themeColor="text1"/>
          <w:sz w:val="21"/>
          <w:szCs w:val="21"/>
          <w:highlight w:val="none"/>
          <w:lang w:eastAsia="zh-CN"/>
        </w:rPr>
        <w:t>扣减服务管理费</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11、一般过错的重（反）复性有效投诉，</w:t>
      </w:r>
      <w:r>
        <w:rPr>
          <w:rFonts w:hint="eastAsia" w:ascii="宋体" w:hAnsi="宋体" w:eastAsia="宋体" w:cs="宋体"/>
          <w:color w:val="000000" w:themeColor="text1"/>
          <w:sz w:val="21"/>
          <w:szCs w:val="21"/>
          <w:highlight w:val="none"/>
          <w:lang w:val="en-US" w:eastAsia="zh-CN"/>
        </w:rPr>
        <w:t>按</w:t>
      </w:r>
      <w:r>
        <w:rPr>
          <w:rFonts w:hint="eastAsia" w:ascii="宋体" w:hAnsi="宋体" w:eastAsia="宋体" w:cs="宋体"/>
          <w:color w:val="000000" w:themeColor="text1"/>
          <w:sz w:val="21"/>
          <w:szCs w:val="21"/>
          <w:highlight w:val="none"/>
        </w:rPr>
        <w:t>120元/次</w:t>
      </w:r>
      <w:r>
        <w:rPr>
          <w:rFonts w:hint="eastAsia" w:ascii="宋体" w:hAnsi="宋体" w:eastAsia="宋体" w:cs="宋体"/>
          <w:color w:val="000000" w:themeColor="text1"/>
          <w:sz w:val="21"/>
          <w:szCs w:val="21"/>
          <w:highlight w:val="none"/>
          <w:lang w:eastAsia="zh-CN"/>
        </w:rPr>
        <w:t>扣减服务管理费</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12、较大过错的有效投诉，</w:t>
      </w:r>
      <w:r>
        <w:rPr>
          <w:rFonts w:hint="eastAsia" w:ascii="宋体" w:hAnsi="宋体" w:eastAsia="宋体" w:cs="宋体"/>
          <w:color w:val="000000" w:themeColor="text1"/>
          <w:sz w:val="21"/>
          <w:szCs w:val="21"/>
          <w:highlight w:val="none"/>
          <w:lang w:val="en-US" w:eastAsia="zh-CN"/>
        </w:rPr>
        <w:t>按</w:t>
      </w:r>
      <w:r>
        <w:rPr>
          <w:rFonts w:hint="eastAsia" w:ascii="宋体" w:hAnsi="宋体" w:eastAsia="宋体" w:cs="宋体"/>
          <w:color w:val="000000" w:themeColor="text1"/>
          <w:sz w:val="21"/>
          <w:szCs w:val="21"/>
          <w:highlight w:val="none"/>
        </w:rPr>
        <w:t>180元/次</w:t>
      </w:r>
      <w:r>
        <w:rPr>
          <w:rFonts w:hint="eastAsia" w:ascii="宋体" w:hAnsi="宋体" w:eastAsia="宋体" w:cs="宋体"/>
          <w:color w:val="000000" w:themeColor="text1"/>
          <w:sz w:val="21"/>
          <w:szCs w:val="21"/>
          <w:highlight w:val="none"/>
          <w:lang w:eastAsia="zh-CN"/>
        </w:rPr>
        <w:t>扣减服务管理费</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13、较大过错的的重（反）复性有效投诉，</w:t>
      </w:r>
      <w:r>
        <w:rPr>
          <w:rFonts w:hint="eastAsia" w:ascii="宋体" w:hAnsi="宋体" w:eastAsia="宋体" w:cs="宋体"/>
          <w:color w:val="000000" w:themeColor="text1"/>
          <w:sz w:val="21"/>
          <w:szCs w:val="21"/>
          <w:highlight w:val="none"/>
          <w:lang w:val="en-US" w:eastAsia="zh-CN"/>
        </w:rPr>
        <w:t>按</w:t>
      </w:r>
      <w:r>
        <w:rPr>
          <w:rFonts w:hint="eastAsia" w:ascii="宋体" w:hAnsi="宋体" w:eastAsia="宋体" w:cs="宋体"/>
          <w:color w:val="000000" w:themeColor="text1"/>
          <w:sz w:val="21"/>
          <w:szCs w:val="21"/>
          <w:highlight w:val="none"/>
        </w:rPr>
        <w:t>480元/次</w:t>
      </w:r>
      <w:r>
        <w:rPr>
          <w:rFonts w:hint="eastAsia" w:ascii="宋体" w:hAnsi="宋体" w:eastAsia="宋体" w:cs="宋体"/>
          <w:color w:val="000000" w:themeColor="text1"/>
          <w:sz w:val="21"/>
          <w:szCs w:val="21"/>
          <w:highlight w:val="none"/>
          <w:lang w:eastAsia="zh-CN"/>
        </w:rPr>
        <w:t>扣减服务管理费</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14、重大过错的有效投诉，</w:t>
      </w:r>
      <w:r>
        <w:rPr>
          <w:rFonts w:hint="eastAsia" w:ascii="宋体" w:hAnsi="宋体" w:eastAsia="宋体" w:cs="宋体"/>
          <w:color w:val="000000" w:themeColor="text1"/>
          <w:sz w:val="21"/>
          <w:szCs w:val="21"/>
          <w:highlight w:val="none"/>
          <w:lang w:val="en-US" w:eastAsia="zh-CN"/>
        </w:rPr>
        <w:t>按</w:t>
      </w:r>
      <w:r>
        <w:rPr>
          <w:rFonts w:hint="eastAsia" w:ascii="宋体" w:hAnsi="宋体" w:eastAsia="宋体" w:cs="宋体"/>
          <w:color w:val="000000" w:themeColor="text1"/>
          <w:sz w:val="21"/>
          <w:szCs w:val="21"/>
          <w:highlight w:val="none"/>
        </w:rPr>
        <w:t>720元/次</w:t>
      </w:r>
      <w:r>
        <w:rPr>
          <w:rFonts w:hint="eastAsia" w:ascii="宋体" w:hAnsi="宋体" w:eastAsia="宋体" w:cs="宋体"/>
          <w:color w:val="000000" w:themeColor="text1"/>
          <w:sz w:val="21"/>
          <w:szCs w:val="21"/>
          <w:highlight w:val="none"/>
          <w:lang w:eastAsia="zh-CN"/>
        </w:rPr>
        <w:t>扣减服务管理费</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15、重大过错的重（反）复性有效投诉，</w:t>
      </w:r>
      <w:r>
        <w:rPr>
          <w:rFonts w:hint="eastAsia" w:ascii="宋体" w:hAnsi="宋体" w:eastAsia="宋体" w:cs="宋体"/>
          <w:color w:val="000000" w:themeColor="text1"/>
          <w:sz w:val="21"/>
          <w:szCs w:val="21"/>
          <w:highlight w:val="none"/>
          <w:lang w:val="en-US" w:eastAsia="zh-CN"/>
        </w:rPr>
        <w:t>按</w:t>
      </w:r>
      <w:r>
        <w:rPr>
          <w:rFonts w:hint="eastAsia" w:ascii="宋体" w:hAnsi="宋体" w:eastAsia="宋体" w:cs="宋体"/>
          <w:color w:val="000000" w:themeColor="text1"/>
          <w:sz w:val="21"/>
          <w:szCs w:val="21"/>
          <w:highlight w:val="none"/>
        </w:rPr>
        <w:t>1800元/次</w:t>
      </w:r>
      <w:r>
        <w:rPr>
          <w:rFonts w:hint="eastAsia" w:ascii="宋体" w:hAnsi="宋体" w:eastAsia="宋体" w:cs="宋体"/>
          <w:color w:val="000000" w:themeColor="text1"/>
          <w:sz w:val="21"/>
          <w:szCs w:val="21"/>
          <w:highlight w:val="none"/>
          <w:lang w:eastAsia="zh-CN"/>
        </w:rPr>
        <w:t>扣减服务管理费</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16、一般事故过错的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按</w:t>
      </w:r>
      <w:r>
        <w:rPr>
          <w:rFonts w:hint="eastAsia" w:ascii="宋体" w:hAnsi="宋体" w:eastAsia="宋体" w:cs="宋体"/>
          <w:color w:val="000000" w:themeColor="text1"/>
          <w:sz w:val="21"/>
          <w:szCs w:val="21"/>
          <w:highlight w:val="none"/>
        </w:rPr>
        <w:t>1.5-2.4万元/次</w:t>
      </w:r>
      <w:r>
        <w:rPr>
          <w:rFonts w:hint="eastAsia" w:ascii="宋体" w:hAnsi="宋体" w:eastAsia="宋体" w:cs="宋体"/>
          <w:color w:val="000000" w:themeColor="text1"/>
          <w:sz w:val="21"/>
          <w:szCs w:val="21"/>
          <w:highlight w:val="none"/>
          <w:lang w:eastAsia="zh-CN"/>
        </w:rPr>
        <w:t>扣减服务管理费</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17、较大事故过错的</w:t>
      </w:r>
      <w:r>
        <w:rPr>
          <w:rFonts w:hint="eastAsia" w:ascii="宋体" w:hAnsi="宋体" w:eastAsia="宋体" w:cs="宋体"/>
          <w:color w:val="000000" w:themeColor="text1"/>
          <w:sz w:val="21"/>
          <w:szCs w:val="21"/>
          <w:highlight w:val="none"/>
          <w:lang w:val="en-US" w:eastAsia="zh-CN"/>
        </w:rPr>
        <w:t>，按</w:t>
      </w:r>
      <w:r>
        <w:rPr>
          <w:rFonts w:hint="eastAsia" w:ascii="宋体" w:hAnsi="宋体" w:eastAsia="宋体" w:cs="宋体"/>
          <w:color w:val="000000" w:themeColor="text1"/>
          <w:sz w:val="21"/>
          <w:szCs w:val="21"/>
          <w:highlight w:val="none"/>
        </w:rPr>
        <w:t>3-6万元/次</w:t>
      </w:r>
      <w:r>
        <w:rPr>
          <w:rFonts w:hint="eastAsia" w:ascii="宋体" w:hAnsi="宋体" w:eastAsia="宋体" w:cs="宋体"/>
          <w:color w:val="000000" w:themeColor="text1"/>
          <w:sz w:val="21"/>
          <w:szCs w:val="21"/>
          <w:highlight w:val="none"/>
          <w:lang w:eastAsia="zh-CN"/>
        </w:rPr>
        <w:t>扣减服务管理费</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18、重大事故过错的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按</w:t>
      </w:r>
      <w:r>
        <w:rPr>
          <w:rFonts w:hint="eastAsia" w:ascii="宋体" w:hAnsi="宋体" w:eastAsia="宋体" w:cs="宋体"/>
          <w:color w:val="000000" w:themeColor="text1"/>
          <w:sz w:val="21"/>
          <w:szCs w:val="21"/>
          <w:highlight w:val="none"/>
        </w:rPr>
        <w:t>6-15万元/次</w:t>
      </w:r>
      <w:r>
        <w:rPr>
          <w:rFonts w:hint="eastAsia" w:ascii="宋体" w:hAnsi="宋体" w:eastAsia="宋体" w:cs="宋体"/>
          <w:color w:val="000000" w:themeColor="text1"/>
          <w:sz w:val="21"/>
          <w:szCs w:val="21"/>
          <w:highlight w:val="none"/>
          <w:lang w:eastAsia="zh-CN"/>
        </w:rPr>
        <w:t>扣减服务管理费</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19、违反以下条款每条每个事项扣0.1分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（1）工作或执勤时，中标人的所有服务人员必须身着制服，佩证上岗，制服不准混穿；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（2）中标人的所有服务人员的制服要保持整洁、平整，不得敞胸露怀、卷袖子、挽裤腿；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（3）上班时间须精神振作、精力集中，不得坐卧、倚靠、躺卧、打盹、吸烟、吃东西、电话聊天、看书报、下棋、玩弄手机、听看音频视频，不得聊天，大声说话，喧闹，嘻哈玩笑，随意走动、乱堆乱放；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）上班人员提前十五分钟达到各执勤工作岗位，办理接班手续、做好交班记录和物品出入登记，没人顶接不准擅自离开岗位；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）不准在岗就餐，</w:t>
      </w:r>
      <w:r>
        <w:rPr>
          <w:rFonts w:hint="eastAsia" w:ascii="宋体" w:hAnsi="宋体" w:eastAsia="宋体" w:cs="宋体"/>
          <w:color w:val="000000" w:themeColor="text1"/>
          <w:sz w:val="21"/>
          <w:szCs w:val="21"/>
          <w:highlight w:val="none"/>
          <w:lang w:eastAsia="zh-CN"/>
        </w:rPr>
        <w:t>上</w:t>
      </w:r>
      <w:r>
        <w:rPr>
          <w:rFonts w:hint="eastAsia" w:ascii="宋体" w:hAnsi="宋体" w:eastAsia="宋体" w:cs="宋体"/>
          <w:color w:val="000000" w:themeColor="text1"/>
          <w:sz w:val="21"/>
          <w:szCs w:val="21"/>
          <w:highlight w:val="none"/>
        </w:rPr>
        <w:t>班时不得会客；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）工作有礼有节，热情受理各种问题，对发现的问题要及时解决，解决不了的及时汇报并做好登记管理；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7</w:t>
      </w:r>
      <w:r>
        <w:rPr>
          <w:rFonts w:hint="eastAsia" w:ascii="宋体" w:hAnsi="宋体" w:eastAsia="宋体" w:cs="宋体"/>
          <w:color w:val="000000" w:themeColor="text1"/>
          <w:sz w:val="21"/>
          <w:szCs w:val="21"/>
          <w:highlight w:val="none"/>
        </w:rPr>
        <w:t>）工作场所保持整洁、不准随意粘贴、悬挂与堆放与工作无关的物品；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）有效投诉一次。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r>
        <w:rPr>
          <w:rFonts w:hint="eastAsia" w:ascii="宋体" w:hAnsi="宋体" w:eastAsia="宋体" w:cs="宋体"/>
          <w:color w:val="000000" w:themeColor="text1"/>
          <w:sz w:val="21"/>
          <w:szCs w:val="21"/>
          <w:highlight w:val="none"/>
          <w:lang w:val="en-US" w:eastAsia="zh-CN"/>
        </w:rPr>
        <w:t>0</w:t>
      </w:r>
      <w:r>
        <w:rPr>
          <w:rFonts w:hint="eastAsia" w:ascii="宋体" w:hAnsi="宋体" w:eastAsia="宋体" w:cs="宋体"/>
          <w:color w:val="000000" w:themeColor="text1"/>
          <w:sz w:val="21"/>
          <w:szCs w:val="21"/>
          <w:highlight w:val="none"/>
        </w:rPr>
        <w:t>、按规定准时关闭空调、电脑、照明、抽风及非须使用的电气设备，若造成浪费，每次扣减</w:t>
      </w:r>
      <w:r>
        <w:rPr>
          <w:rFonts w:hint="eastAsia" w:ascii="宋体" w:hAnsi="宋体" w:eastAsia="宋体" w:cs="宋体"/>
          <w:color w:val="000000" w:themeColor="text1"/>
          <w:sz w:val="21"/>
          <w:szCs w:val="21"/>
          <w:highlight w:val="none"/>
          <w:lang w:eastAsia="zh-CN"/>
        </w:rPr>
        <w:t>服务管理</w:t>
      </w:r>
      <w:r>
        <w:rPr>
          <w:rFonts w:hint="eastAsia" w:ascii="宋体" w:hAnsi="宋体" w:eastAsia="宋体" w:cs="宋体"/>
          <w:color w:val="000000" w:themeColor="text1"/>
          <w:sz w:val="21"/>
          <w:szCs w:val="21"/>
          <w:highlight w:val="none"/>
        </w:rPr>
        <w:t>费¥100元。</w:t>
      </w:r>
    </w:p>
    <w:bookmarkEnd w:id="198"/>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、招标文件和合同其它约定相关事项。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其它由于中标人责任发生的过错，</w:t>
      </w:r>
      <w:r>
        <w:rPr>
          <w:rFonts w:hint="eastAsia" w:ascii="宋体" w:hAnsi="宋体" w:eastAsia="宋体" w:cs="宋体"/>
          <w:color w:val="000000" w:themeColor="text1"/>
          <w:sz w:val="21"/>
          <w:szCs w:val="21"/>
          <w:highlight w:val="none"/>
          <w:lang w:eastAsia="zh-CN"/>
        </w:rPr>
        <w:t>服务</w:t>
      </w:r>
      <w:r>
        <w:rPr>
          <w:rFonts w:hint="eastAsia" w:ascii="宋体" w:hAnsi="宋体" w:eastAsia="宋体" w:cs="宋体"/>
          <w:color w:val="000000" w:themeColor="text1"/>
          <w:sz w:val="21"/>
          <w:szCs w:val="21"/>
          <w:highlight w:val="none"/>
        </w:rPr>
        <w:t>管理费</w:t>
      </w:r>
      <w:r>
        <w:rPr>
          <w:rFonts w:hint="eastAsia" w:ascii="宋体" w:hAnsi="宋体" w:eastAsia="宋体" w:cs="宋体"/>
          <w:color w:val="000000" w:themeColor="text1"/>
          <w:sz w:val="21"/>
          <w:szCs w:val="21"/>
          <w:highlight w:val="none"/>
          <w:lang w:val="en-US" w:eastAsia="zh-CN"/>
        </w:rPr>
        <w:t>扣减</w:t>
      </w:r>
      <w:r>
        <w:rPr>
          <w:rFonts w:hint="eastAsia" w:ascii="宋体" w:hAnsi="宋体" w:eastAsia="宋体" w:cs="宋体"/>
          <w:color w:val="000000" w:themeColor="text1"/>
          <w:sz w:val="21"/>
          <w:szCs w:val="21"/>
          <w:highlight w:val="none"/>
        </w:rPr>
        <w:t>标准详见附表。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附表1：</w:t>
      </w:r>
      <w:r>
        <w:rPr>
          <w:rFonts w:hint="eastAsia" w:ascii="宋体" w:hAnsi="宋体" w:eastAsia="宋体" w:cs="宋体"/>
          <w:color w:val="000000" w:themeColor="text1"/>
          <w:sz w:val="21"/>
          <w:szCs w:val="21"/>
          <w:highlight w:val="none"/>
          <w:lang w:eastAsia="zh-CN"/>
        </w:rPr>
        <w:t>劳务外包</w:t>
      </w:r>
      <w:r>
        <w:rPr>
          <w:rFonts w:hint="eastAsia" w:ascii="宋体" w:hAnsi="宋体" w:eastAsia="宋体" w:cs="宋体"/>
          <w:color w:val="000000" w:themeColor="text1"/>
          <w:sz w:val="21"/>
          <w:szCs w:val="21"/>
          <w:highlight w:val="none"/>
        </w:rPr>
        <w:t>服务绩效考核评分表</w:t>
      </w:r>
      <w:r>
        <w:rPr>
          <w:rFonts w:hint="eastAsia" w:ascii="宋体" w:hAnsi="宋体" w:eastAsia="宋体" w:cs="宋体"/>
          <w:color w:val="000000" w:themeColor="text1"/>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附表2：</w:t>
      </w:r>
      <w:r>
        <w:rPr>
          <w:rFonts w:hint="eastAsia" w:ascii="宋体" w:hAnsi="宋体" w:eastAsia="宋体" w:cs="宋体"/>
          <w:color w:val="000000" w:themeColor="text1"/>
          <w:sz w:val="21"/>
          <w:szCs w:val="21"/>
          <w:highlight w:val="none"/>
          <w:lang w:eastAsia="zh-CN"/>
        </w:rPr>
        <w:t>劳务外包服务</w:t>
      </w:r>
      <w:r>
        <w:rPr>
          <w:rFonts w:hint="eastAsia" w:ascii="宋体" w:hAnsi="宋体" w:eastAsia="宋体" w:cs="宋体"/>
          <w:color w:val="000000" w:themeColor="text1"/>
          <w:sz w:val="21"/>
          <w:szCs w:val="21"/>
          <w:highlight w:val="none"/>
        </w:rPr>
        <w:t>综合考评统计表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附表3：</w:t>
      </w:r>
      <w:r>
        <w:rPr>
          <w:rFonts w:hint="eastAsia" w:ascii="宋体" w:hAnsi="宋体" w:eastAsia="宋体" w:cs="宋体"/>
          <w:color w:val="000000" w:themeColor="text1"/>
          <w:sz w:val="21"/>
          <w:szCs w:val="21"/>
          <w:highlight w:val="none"/>
          <w:lang w:eastAsia="zh-CN"/>
        </w:rPr>
        <w:t>劳务外包服务</w:t>
      </w:r>
      <w:r>
        <w:rPr>
          <w:rFonts w:hint="eastAsia" w:ascii="宋体" w:hAnsi="宋体" w:eastAsia="宋体" w:cs="宋体"/>
          <w:color w:val="000000" w:themeColor="text1"/>
          <w:sz w:val="21"/>
          <w:szCs w:val="21"/>
          <w:highlight w:val="none"/>
          <w:lang w:val="en-US" w:eastAsia="zh-CN"/>
        </w:rPr>
        <w:t>处理</w:t>
      </w:r>
      <w:r>
        <w:rPr>
          <w:rFonts w:hint="eastAsia" w:ascii="宋体" w:hAnsi="宋体" w:eastAsia="宋体" w:cs="宋体"/>
          <w:color w:val="000000" w:themeColor="text1"/>
          <w:sz w:val="21"/>
          <w:szCs w:val="21"/>
          <w:highlight w:val="none"/>
        </w:rPr>
        <w:t>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bookmarkStart w:id="199" w:name="_Toc16017"/>
      <w:bookmarkStart w:id="200" w:name="_Toc32150"/>
      <w:bookmarkStart w:id="201" w:name="_Toc28094"/>
      <w:bookmarkStart w:id="202" w:name="_Toc21732"/>
      <w:r>
        <w:rPr>
          <w:rFonts w:hint="eastAsia" w:ascii="宋体" w:hAnsi="宋体" w:eastAsia="宋体" w:cs="宋体"/>
          <w:b/>
          <w:bCs/>
          <w:color w:val="000000" w:themeColor="text1"/>
          <w:sz w:val="21"/>
          <w:szCs w:val="21"/>
          <w:highlight w:val="none"/>
        </w:rPr>
        <w:t>六、项目技术支持服务要求</w:t>
      </w:r>
      <w:bookmarkEnd w:id="199"/>
      <w:bookmarkEnd w:id="200"/>
      <w:bookmarkEnd w:id="201"/>
      <w:bookmarkEnd w:id="20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（一）劳务外包服务人员基本要求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（1）身体健康，无重大疾病，无不良嗜好。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（2）遵纪守法，无违纪违法不良行为。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（3）爱岗敬业，吃苦耐劳、勤学好问，能胜任所在职位工作。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（4）严格遵守职业道德，严格遵守</w:t>
      </w:r>
      <w:r>
        <w:rPr>
          <w:rFonts w:hint="eastAsia" w:ascii="宋体" w:hAnsi="宋体" w:eastAsia="宋体" w:cs="宋体"/>
          <w:color w:val="000000" w:themeColor="text1"/>
          <w:sz w:val="21"/>
          <w:szCs w:val="21"/>
          <w:highlight w:val="none"/>
          <w:lang w:eastAsia="zh-CN"/>
        </w:rPr>
        <w:t>国家税务总局阳西县税务局</w:t>
      </w:r>
      <w:r>
        <w:rPr>
          <w:rFonts w:hint="eastAsia" w:ascii="宋体" w:hAnsi="宋体" w:eastAsia="宋体" w:cs="宋体"/>
          <w:color w:val="000000" w:themeColor="text1"/>
          <w:sz w:val="21"/>
          <w:szCs w:val="21"/>
          <w:highlight w:val="none"/>
        </w:rPr>
        <w:t>各项规章制度。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（5）礼貌待人，举止文明，衣着得体。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(二)待遇及福利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★中标人须按国家规定给予所有劳务外包服务人员缴纳</w:t>
      </w:r>
      <w:r>
        <w:rPr>
          <w:rFonts w:hint="eastAsia"/>
          <w:color w:val="000000" w:themeColor="text1"/>
          <w:highlight w:val="none"/>
          <w:lang w:eastAsia="zh-CN"/>
        </w:rPr>
        <w:t>各项社会保险费</w:t>
      </w:r>
      <w:r>
        <w:rPr>
          <w:rFonts w:hint="eastAsia" w:ascii="宋体" w:hAnsi="宋体" w:eastAsia="宋体" w:cs="宋体"/>
          <w:color w:val="000000" w:themeColor="text1"/>
          <w:sz w:val="21"/>
          <w:szCs w:val="21"/>
          <w:highlight w:val="none"/>
        </w:rPr>
        <w:t>（养老保险、医疗保险、失业保险、工伤保险、生育保险</w:t>
      </w:r>
      <w:r>
        <w:rPr>
          <w:rFonts w:hint="eastAsia"/>
          <w:color w:val="000000" w:themeColor="text1"/>
          <w:highlight w:val="none"/>
          <w:lang w:eastAsia="zh-CN"/>
        </w:rPr>
        <w:t>、</w:t>
      </w:r>
      <w:r>
        <w:rPr>
          <w:rFonts w:hint="eastAsia"/>
          <w:color w:val="000000" w:themeColor="text1"/>
          <w:highlight w:val="none"/>
          <w:lang w:val="en-US" w:eastAsia="zh-CN"/>
        </w:rPr>
        <w:t>高额医疗保险</w:t>
      </w:r>
      <w:r>
        <w:rPr>
          <w:rFonts w:hint="eastAsia" w:ascii="宋体" w:hAnsi="宋体" w:eastAsia="宋体" w:cs="宋体"/>
          <w:color w:val="000000" w:themeColor="text1"/>
          <w:sz w:val="21"/>
          <w:szCs w:val="21"/>
          <w:highlight w:val="none"/>
        </w:rPr>
        <w:t>），同时缴纳大额医疗保险；按照阳江市社会保险缴费基数的下限缴纳社会保险；按阳江市有关规定给予缴纳住房公积金。员工的劳动合同关系、薪酬待遇等经济责任、法律责任及相关费用均由中标人负责，采购人不承担相关责任。（须提供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（三）通过本次公开招标，确定一家供应商为</w:t>
      </w:r>
      <w:r>
        <w:rPr>
          <w:rFonts w:hint="eastAsia" w:ascii="宋体" w:hAnsi="宋体" w:eastAsia="宋体" w:cs="宋体"/>
          <w:color w:val="000000" w:themeColor="text1"/>
          <w:sz w:val="21"/>
          <w:szCs w:val="21"/>
          <w:highlight w:val="none"/>
          <w:lang w:eastAsia="zh-CN"/>
        </w:rPr>
        <w:t>国家税务总局阳西县税务局</w:t>
      </w:r>
      <w:r>
        <w:rPr>
          <w:rFonts w:hint="eastAsia" w:ascii="宋体" w:hAnsi="宋体" w:eastAsia="宋体" w:cs="宋体"/>
          <w:color w:val="000000" w:themeColor="text1"/>
          <w:sz w:val="21"/>
          <w:szCs w:val="21"/>
          <w:highlight w:val="none"/>
        </w:rPr>
        <w:t>提供劳务外包服务。劳务外包所需人员数量，采购人有权按实际要求调整。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（四）中标人应协助采购人完成现有综合辅助服务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后勤保障服务人员、网络和信息支持服务人员、</w:t>
      </w:r>
      <w:r>
        <w:rPr>
          <w:rFonts w:hint="eastAsia" w:ascii="宋体" w:hAnsi="宋体" w:eastAsia="宋体" w:cs="宋体"/>
          <w:color w:val="000000" w:themeColor="text1"/>
          <w:sz w:val="21"/>
          <w:szCs w:val="21"/>
          <w:highlight w:val="none"/>
        </w:rPr>
        <w:t>公务用车驾驶服务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、食堂劳务服务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的安置。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（五）中标人按照采购人实际情况及要求安排开展工作。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六</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国家税务总局阳西县税务局</w:t>
      </w:r>
      <w:r>
        <w:rPr>
          <w:rFonts w:hint="eastAsia" w:ascii="宋体" w:hAnsi="宋体" w:eastAsia="宋体" w:cs="宋体"/>
          <w:color w:val="000000" w:themeColor="text1"/>
          <w:sz w:val="21"/>
          <w:szCs w:val="21"/>
          <w:highlight w:val="none"/>
        </w:rPr>
        <w:t>是政府重要的办公及会议场所，对安全性、保密性、规范性要求严格，必须按采购人规定的要求执行。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（七）</w:t>
      </w:r>
      <w:r>
        <w:rPr>
          <w:rFonts w:hint="eastAsia" w:ascii="宋体" w:hAnsi="宋体" w:eastAsia="宋体" w:cs="宋体"/>
          <w:color w:val="000000" w:themeColor="text1"/>
          <w:sz w:val="21"/>
          <w:szCs w:val="21"/>
          <w:highlight w:val="none"/>
        </w:rPr>
        <w:t>合同签订后1个月内，中标人须向采购人提供本项目所有人员的人事档案资料，包括身份证复印件、体检证明、专业人员证书等。中标人不得伪造人事档案欺骗采购人，如有此种情况发生，采购人有权要求中标人在规定的时间内更换人员，且采购人有权立即解除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八</w:t>
      </w:r>
      <w:r>
        <w:rPr>
          <w:rFonts w:hint="eastAsia" w:ascii="宋体" w:hAnsi="宋体" w:eastAsia="宋体" w:cs="宋体"/>
          <w:color w:val="000000" w:themeColor="text1"/>
          <w:sz w:val="21"/>
          <w:szCs w:val="21"/>
          <w:highlight w:val="none"/>
        </w:rPr>
        <w:t>）中标人必须按</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要求100%配备人员。在合同执行期内如在岗人员少于采购人要求总人数时，中标人须限期补齐，如特殊情况下，短期内出现招工困难（5天内），不得不延长在职人员工时，必须严格按国家劳动法规支付加班费，否则采购人有权按缺员数量和天数进行扣减</w:t>
      </w:r>
      <w:r>
        <w:rPr>
          <w:rFonts w:hint="eastAsia" w:ascii="宋体" w:hAnsi="宋体" w:eastAsia="宋体" w:cs="宋体"/>
          <w:color w:val="000000" w:themeColor="text1"/>
          <w:sz w:val="21"/>
          <w:szCs w:val="21"/>
          <w:highlight w:val="none"/>
          <w:lang w:val="en-US" w:eastAsia="zh-CN"/>
        </w:rPr>
        <w:t>中标人的管理费和相应人员的工资、加班费等相关款项</w:t>
      </w:r>
      <w:r>
        <w:rPr>
          <w:rFonts w:hint="eastAsia" w:ascii="宋体" w:hAnsi="宋体" w:eastAsia="宋体" w:cs="宋体"/>
          <w:color w:val="000000" w:themeColor="text1"/>
          <w:sz w:val="21"/>
          <w:szCs w:val="21"/>
          <w:highlight w:val="none"/>
        </w:rPr>
        <w:t>。（须提供承诺书）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（九）</w:t>
      </w:r>
      <w:r>
        <w:rPr>
          <w:rFonts w:hint="eastAsia" w:ascii="宋体" w:hAnsi="宋体" w:eastAsia="宋体" w:cs="宋体"/>
          <w:color w:val="000000" w:themeColor="text1"/>
          <w:sz w:val="21"/>
          <w:szCs w:val="21"/>
          <w:highlight w:val="none"/>
        </w:rPr>
        <w:t>中标人服务期间应落实安全生产措施，如中标人人员在服务过程中造成自身、采购人或第三人的人身和财产损害的，由中标人承担约定和法定责任。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（十）</w:t>
      </w:r>
      <w:r>
        <w:rPr>
          <w:rFonts w:hint="eastAsia" w:ascii="宋体" w:hAnsi="宋体" w:eastAsia="宋体" w:cs="宋体"/>
          <w:color w:val="000000" w:themeColor="text1"/>
          <w:sz w:val="21"/>
          <w:szCs w:val="21"/>
          <w:highlight w:val="none"/>
        </w:rPr>
        <w:t>中标人违反招标文件、中标文件、合同等约定的，采购人有权立即聘请第三方提供合同项下的服务，由此产生的一切费用由中标人承担，同时采购人可从中标人应取得的合同款中予以扣减。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十一</w:t>
      </w:r>
      <w:r>
        <w:rPr>
          <w:rFonts w:hint="eastAsia" w:ascii="宋体" w:hAnsi="宋体" w:eastAsia="宋体" w:cs="宋体"/>
          <w:color w:val="000000" w:themeColor="text1"/>
          <w:sz w:val="21"/>
          <w:szCs w:val="21"/>
          <w:highlight w:val="none"/>
        </w:rPr>
        <w:t>）服务期限：本项目的服务期限为</w:t>
      </w: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年。如中标人达不到采购人服务要求或未能如约履行合同，采购人有权终止合同，重新进行政府采购。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bookmarkStart w:id="203" w:name="_Toc16259"/>
      <w:bookmarkStart w:id="204" w:name="_Toc12975"/>
      <w:bookmarkStart w:id="205" w:name="_Toc2633"/>
      <w:bookmarkStart w:id="206" w:name="_Toc20535"/>
      <w:r>
        <w:rPr>
          <w:rFonts w:hint="eastAsia" w:ascii="宋体" w:hAnsi="宋体" w:eastAsia="宋体" w:cs="宋体"/>
          <w:b/>
          <w:bCs/>
          <w:color w:val="000000" w:themeColor="text1"/>
          <w:sz w:val="21"/>
          <w:szCs w:val="21"/>
          <w:highlight w:val="none"/>
        </w:rPr>
        <w:t>七、项目其他要求</w:t>
      </w:r>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207" w:name="_Toc19003"/>
      <w:bookmarkStart w:id="208" w:name="_Toc18793"/>
      <w:bookmarkStart w:id="209" w:name="_Toc23644"/>
      <w:bookmarkStart w:id="210" w:name="_Toc19084"/>
      <w:bookmarkStart w:id="211" w:name="_Hlk99012569"/>
      <w:r>
        <w:rPr>
          <w:rFonts w:hint="eastAsia" w:ascii="宋体" w:hAnsi="宋体" w:eastAsia="宋体" w:cs="宋体"/>
          <w:color w:val="000000" w:themeColor="text1"/>
          <w:sz w:val="21"/>
          <w:szCs w:val="21"/>
          <w:highlight w:val="none"/>
        </w:rPr>
        <w:t>（一）合同签订</w:t>
      </w:r>
      <w:bookmarkEnd w:id="207"/>
      <w:bookmarkEnd w:id="208"/>
      <w:bookmarkEnd w:id="209"/>
      <w:bookmarkEnd w:id="21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中标人根据招标文件及投标文件内容，依据相关法律法规在规定时间内与采购人签订劳务外包服务合同。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212" w:name="_Toc7130"/>
      <w:bookmarkStart w:id="213" w:name="_Toc10174"/>
      <w:bookmarkStart w:id="214" w:name="_Toc6985"/>
      <w:bookmarkStart w:id="215" w:name="_Toc30050"/>
      <w:r>
        <w:rPr>
          <w:rFonts w:hint="eastAsia" w:ascii="宋体" w:hAnsi="宋体" w:eastAsia="宋体" w:cs="宋体"/>
          <w:color w:val="000000" w:themeColor="text1"/>
          <w:sz w:val="21"/>
          <w:szCs w:val="21"/>
          <w:highlight w:val="none"/>
        </w:rPr>
        <w:t>（二）结算方式及付款方式</w:t>
      </w:r>
      <w:bookmarkEnd w:id="212"/>
      <w:bookmarkEnd w:id="213"/>
      <w:bookmarkEnd w:id="214"/>
      <w:bookmarkEnd w:id="215"/>
    </w:p>
    <w:bookmarkEnd w:id="211"/>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216" w:name="_Toc18141"/>
      <w:bookmarkStart w:id="217" w:name="_Toc19629"/>
      <w:bookmarkStart w:id="218" w:name="_Toc13939"/>
      <w:bookmarkStart w:id="219" w:name="_Toc21832"/>
      <w:bookmarkStart w:id="220" w:name="_Toc425161115"/>
      <w:bookmarkStart w:id="221" w:name="_Toc286599339"/>
      <w:r>
        <w:rPr>
          <w:rFonts w:hint="eastAsia" w:ascii="宋体" w:hAnsi="宋体" w:eastAsia="宋体" w:cs="宋体"/>
          <w:color w:val="000000" w:themeColor="text1"/>
          <w:sz w:val="21"/>
          <w:szCs w:val="21"/>
          <w:highlight w:val="none"/>
        </w:rPr>
        <w:t>1、结算方式</w:t>
      </w:r>
      <w:bookmarkEnd w:id="216"/>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本项目据实结算，</w:t>
      </w:r>
      <w:r>
        <w:rPr>
          <w:rFonts w:hint="eastAsia" w:ascii="宋体" w:hAnsi="宋体" w:eastAsia="宋体" w:cs="宋体"/>
          <w:color w:val="000000" w:themeColor="text1"/>
          <w:sz w:val="21"/>
          <w:szCs w:val="21"/>
          <w:highlight w:val="none"/>
        </w:rPr>
        <w:t>劳务外包服务费按照“当月支付上月”的方式进行结算，当月实际支付劳务外包服务费</w:t>
      </w:r>
      <w:r>
        <w:rPr>
          <w:rFonts w:hint="eastAsia" w:ascii="宋体" w:hAnsi="宋体" w:eastAsia="宋体" w:cs="宋体"/>
          <w:color w:val="000000" w:themeColor="text1"/>
          <w:sz w:val="21"/>
          <w:szCs w:val="21"/>
          <w:highlight w:val="none"/>
          <w:lang w:val="en-US" w:eastAsia="zh-CN"/>
        </w:rPr>
        <w:t>=服务人员的薪酬+（服务人员的薪酬*10%）*中标折扣率</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222" w:name="_Toc1951"/>
      <w:bookmarkStart w:id="223" w:name="_Toc1290"/>
      <w:bookmarkStart w:id="224" w:name="_Toc13204"/>
      <w:bookmarkStart w:id="225" w:name="_Toc28560"/>
      <w:r>
        <w:rPr>
          <w:rFonts w:hint="eastAsia" w:ascii="宋体" w:hAnsi="宋体" w:eastAsia="宋体" w:cs="宋体"/>
          <w:color w:val="000000" w:themeColor="text1"/>
          <w:sz w:val="21"/>
          <w:szCs w:val="21"/>
          <w:highlight w:val="none"/>
        </w:rPr>
        <w:t>2、付款方式</w:t>
      </w:r>
      <w:bookmarkEnd w:id="222"/>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每次按合同支付款项前，中标人先应向采购人开具提供与支付金额相符的有效发票作为采购人付款的前提，且收款方、出具发票方、合同乙方均必须与中标人名称一致。采购人收到发票等相关资料并审核无误后在</w:t>
      </w: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0个工作日内办理支付手续。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（2）如遇财政拨款未到位情况，上述付款期限顺延，中标人不得追究采购人的相关法律责任。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226" w:name="_Toc2334"/>
      <w:bookmarkStart w:id="227" w:name="_Toc31752"/>
      <w:bookmarkStart w:id="228" w:name="_Toc19503"/>
      <w:bookmarkStart w:id="229" w:name="_Toc16820"/>
      <w:r>
        <w:rPr>
          <w:rFonts w:hint="eastAsia" w:ascii="宋体" w:hAnsi="宋体" w:eastAsia="宋体" w:cs="宋体"/>
          <w:color w:val="000000" w:themeColor="text1"/>
          <w:sz w:val="21"/>
          <w:szCs w:val="21"/>
          <w:highlight w:val="none"/>
        </w:rPr>
        <w:t>（三）履约保证金</w:t>
      </w:r>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1、中标人须在中标结果公告期满后20个自然日内按合同签订年度中标金额的5%向采购人提交</w:t>
      </w:r>
      <w:r>
        <w:rPr>
          <w:rFonts w:hint="eastAsia" w:ascii="宋体" w:hAnsi="宋体" w:eastAsia="宋体" w:cs="宋体"/>
          <w:color w:val="000000" w:themeColor="text1"/>
          <w:sz w:val="21"/>
          <w:szCs w:val="21"/>
          <w:highlight w:val="none"/>
          <w:lang w:val="en-US" w:eastAsia="zh-CN"/>
        </w:rPr>
        <w:t>由合法金融机构出具的</w:t>
      </w:r>
      <w:r>
        <w:rPr>
          <w:rFonts w:hint="eastAsia" w:ascii="宋体" w:hAnsi="宋体" w:eastAsia="宋体" w:cs="宋体"/>
          <w:color w:val="000000" w:themeColor="text1"/>
          <w:sz w:val="21"/>
          <w:szCs w:val="21"/>
          <w:highlight w:val="none"/>
        </w:rPr>
        <w:t>连带保证责任的履约保函</w:t>
      </w:r>
      <w:r>
        <w:rPr>
          <w:rFonts w:hint="eastAsia" w:ascii="宋体" w:hAnsi="宋体" w:eastAsia="宋体" w:cs="宋体"/>
          <w:color w:val="000000" w:themeColor="text1"/>
          <w:sz w:val="21"/>
          <w:szCs w:val="21"/>
          <w:highlight w:val="none"/>
          <w:lang w:val="en-US" w:eastAsia="zh-CN"/>
        </w:rPr>
        <w:t>(保证期限应不少于本合同履行期限加上6个月的总和）</w:t>
      </w:r>
      <w:r>
        <w:rPr>
          <w:rFonts w:hint="eastAsia" w:ascii="宋体" w:hAnsi="宋体" w:eastAsia="宋体" w:cs="宋体"/>
          <w:color w:val="000000" w:themeColor="text1"/>
          <w:sz w:val="21"/>
          <w:szCs w:val="21"/>
          <w:highlight w:val="none"/>
        </w:rPr>
        <w:t>，担保范围为采购人向中标人索偿的一切违约金和赔偿金。如中标人无法按前述规定提供履约保函的，可向采购人提供年度合同总金额的5%的履约保证金作为替代。合同期限届满前，保函金额或保证金被采购人扣减的，中标人应在收到通知后10天内补足，否则，采购人有权视为中标人未按规定提供履约保函或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按承诺完全履行合同的约定，</w:t>
      </w:r>
      <w:r>
        <w:rPr>
          <w:rFonts w:hint="eastAsia" w:ascii="宋体" w:hAnsi="宋体" w:eastAsia="宋体" w:cs="宋体"/>
          <w:color w:val="000000" w:themeColor="text1"/>
          <w:sz w:val="21"/>
          <w:szCs w:val="21"/>
          <w:highlight w:val="none"/>
          <w:lang w:eastAsia="zh-CN"/>
        </w:rPr>
        <w:t>劳务服务</w:t>
      </w:r>
      <w:r>
        <w:rPr>
          <w:rFonts w:hint="eastAsia" w:ascii="宋体" w:hAnsi="宋体" w:eastAsia="宋体" w:cs="宋体"/>
          <w:color w:val="000000" w:themeColor="text1"/>
          <w:sz w:val="21"/>
          <w:szCs w:val="21"/>
          <w:highlight w:val="none"/>
        </w:rPr>
        <w:t>合同期满3个月，且顺利完成工作交接后的30个工作日内返还履约保证金或终止履约保函有效期。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、中标人未按规定提供履约保函或履约保证金的，采购人有权单方解除合同，并有权要求中标人支付合同总金额10%的违约金。</w:t>
      </w:r>
      <w:bookmarkEnd w:id="220"/>
      <w:bookmarkEnd w:id="22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中标人派驻人员应严格按照规定认真履行职责，对中标人派驻的工作人员违反服务规定，造成的损失由中标人负责，损失金额超过人民币5万元或者造成不良社会影响的，采购人有权没收履约保证金或按履约保函担保额度索赔保证金并视情况终止合同。</w:t>
      </w:r>
    </w:p>
    <w:p>
      <w:pPr>
        <w:pStyle w:val="2"/>
        <w:rPr>
          <w:rFonts w:hint="eastAsia" w:ascii="宋体" w:hAnsi="宋体" w:eastAsia="宋体" w:cs="Times New Roman"/>
          <w:color w:val="000000" w:themeColor="text1"/>
          <w:sz w:val="21"/>
          <w:szCs w:val="21"/>
          <w:highlight w:val="none"/>
        </w:rPr>
      </w:pPr>
    </w:p>
    <w:p>
      <w:pPr>
        <w:pStyle w:val="2"/>
        <w:rPr>
          <w:rFonts w:hint="eastAsia" w:ascii="宋体" w:hAnsi="宋体" w:eastAsia="宋体" w:cs="仿宋_GB2312"/>
          <w:color w:val="000000" w:themeColor="text1"/>
          <w:sz w:val="21"/>
          <w:szCs w:val="21"/>
          <w:highlight w:val="none"/>
        </w:rPr>
      </w:pPr>
      <w:r>
        <w:rPr>
          <w:rFonts w:hint="eastAsia" w:ascii="宋体" w:hAnsi="宋体" w:eastAsia="宋体" w:cs="仿宋_GB2312"/>
          <w:color w:val="000000" w:themeColor="text1"/>
          <w:sz w:val="21"/>
          <w:szCs w:val="21"/>
          <w:highlight w:val="none"/>
        </w:rPr>
        <w:t>附</w:t>
      </w:r>
      <w:r>
        <w:rPr>
          <w:rFonts w:hint="eastAsia" w:ascii="宋体" w:hAnsi="宋体" w:eastAsia="宋体" w:cs="仿宋_GB2312"/>
          <w:color w:val="000000" w:themeColor="text1"/>
          <w:sz w:val="21"/>
          <w:szCs w:val="21"/>
          <w:highlight w:val="none"/>
          <w:lang w:eastAsia="zh-CN"/>
        </w:rPr>
        <w:t>表</w:t>
      </w:r>
      <w:r>
        <w:rPr>
          <w:rFonts w:hint="eastAsia" w:ascii="宋体" w:hAnsi="宋体" w:eastAsia="宋体" w:cs="仿宋_GB2312"/>
          <w:color w:val="000000" w:themeColor="text1"/>
          <w:sz w:val="21"/>
          <w:szCs w:val="21"/>
          <w:highlight w:val="none"/>
          <w:lang w:val="en-US" w:eastAsia="zh-CN"/>
        </w:rPr>
        <w:t>1</w:t>
      </w:r>
      <w:r>
        <w:rPr>
          <w:rFonts w:hint="eastAsia" w:ascii="宋体" w:hAnsi="宋体" w:eastAsia="宋体" w:cs="仿宋_GB2312"/>
          <w:color w:val="000000" w:themeColor="text1"/>
          <w:sz w:val="21"/>
          <w:szCs w:val="21"/>
          <w:highlight w:val="none"/>
        </w:rPr>
        <w:t>：</w:t>
      </w:r>
    </w:p>
    <w:p>
      <w:pPr>
        <w:pStyle w:val="2"/>
        <w:jc w:val="center"/>
        <w:rPr>
          <w:rFonts w:hint="default" w:ascii="宋体" w:hAnsi="宋体" w:eastAsia="宋体" w:cs="Times New Roman"/>
          <w:color w:val="000000" w:themeColor="text1"/>
          <w:sz w:val="21"/>
          <w:szCs w:val="21"/>
          <w:highlight w:val="none"/>
          <w:lang w:val="en-US" w:eastAsia="zh-CN"/>
        </w:rPr>
      </w:pPr>
      <w:r>
        <w:rPr>
          <w:rFonts w:hint="eastAsia" w:ascii="宋体" w:hAnsi="宋体" w:eastAsia="宋体" w:cs="Times New Roman"/>
          <w:color w:val="000000" w:themeColor="text1"/>
          <w:sz w:val="21"/>
          <w:szCs w:val="21"/>
          <w:highlight w:val="none"/>
          <w:lang w:eastAsia="zh-CN"/>
        </w:rPr>
        <w:t>劳务外包</w:t>
      </w:r>
      <w:r>
        <w:rPr>
          <w:rFonts w:hint="eastAsia" w:ascii="宋体" w:hAnsi="宋体" w:eastAsia="宋体" w:cs="Times New Roman"/>
          <w:color w:val="000000" w:themeColor="text1"/>
          <w:sz w:val="21"/>
          <w:szCs w:val="21"/>
          <w:highlight w:val="none"/>
        </w:rPr>
        <w:t>服务绩效考核评分表</w:t>
      </w:r>
      <w:r>
        <w:rPr>
          <w:rFonts w:hint="eastAsia" w:ascii="宋体" w:hAnsi="宋体" w:eastAsia="宋体" w:cs="Times New Roman"/>
          <w:color w:val="000000" w:themeColor="text1"/>
          <w:sz w:val="21"/>
          <w:szCs w:val="21"/>
          <w:highlight w:val="none"/>
          <w:lang w:val="en-US" w:eastAsia="zh-CN"/>
        </w:rPr>
        <w:t xml:space="preserve">     </w:t>
      </w:r>
    </w:p>
    <w:tbl>
      <w:tblPr>
        <w:tblStyle w:val="46"/>
        <w:tblW w:w="83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676"/>
        <w:gridCol w:w="1606"/>
        <w:gridCol w:w="1765"/>
        <w:gridCol w:w="1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725" w:type="dxa"/>
            <w:noWrap w:val="0"/>
            <w:vAlign w:val="top"/>
          </w:tcPr>
          <w:p>
            <w:pPr>
              <w:spacing w:before="36" w:line="276" w:lineRule="auto"/>
              <w:ind w:firstLine="664"/>
              <w:rPr>
                <w:rFonts w:ascii="宋体" w:hAnsi="宋体" w:cs="宋体"/>
                <w:color w:val="000000" w:themeColor="text1"/>
                <w:szCs w:val="21"/>
                <w:highlight w:val="none"/>
              </w:rPr>
            </w:pPr>
            <w:r>
              <w:rPr>
                <w:rFonts w:ascii="宋体" w:hAnsi="宋体" w:cs="宋体"/>
                <w:color w:val="000000" w:themeColor="text1"/>
                <w:spacing w:val="-3"/>
                <w:szCs w:val="21"/>
                <w:highlight w:val="none"/>
              </w:rPr>
              <w:t>项目</w:t>
            </w:r>
          </w:p>
        </w:tc>
        <w:tc>
          <w:tcPr>
            <w:tcW w:w="1676" w:type="dxa"/>
            <w:noWrap w:val="0"/>
            <w:vAlign w:val="top"/>
          </w:tcPr>
          <w:p>
            <w:pPr>
              <w:spacing w:before="36" w:line="276" w:lineRule="auto"/>
              <w:ind w:firstLine="318"/>
              <w:rPr>
                <w:rFonts w:ascii="宋体" w:hAnsi="宋体" w:cs="宋体"/>
                <w:color w:val="000000" w:themeColor="text1"/>
                <w:szCs w:val="21"/>
                <w:highlight w:val="none"/>
              </w:rPr>
            </w:pPr>
            <w:r>
              <w:rPr>
                <w:rFonts w:ascii="宋体" w:hAnsi="宋体" w:cs="宋体"/>
                <w:color w:val="000000" w:themeColor="text1"/>
                <w:spacing w:val="-5"/>
                <w:szCs w:val="21"/>
                <w:highlight w:val="none"/>
              </w:rPr>
              <w:t>很满意5分</w:t>
            </w:r>
          </w:p>
        </w:tc>
        <w:tc>
          <w:tcPr>
            <w:tcW w:w="1606" w:type="dxa"/>
            <w:noWrap w:val="0"/>
            <w:vAlign w:val="top"/>
          </w:tcPr>
          <w:p>
            <w:pPr>
              <w:spacing w:before="36" w:line="276" w:lineRule="auto"/>
              <w:ind w:firstLine="389"/>
              <w:rPr>
                <w:rFonts w:ascii="宋体" w:hAnsi="宋体" w:cs="宋体"/>
                <w:color w:val="000000" w:themeColor="text1"/>
                <w:szCs w:val="21"/>
                <w:highlight w:val="none"/>
              </w:rPr>
            </w:pPr>
            <w:r>
              <w:rPr>
                <w:rFonts w:ascii="宋体" w:hAnsi="宋体" w:cs="宋体"/>
                <w:color w:val="000000" w:themeColor="text1"/>
                <w:spacing w:val="-4"/>
                <w:szCs w:val="21"/>
                <w:highlight w:val="none"/>
              </w:rPr>
              <w:t>满意4分</w:t>
            </w:r>
          </w:p>
        </w:tc>
        <w:tc>
          <w:tcPr>
            <w:tcW w:w="1765" w:type="dxa"/>
            <w:noWrap w:val="0"/>
            <w:vAlign w:val="top"/>
          </w:tcPr>
          <w:p>
            <w:pPr>
              <w:spacing w:before="36" w:line="276" w:lineRule="auto"/>
              <w:ind w:firstLine="258"/>
              <w:rPr>
                <w:rFonts w:ascii="宋体" w:hAnsi="宋体" w:cs="宋体"/>
                <w:color w:val="000000" w:themeColor="text1"/>
                <w:szCs w:val="21"/>
                <w:highlight w:val="none"/>
              </w:rPr>
            </w:pPr>
            <w:r>
              <w:rPr>
                <w:rFonts w:ascii="宋体" w:hAnsi="宋体" w:cs="宋体"/>
                <w:color w:val="000000" w:themeColor="text1"/>
                <w:spacing w:val="-3"/>
                <w:szCs w:val="21"/>
                <w:highlight w:val="none"/>
              </w:rPr>
              <w:t>基本满意3分</w:t>
            </w:r>
          </w:p>
        </w:tc>
        <w:tc>
          <w:tcPr>
            <w:tcW w:w="1592" w:type="dxa"/>
            <w:noWrap w:val="0"/>
            <w:vAlign w:val="top"/>
          </w:tcPr>
          <w:p>
            <w:pPr>
              <w:spacing w:before="36" w:line="276" w:lineRule="auto"/>
              <w:ind w:firstLine="279"/>
              <w:rPr>
                <w:rFonts w:ascii="宋体" w:hAnsi="宋体" w:cs="宋体"/>
                <w:color w:val="000000" w:themeColor="text1"/>
                <w:szCs w:val="21"/>
                <w:highlight w:val="none"/>
              </w:rPr>
            </w:pPr>
            <w:r>
              <w:rPr>
                <w:rFonts w:ascii="宋体" w:hAnsi="宋体" w:cs="宋体"/>
                <w:color w:val="000000" w:themeColor="text1"/>
                <w:spacing w:val="-4"/>
                <w:szCs w:val="21"/>
                <w:highlight w:val="none"/>
              </w:rPr>
              <w:t>不满意0分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725" w:type="dxa"/>
            <w:noWrap w:val="0"/>
            <w:vAlign w:val="top"/>
          </w:tcPr>
          <w:p>
            <w:pPr>
              <w:spacing w:before="32" w:line="276" w:lineRule="auto"/>
              <w:jc w:val="center"/>
              <w:rPr>
                <w:rFonts w:ascii="宋体" w:hAnsi="宋体" w:cs="宋体"/>
                <w:color w:val="000000" w:themeColor="text1"/>
                <w:szCs w:val="21"/>
                <w:highlight w:val="none"/>
              </w:rPr>
            </w:pPr>
            <w:r>
              <w:rPr>
                <w:rFonts w:ascii="宋体" w:hAnsi="宋体" w:cs="宋体"/>
                <w:color w:val="000000" w:themeColor="text1"/>
                <w:spacing w:val="-2"/>
                <w:szCs w:val="21"/>
                <w:highlight w:val="none"/>
              </w:rPr>
              <w:t>制度流程</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服务标准</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29" w:line="276" w:lineRule="auto"/>
              <w:ind w:firstLine="434"/>
              <w:rPr>
                <w:rFonts w:ascii="宋体" w:hAnsi="宋体" w:cs="宋体"/>
                <w:color w:val="000000" w:themeColor="text1"/>
                <w:szCs w:val="21"/>
                <w:highlight w:val="none"/>
              </w:rPr>
            </w:pPr>
            <w:r>
              <w:rPr>
                <w:rFonts w:ascii="宋体" w:hAnsi="宋体" w:cs="宋体"/>
                <w:color w:val="000000" w:themeColor="text1"/>
                <w:spacing w:val="-1"/>
                <w:szCs w:val="21"/>
                <w:highlight w:val="none"/>
              </w:rPr>
              <w:t>机构设置</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装备配备</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0"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人员配置</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1"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培训演练</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1"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专业水平</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2"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仪容仪表</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服务态度</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执行力度</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3" w:line="276" w:lineRule="auto"/>
              <w:ind w:firstLine="439"/>
              <w:rPr>
                <w:rFonts w:ascii="宋体" w:hAnsi="宋体" w:cs="宋体"/>
                <w:color w:val="000000" w:themeColor="text1"/>
                <w:szCs w:val="21"/>
                <w:highlight w:val="none"/>
              </w:rPr>
            </w:pPr>
            <w:r>
              <w:rPr>
                <w:rFonts w:ascii="宋体" w:hAnsi="宋体" w:cs="宋体"/>
                <w:color w:val="000000" w:themeColor="text1"/>
                <w:spacing w:val="-3"/>
                <w:szCs w:val="21"/>
                <w:highlight w:val="none"/>
              </w:rPr>
              <w:t>安全意识</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3"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卫生意识</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725" w:type="dxa"/>
            <w:noWrap w:val="0"/>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服务意识</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5" w:line="276" w:lineRule="auto"/>
              <w:ind w:firstLine="437"/>
              <w:rPr>
                <w:rFonts w:ascii="宋体" w:hAnsi="宋体" w:cs="宋体"/>
                <w:color w:val="000000" w:themeColor="text1"/>
                <w:szCs w:val="21"/>
                <w:highlight w:val="none"/>
              </w:rPr>
            </w:pPr>
            <w:r>
              <w:rPr>
                <w:rFonts w:ascii="宋体" w:hAnsi="宋体" w:cs="宋体"/>
                <w:color w:val="000000" w:themeColor="text1"/>
                <w:spacing w:val="-2"/>
                <w:szCs w:val="21"/>
                <w:highlight w:val="none"/>
              </w:rPr>
              <w:t>工作责任</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5" w:line="276" w:lineRule="auto"/>
              <w:ind w:firstLine="445"/>
              <w:rPr>
                <w:rFonts w:ascii="宋体" w:hAnsi="宋体" w:cs="宋体"/>
                <w:color w:val="000000" w:themeColor="text1"/>
                <w:szCs w:val="21"/>
                <w:highlight w:val="none"/>
              </w:rPr>
            </w:pPr>
            <w:r>
              <w:rPr>
                <w:rFonts w:ascii="宋体" w:hAnsi="宋体" w:cs="宋体"/>
                <w:color w:val="000000" w:themeColor="text1"/>
                <w:spacing w:val="-4"/>
                <w:szCs w:val="21"/>
                <w:highlight w:val="none"/>
              </w:rPr>
              <w:t>时间观念</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725" w:type="dxa"/>
            <w:noWrap w:val="0"/>
            <w:vAlign w:val="top"/>
          </w:tcPr>
          <w:p>
            <w:pPr>
              <w:spacing w:before="33"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协调能力</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服务效率</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服务质量</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节能减排</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3" w:line="276" w:lineRule="auto"/>
              <w:jc w:val="center"/>
              <w:rPr>
                <w:rFonts w:ascii="宋体" w:hAnsi="宋体" w:cs="宋体"/>
                <w:color w:val="000000" w:themeColor="text1"/>
                <w:spacing w:val="-2"/>
                <w:szCs w:val="21"/>
                <w:highlight w:val="none"/>
              </w:rPr>
            </w:pPr>
            <w:r>
              <w:rPr>
                <w:rFonts w:ascii="宋体" w:hAnsi="宋体" w:cs="宋体"/>
                <w:color w:val="000000" w:themeColor="text1"/>
                <w:spacing w:val="-2"/>
                <w:szCs w:val="21"/>
                <w:highlight w:val="none"/>
              </w:rPr>
              <w:t>一般性重复失误</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3" w:line="276" w:lineRule="auto"/>
              <w:jc w:val="center"/>
              <w:rPr>
                <w:rFonts w:ascii="宋体" w:hAnsi="宋体" w:cs="宋体"/>
                <w:color w:val="000000" w:themeColor="text1"/>
                <w:spacing w:val="-2"/>
                <w:szCs w:val="21"/>
                <w:highlight w:val="none"/>
              </w:rPr>
            </w:pPr>
            <w:r>
              <w:rPr>
                <w:rFonts w:ascii="宋体" w:hAnsi="宋体" w:cs="宋体"/>
                <w:color w:val="000000" w:themeColor="text1"/>
                <w:spacing w:val="-2"/>
                <w:szCs w:val="21"/>
                <w:highlight w:val="none"/>
              </w:rPr>
              <w:t>一般性重复过错</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3" w:line="276" w:lineRule="auto"/>
              <w:jc w:val="center"/>
              <w:rPr>
                <w:rFonts w:ascii="宋体" w:hAnsi="宋体" w:cs="宋体"/>
                <w:color w:val="000000" w:themeColor="text1"/>
                <w:spacing w:val="-2"/>
                <w:szCs w:val="21"/>
                <w:highlight w:val="none"/>
              </w:rPr>
            </w:pPr>
            <w:r>
              <w:rPr>
                <w:rFonts w:ascii="宋体" w:hAnsi="宋体" w:cs="宋体"/>
                <w:color w:val="000000" w:themeColor="text1"/>
                <w:spacing w:val="-1"/>
                <w:szCs w:val="21"/>
                <w:highlight w:val="none"/>
              </w:rPr>
              <w:t>较大性重复过错</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1" w:line="276" w:lineRule="auto"/>
              <w:ind w:firstLine="21" w:firstLineChars="0"/>
              <w:jc w:val="center"/>
              <w:rPr>
                <w:rFonts w:ascii="宋体" w:hAnsi="宋体" w:cs="宋体"/>
                <w:color w:val="000000" w:themeColor="text1"/>
                <w:spacing w:val="-1"/>
                <w:szCs w:val="21"/>
                <w:highlight w:val="none"/>
              </w:rPr>
            </w:pPr>
            <w:r>
              <w:rPr>
                <w:rFonts w:ascii="宋体" w:hAnsi="宋体" w:cs="宋体"/>
                <w:color w:val="000000" w:themeColor="text1"/>
                <w:spacing w:val="-2"/>
                <w:szCs w:val="21"/>
                <w:highlight w:val="none"/>
              </w:rPr>
              <w:t>一般性事故</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5" w:line="276" w:lineRule="auto"/>
              <w:ind w:firstLine="17" w:firstLineChars="0"/>
              <w:jc w:val="center"/>
              <w:rPr>
                <w:rFonts w:ascii="宋体" w:hAnsi="宋体" w:cs="宋体"/>
                <w:color w:val="000000" w:themeColor="text1"/>
                <w:spacing w:val="-1"/>
                <w:szCs w:val="21"/>
                <w:highlight w:val="none"/>
              </w:rPr>
            </w:pPr>
            <w:r>
              <w:rPr>
                <w:rFonts w:ascii="宋体" w:hAnsi="宋体" w:cs="宋体"/>
                <w:color w:val="000000" w:themeColor="text1"/>
                <w:spacing w:val="-1"/>
                <w:szCs w:val="21"/>
                <w:highlight w:val="none"/>
              </w:rPr>
              <w:t>较大性事故</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2" w:line="276" w:lineRule="auto"/>
              <w:ind w:firstLine="18" w:firstLineChars="0"/>
              <w:jc w:val="center"/>
              <w:rPr>
                <w:rFonts w:ascii="宋体" w:hAnsi="宋体" w:cs="宋体"/>
                <w:color w:val="000000" w:themeColor="text1"/>
                <w:spacing w:val="-1"/>
                <w:szCs w:val="21"/>
                <w:highlight w:val="none"/>
              </w:rPr>
            </w:pPr>
            <w:r>
              <w:rPr>
                <w:rFonts w:ascii="宋体" w:hAnsi="宋体" w:cs="宋体"/>
                <w:color w:val="000000" w:themeColor="text1"/>
                <w:spacing w:val="-2"/>
                <w:szCs w:val="21"/>
                <w:highlight w:val="none"/>
              </w:rPr>
              <w:t>重大性事故</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1725" w:type="dxa"/>
            <w:noWrap w:val="0"/>
            <w:vAlign w:val="top"/>
          </w:tcPr>
          <w:p>
            <w:pPr>
              <w:spacing w:before="34" w:line="276" w:lineRule="auto"/>
              <w:ind w:left="14" w:right="3" w:firstLine="1"/>
              <w:jc w:val="center"/>
              <w:rPr>
                <w:rFonts w:ascii="宋体" w:hAnsi="宋体" w:cs="宋体"/>
                <w:color w:val="000000" w:themeColor="text1"/>
                <w:szCs w:val="21"/>
                <w:highlight w:val="none"/>
              </w:rPr>
            </w:pPr>
            <w:r>
              <w:rPr>
                <w:rFonts w:ascii="宋体" w:hAnsi="宋体" w:cs="宋体"/>
                <w:color w:val="000000" w:themeColor="text1"/>
                <w:spacing w:val="2"/>
                <w:szCs w:val="21"/>
                <w:highlight w:val="none"/>
              </w:rPr>
              <w:t>整体服务综合考核</w:t>
            </w:r>
            <w:r>
              <w:rPr>
                <w:rFonts w:ascii="宋体" w:hAnsi="宋体" w:cs="宋体"/>
                <w:color w:val="000000" w:themeColor="text1"/>
                <w:spacing w:val="-1"/>
                <w:szCs w:val="21"/>
                <w:highlight w:val="none"/>
              </w:rPr>
              <w:t>评分（合计）</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725" w:type="dxa"/>
            <w:noWrap w:val="0"/>
            <w:vAlign w:val="top"/>
          </w:tcPr>
          <w:p>
            <w:pPr>
              <w:spacing w:before="34" w:line="276" w:lineRule="auto"/>
              <w:ind w:firstLine="437"/>
              <w:rPr>
                <w:rFonts w:ascii="宋体" w:hAnsi="宋体" w:cs="宋体"/>
                <w:color w:val="000000" w:themeColor="text1"/>
                <w:szCs w:val="21"/>
                <w:highlight w:val="none"/>
              </w:rPr>
            </w:pPr>
            <w:r>
              <w:rPr>
                <w:rFonts w:ascii="宋体" w:hAnsi="宋体" w:cs="宋体"/>
                <w:color w:val="000000" w:themeColor="text1"/>
                <w:spacing w:val="-3"/>
                <w:szCs w:val="21"/>
                <w:highlight w:val="none"/>
              </w:rPr>
              <w:t>说明</w:t>
            </w:r>
          </w:p>
        </w:tc>
        <w:tc>
          <w:tcPr>
            <w:tcW w:w="6639" w:type="dxa"/>
            <w:gridSpan w:val="4"/>
            <w:noWrap w:val="0"/>
            <w:vAlign w:val="top"/>
          </w:tcPr>
          <w:p>
            <w:pPr>
              <w:spacing w:before="35" w:line="276" w:lineRule="auto"/>
              <w:ind w:left="8"/>
              <w:rPr>
                <w:rFonts w:ascii="宋体" w:hAnsi="宋体" w:cs="宋体"/>
                <w:color w:val="000000" w:themeColor="text1"/>
                <w:szCs w:val="21"/>
                <w:highlight w:val="none"/>
              </w:rPr>
            </w:pPr>
            <w:r>
              <w:rPr>
                <w:rFonts w:ascii="宋体" w:hAnsi="宋体" w:cs="宋体"/>
                <w:color w:val="000000" w:themeColor="text1"/>
                <w:spacing w:val="-5"/>
                <w:szCs w:val="21"/>
                <w:highlight w:val="none"/>
              </w:rPr>
              <w:t>考核满分为100分，每获得1个分项：很满意得5分；满意得4分；基本满意得3分；不满意得0分。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725" w:type="dxa"/>
            <w:noWrap w:val="0"/>
            <w:vAlign w:val="top"/>
          </w:tcPr>
          <w:p>
            <w:pPr>
              <w:spacing w:before="34" w:line="276" w:lineRule="auto"/>
              <w:ind w:firstLine="437"/>
              <w:rPr>
                <w:rFonts w:ascii="宋体" w:hAnsi="宋体" w:cs="宋体"/>
                <w:color w:val="000000" w:themeColor="text1"/>
                <w:szCs w:val="21"/>
                <w:highlight w:val="none"/>
              </w:rPr>
            </w:pPr>
            <w:r>
              <w:rPr>
                <w:rFonts w:ascii="宋体" w:hAnsi="宋体" w:cs="宋体"/>
                <w:color w:val="000000" w:themeColor="text1"/>
                <w:spacing w:val="-2"/>
                <w:szCs w:val="21"/>
                <w:highlight w:val="none"/>
              </w:rPr>
              <w:t>建议意见</w:t>
            </w:r>
          </w:p>
        </w:tc>
        <w:tc>
          <w:tcPr>
            <w:tcW w:w="6639" w:type="dxa"/>
            <w:gridSpan w:val="4"/>
            <w:noWrap w:val="0"/>
            <w:vAlign w:val="top"/>
          </w:tcPr>
          <w:p>
            <w:pPr>
              <w:spacing w:line="276" w:lineRule="auto"/>
              <w:rPr>
                <w:rFonts w:ascii="宋体" w:hAnsi="宋体"/>
                <w:color w:val="000000" w:themeColor="text1"/>
                <w:szCs w:val="21"/>
                <w:highlight w:val="none"/>
              </w:rPr>
            </w:pPr>
          </w:p>
        </w:tc>
      </w:tr>
    </w:tbl>
    <w:p>
      <w:pPr>
        <w:ind w:firstLine="420" w:firstLineChars="200"/>
        <w:jc w:val="left"/>
        <w:rPr>
          <w:rFonts w:ascii="宋体" w:hAnsi="宋体" w:cs="宋体"/>
          <w:color w:val="000000" w:themeColor="text1"/>
          <w:spacing w:val="-10"/>
          <w:szCs w:val="21"/>
          <w:highlight w:val="none"/>
        </w:rPr>
      </w:pPr>
      <w:r>
        <w:rPr>
          <w:rFonts w:hint="eastAsia" w:ascii="宋体" w:hAnsi="宋体" w:eastAsia="宋体" w:cs="Times New Roman"/>
          <w:color w:val="000000" w:themeColor="text1"/>
          <w:sz w:val="21"/>
          <w:szCs w:val="21"/>
          <w:highlight w:val="none"/>
          <w:lang w:eastAsia="zh-CN"/>
        </w:rPr>
        <w:t>说明：</w:t>
      </w:r>
      <w:r>
        <w:rPr>
          <w:rFonts w:hint="eastAsia" w:ascii="宋体" w:hAnsi="宋体" w:eastAsia="宋体" w:cs="Times New Roman"/>
          <w:color w:val="000000" w:themeColor="text1"/>
          <w:sz w:val="21"/>
          <w:szCs w:val="21"/>
          <w:highlight w:val="none"/>
          <w:lang w:val="en-US" w:eastAsia="zh-CN"/>
        </w:rPr>
        <w:t>考评单位考核评分（请打“√”）</w:t>
      </w:r>
      <w:r>
        <w:rPr>
          <w:rFonts w:hint="eastAsia" w:ascii="宋体" w:hAnsi="宋体" w:eastAsia="宋体" w:cs="Times New Roman"/>
          <w:color w:val="000000" w:themeColor="text1"/>
          <w:sz w:val="21"/>
          <w:szCs w:val="21"/>
          <w:highlight w:val="none"/>
        </w:rPr>
        <w:br w:type="page"/>
      </w:r>
      <w:r>
        <w:rPr>
          <w:rFonts w:ascii="宋体" w:hAnsi="宋体" w:cs="宋体"/>
          <w:color w:val="000000" w:themeColor="text1"/>
          <w:spacing w:val="-10"/>
          <w:szCs w:val="21"/>
          <w:highlight w:val="none"/>
        </w:rPr>
        <w:t>附</w:t>
      </w:r>
      <w:r>
        <w:rPr>
          <w:rFonts w:hint="eastAsia" w:ascii="宋体" w:hAnsi="宋体" w:cs="宋体"/>
          <w:color w:val="000000" w:themeColor="text1"/>
          <w:spacing w:val="-10"/>
          <w:szCs w:val="21"/>
          <w:highlight w:val="none"/>
          <w:lang w:eastAsia="zh-CN"/>
        </w:rPr>
        <w:t>表</w:t>
      </w:r>
      <w:r>
        <w:rPr>
          <w:rFonts w:ascii="宋体" w:hAnsi="宋体" w:cs="宋体"/>
          <w:color w:val="000000" w:themeColor="text1"/>
          <w:spacing w:val="-10"/>
          <w:szCs w:val="21"/>
          <w:highlight w:val="none"/>
        </w:rPr>
        <w:t>2：</w:t>
      </w:r>
    </w:p>
    <w:p>
      <w:pPr>
        <w:pStyle w:val="2"/>
        <w:rPr>
          <w:color w:val="000000" w:themeColor="text1"/>
          <w:highlight w:val="none"/>
        </w:rPr>
      </w:pPr>
    </w:p>
    <w:p>
      <w:pPr>
        <w:spacing w:line="276" w:lineRule="auto"/>
        <w:ind w:firstLine="0" w:firstLineChars="0"/>
        <w:jc w:val="center"/>
        <w:rPr>
          <w:color w:val="000000" w:themeColor="text1"/>
          <w:highlight w:val="none"/>
        </w:rPr>
      </w:pPr>
      <w:r>
        <w:rPr>
          <w:rFonts w:hint="eastAsia" w:ascii="宋体" w:hAnsi="宋体" w:cs="宋体"/>
          <w:color w:val="000000" w:themeColor="text1"/>
          <w:spacing w:val="-3"/>
          <w:szCs w:val="21"/>
          <w:highlight w:val="none"/>
          <w:lang w:eastAsia="zh-CN"/>
        </w:rPr>
        <w:t>劳务外包服务</w:t>
      </w:r>
      <w:r>
        <w:rPr>
          <w:rFonts w:hint="eastAsia" w:ascii="宋体" w:hAnsi="宋体" w:cs="宋体"/>
          <w:color w:val="000000" w:themeColor="text1"/>
          <w:spacing w:val="-3"/>
          <w:szCs w:val="21"/>
          <w:highlight w:val="none"/>
        </w:rPr>
        <w:t>综合考评统计表</w:t>
      </w:r>
    </w:p>
    <w:tbl>
      <w:tblPr>
        <w:tblStyle w:val="46"/>
        <w:tblpPr w:leftFromText="180" w:rightFromText="180" w:vertAnchor="text" w:horzAnchor="page" w:tblpX="1725" w:tblpY="257"/>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4"/>
        <w:gridCol w:w="709"/>
        <w:gridCol w:w="707"/>
        <w:gridCol w:w="850"/>
        <w:gridCol w:w="1133"/>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684" w:type="dxa"/>
            <w:shd w:val="clear" w:color="auto" w:fill="FFFFFF"/>
            <w:noWrap w:val="0"/>
            <w:vAlign w:val="top"/>
          </w:tcPr>
          <w:p>
            <w:pPr>
              <w:spacing w:before="34" w:line="276" w:lineRule="auto"/>
              <w:ind w:firstLine="1643"/>
              <w:rPr>
                <w:rFonts w:ascii="宋体" w:hAnsi="宋体" w:cs="宋体"/>
                <w:color w:val="000000" w:themeColor="text1"/>
                <w:szCs w:val="21"/>
                <w:highlight w:val="none"/>
              </w:rPr>
            </w:pPr>
            <w:r>
              <w:rPr>
                <w:rFonts w:ascii="宋体" w:hAnsi="宋体" w:cs="宋体"/>
                <w:color w:val="000000" w:themeColor="text1"/>
                <w:spacing w:val="-3"/>
                <w:szCs w:val="21"/>
                <w:highlight w:val="none"/>
              </w:rPr>
              <w:t>项目</w:t>
            </w:r>
          </w:p>
        </w:tc>
        <w:tc>
          <w:tcPr>
            <w:tcW w:w="709" w:type="dxa"/>
            <w:shd w:val="clear" w:color="auto" w:fill="FFFFFF"/>
            <w:noWrap w:val="0"/>
            <w:vAlign w:val="top"/>
          </w:tcPr>
          <w:p>
            <w:pPr>
              <w:spacing w:before="34" w:line="276" w:lineRule="auto"/>
              <w:ind w:firstLine="115"/>
              <w:rPr>
                <w:rFonts w:ascii="宋体" w:hAnsi="宋体" w:cs="宋体"/>
                <w:color w:val="000000" w:themeColor="text1"/>
                <w:szCs w:val="21"/>
                <w:highlight w:val="none"/>
              </w:rPr>
            </w:pPr>
            <w:r>
              <w:rPr>
                <w:rFonts w:ascii="宋体" w:hAnsi="宋体" w:cs="宋体"/>
                <w:color w:val="000000" w:themeColor="text1"/>
                <w:spacing w:val="-2"/>
                <w:szCs w:val="21"/>
                <w:highlight w:val="none"/>
              </w:rPr>
              <w:t>加分</w:t>
            </w:r>
          </w:p>
        </w:tc>
        <w:tc>
          <w:tcPr>
            <w:tcW w:w="707" w:type="dxa"/>
            <w:shd w:val="clear" w:color="auto" w:fill="FFFFFF"/>
            <w:noWrap w:val="0"/>
            <w:vAlign w:val="top"/>
          </w:tcPr>
          <w:p>
            <w:pPr>
              <w:spacing w:before="34" w:line="276" w:lineRule="auto"/>
              <w:ind w:firstLine="140"/>
              <w:rPr>
                <w:rFonts w:ascii="宋体" w:hAnsi="宋体" w:cs="宋体"/>
                <w:color w:val="000000" w:themeColor="text1"/>
                <w:szCs w:val="21"/>
                <w:highlight w:val="none"/>
              </w:rPr>
            </w:pPr>
            <w:r>
              <w:rPr>
                <w:rFonts w:ascii="宋体" w:hAnsi="宋体" w:cs="宋体"/>
                <w:color w:val="000000" w:themeColor="text1"/>
                <w:spacing w:val="-3"/>
                <w:szCs w:val="21"/>
                <w:highlight w:val="none"/>
              </w:rPr>
              <w:t>扣分</w:t>
            </w:r>
          </w:p>
        </w:tc>
        <w:tc>
          <w:tcPr>
            <w:tcW w:w="850" w:type="dxa"/>
            <w:shd w:val="clear" w:color="auto" w:fill="FFFFFF"/>
            <w:noWrap w:val="0"/>
            <w:vAlign w:val="top"/>
          </w:tcPr>
          <w:p>
            <w:pPr>
              <w:spacing w:before="34" w:line="276" w:lineRule="auto"/>
              <w:ind w:firstLine="252"/>
              <w:rPr>
                <w:rFonts w:ascii="宋体" w:hAnsi="宋体" w:cs="宋体"/>
                <w:color w:val="000000" w:themeColor="text1"/>
                <w:szCs w:val="21"/>
                <w:highlight w:val="none"/>
              </w:rPr>
            </w:pPr>
            <w:r>
              <w:rPr>
                <w:rFonts w:ascii="宋体" w:hAnsi="宋体" w:cs="宋体"/>
                <w:color w:val="000000" w:themeColor="text1"/>
                <w:spacing w:val="-2"/>
                <w:szCs w:val="21"/>
                <w:highlight w:val="none"/>
              </w:rPr>
              <w:t>合计</w:t>
            </w:r>
          </w:p>
        </w:tc>
        <w:tc>
          <w:tcPr>
            <w:tcW w:w="1133" w:type="dxa"/>
            <w:shd w:val="clear" w:color="auto" w:fill="FFFFFF"/>
            <w:noWrap w:val="0"/>
            <w:vAlign w:val="top"/>
          </w:tcPr>
          <w:p>
            <w:pPr>
              <w:spacing w:before="34" w:line="276" w:lineRule="auto"/>
              <w:ind w:firstLine="135"/>
              <w:rPr>
                <w:rFonts w:ascii="宋体" w:hAnsi="宋体" w:cs="宋体"/>
                <w:color w:val="000000" w:themeColor="text1"/>
                <w:szCs w:val="21"/>
                <w:highlight w:val="none"/>
              </w:rPr>
            </w:pPr>
            <w:r>
              <w:rPr>
                <w:rFonts w:hint="eastAsia" w:ascii="宋体" w:hAnsi="宋体" w:cs="宋体"/>
                <w:color w:val="000000" w:themeColor="text1"/>
                <w:spacing w:val="-3"/>
                <w:szCs w:val="21"/>
                <w:highlight w:val="none"/>
                <w:lang w:val="en-US" w:eastAsia="zh-CN"/>
              </w:rPr>
              <w:t>扣减</w:t>
            </w:r>
            <w:r>
              <w:rPr>
                <w:rFonts w:ascii="宋体" w:hAnsi="宋体" w:cs="宋体"/>
                <w:color w:val="000000" w:themeColor="text1"/>
                <w:spacing w:val="-3"/>
                <w:szCs w:val="21"/>
                <w:highlight w:val="none"/>
              </w:rPr>
              <w:t>金额</w:t>
            </w:r>
          </w:p>
        </w:tc>
        <w:tc>
          <w:tcPr>
            <w:tcW w:w="1149" w:type="dxa"/>
            <w:shd w:val="clear" w:color="auto" w:fill="FFFFFF"/>
            <w:noWrap w:val="0"/>
            <w:vAlign w:val="top"/>
          </w:tcPr>
          <w:p>
            <w:pPr>
              <w:spacing w:before="34" w:line="276" w:lineRule="auto"/>
              <w:ind w:firstLine="391"/>
              <w:rPr>
                <w:rFonts w:ascii="宋体" w:hAnsi="宋体" w:cs="宋体"/>
                <w:color w:val="000000" w:themeColor="text1"/>
                <w:szCs w:val="21"/>
                <w:highlight w:val="none"/>
              </w:rPr>
            </w:pPr>
            <w:r>
              <w:rPr>
                <w:rFonts w:ascii="宋体" w:hAnsi="宋体" w:cs="宋体"/>
                <w:color w:val="000000" w:themeColor="text1"/>
                <w:spacing w:val="-3"/>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84" w:type="dxa"/>
            <w:shd w:val="clear" w:color="auto" w:fill="FFFFFF"/>
            <w:noWrap w:val="0"/>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管理服务综合考评</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服务管理奖罚</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84" w:type="dxa"/>
            <w:shd w:val="clear" w:color="auto" w:fill="FFFFFF"/>
            <w:noWrap w:val="0"/>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2"/>
                <w:szCs w:val="21"/>
                <w:highlight w:val="none"/>
              </w:rPr>
              <w:t>全勤奖励</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28" w:line="276" w:lineRule="auto"/>
              <w:ind w:firstLine="17"/>
              <w:rPr>
                <w:rFonts w:hint="eastAsia" w:ascii="宋体" w:hAnsi="宋体" w:eastAsia="宋体" w:cs="宋体"/>
                <w:color w:val="000000" w:themeColor="text1"/>
                <w:szCs w:val="21"/>
                <w:highlight w:val="none"/>
                <w:lang w:eastAsia="zh-CN"/>
              </w:rPr>
            </w:pPr>
            <w:r>
              <w:rPr>
                <w:rFonts w:ascii="宋体" w:hAnsi="宋体" w:cs="宋体"/>
                <w:color w:val="000000" w:themeColor="text1"/>
                <w:spacing w:val="-2"/>
                <w:szCs w:val="21"/>
                <w:highlight w:val="none"/>
              </w:rPr>
              <w:t>缺勤</w:t>
            </w:r>
            <w:r>
              <w:rPr>
                <w:rFonts w:hint="eastAsia" w:ascii="宋体" w:hAnsi="宋体" w:cs="宋体"/>
                <w:color w:val="000000" w:themeColor="text1"/>
                <w:spacing w:val="-2"/>
                <w:szCs w:val="21"/>
                <w:highlight w:val="none"/>
                <w:lang w:val="en-US" w:eastAsia="zh-CN"/>
              </w:rPr>
              <w:t>处理</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3684" w:type="dxa"/>
            <w:shd w:val="clear" w:color="auto" w:fill="FFFFFF"/>
            <w:noWrap w:val="0"/>
            <w:vAlign w:val="top"/>
          </w:tcPr>
          <w:p>
            <w:pPr>
              <w:spacing w:before="30" w:line="276" w:lineRule="auto"/>
              <w:ind w:left="17" w:right="25" w:hanging="1"/>
              <w:rPr>
                <w:rFonts w:ascii="宋体" w:hAnsi="宋体" w:cs="宋体"/>
                <w:color w:val="000000" w:themeColor="text1"/>
                <w:szCs w:val="21"/>
                <w:highlight w:val="none"/>
              </w:rPr>
            </w:pPr>
            <w:r>
              <w:rPr>
                <w:rFonts w:ascii="宋体" w:hAnsi="宋体" w:cs="宋体"/>
                <w:color w:val="000000" w:themeColor="text1"/>
                <w:spacing w:val="5"/>
                <w:szCs w:val="21"/>
                <w:highlight w:val="none"/>
              </w:rPr>
              <w:t>在经营活动中违反税收法规财务制度及</w:t>
            </w:r>
            <w:r>
              <w:rPr>
                <w:rFonts w:ascii="宋体" w:hAnsi="宋体" w:cs="宋体"/>
                <w:color w:val="000000" w:themeColor="text1"/>
                <w:spacing w:val="-1"/>
                <w:szCs w:val="21"/>
                <w:highlight w:val="none"/>
              </w:rPr>
              <w:t>其他违法违规记录</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0" w:line="276" w:lineRule="auto"/>
              <w:ind w:firstLine="16"/>
              <w:rPr>
                <w:rFonts w:ascii="宋体" w:hAnsi="宋体" w:cs="宋体"/>
                <w:color w:val="000000" w:themeColor="text1"/>
                <w:szCs w:val="21"/>
                <w:highlight w:val="none"/>
              </w:rPr>
            </w:pPr>
            <w:r>
              <w:rPr>
                <w:rFonts w:ascii="宋体" w:hAnsi="宋体" w:cs="宋体"/>
                <w:color w:val="000000" w:themeColor="text1"/>
                <w:spacing w:val="-1"/>
                <w:szCs w:val="21"/>
                <w:highlight w:val="none"/>
              </w:rPr>
              <w:t>在经营中未能履行合同承诺</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684" w:type="dxa"/>
            <w:tcBorders>
              <w:bottom w:val="nil"/>
            </w:tcBorders>
            <w:shd w:val="clear" w:color="auto" w:fill="FFFFFF"/>
            <w:noWrap w:val="0"/>
            <w:vAlign w:val="top"/>
          </w:tcPr>
          <w:p>
            <w:pPr>
              <w:spacing w:before="30" w:line="276" w:lineRule="auto"/>
              <w:ind w:firstLine="21"/>
              <w:rPr>
                <w:rFonts w:ascii="宋体" w:hAnsi="宋体" w:cs="宋体"/>
                <w:color w:val="000000" w:themeColor="text1"/>
                <w:szCs w:val="21"/>
                <w:highlight w:val="none"/>
              </w:rPr>
            </w:pPr>
            <w:r>
              <w:rPr>
                <w:rFonts w:ascii="宋体" w:hAnsi="宋体" w:cs="宋体"/>
                <w:color w:val="000000" w:themeColor="text1"/>
                <w:spacing w:val="-1"/>
                <w:szCs w:val="21"/>
                <w:highlight w:val="none"/>
              </w:rPr>
              <w:t>浪费水、电、消耗品等公共资源</w:t>
            </w:r>
          </w:p>
        </w:tc>
        <w:tc>
          <w:tcPr>
            <w:tcW w:w="709"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c>
          <w:tcPr>
            <w:tcW w:w="707"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c>
          <w:tcPr>
            <w:tcW w:w="850"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c>
          <w:tcPr>
            <w:tcW w:w="1133"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c>
          <w:tcPr>
            <w:tcW w:w="1149"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684" w:type="dxa"/>
            <w:tcBorders>
              <w:top w:val="single" w:color="auto" w:sz="4" w:space="0"/>
            </w:tcBorders>
            <w:shd w:val="clear" w:color="auto" w:fill="FFFFFF"/>
            <w:noWrap w:val="0"/>
            <w:vAlign w:val="top"/>
          </w:tcPr>
          <w:p>
            <w:pPr>
              <w:spacing w:before="34"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一般性失误</w:t>
            </w:r>
          </w:p>
        </w:tc>
        <w:tc>
          <w:tcPr>
            <w:tcW w:w="709"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c>
          <w:tcPr>
            <w:tcW w:w="707"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c>
          <w:tcPr>
            <w:tcW w:w="850"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c>
          <w:tcPr>
            <w:tcW w:w="1133"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c>
          <w:tcPr>
            <w:tcW w:w="1149"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1"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一般性重复失误</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一般性重复过错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0"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较大性重复过错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0" w:line="276" w:lineRule="auto"/>
              <w:ind w:firstLine="18"/>
              <w:rPr>
                <w:rFonts w:ascii="宋体" w:hAnsi="宋体" w:cs="宋体"/>
                <w:color w:val="000000" w:themeColor="text1"/>
                <w:szCs w:val="21"/>
                <w:highlight w:val="none"/>
              </w:rPr>
            </w:pPr>
            <w:r>
              <w:rPr>
                <w:rFonts w:ascii="宋体" w:hAnsi="宋体" w:cs="宋体"/>
                <w:color w:val="000000" w:themeColor="text1"/>
                <w:spacing w:val="-2"/>
                <w:szCs w:val="21"/>
                <w:highlight w:val="none"/>
              </w:rPr>
              <w:t>重大性过错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0"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重大性重复大过错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1"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一般性事故</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5"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较大性事故</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2" w:line="276" w:lineRule="auto"/>
              <w:ind w:firstLine="18"/>
              <w:rPr>
                <w:rFonts w:ascii="宋体" w:hAnsi="宋体" w:cs="宋体"/>
                <w:color w:val="000000" w:themeColor="text1"/>
                <w:szCs w:val="21"/>
                <w:highlight w:val="none"/>
              </w:rPr>
            </w:pPr>
            <w:r>
              <w:rPr>
                <w:rFonts w:ascii="宋体" w:hAnsi="宋体" w:cs="宋体"/>
                <w:color w:val="000000" w:themeColor="text1"/>
                <w:spacing w:val="-2"/>
                <w:szCs w:val="21"/>
                <w:highlight w:val="none"/>
              </w:rPr>
              <w:t>重大性事故</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684" w:type="dxa"/>
            <w:shd w:val="clear" w:color="auto" w:fill="FFFFFF"/>
            <w:noWrap w:val="0"/>
            <w:vAlign w:val="top"/>
          </w:tcPr>
          <w:p>
            <w:pPr>
              <w:spacing w:before="34" w:line="276" w:lineRule="auto"/>
              <w:ind w:left="20" w:right="25" w:hanging="3"/>
              <w:rPr>
                <w:rFonts w:ascii="宋体" w:hAnsi="宋体" w:cs="宋体"/>
                <w:color w:val="000000" w:themeColor="text1"/>
                <w:szCs w:val="21"/>
                <w:highlight w:val="none"/>
              </w:rPr>
            </w:pPr>
            <w:r>
              <w:rPr>
                <w:rFonts w:ascii="宋体" w:hAnsi="宋体" w:cs="宋体"/>
                <w:color w:val="000000" w:themeColor="text1"/>
                <w:spacing w:val="5"/>
                <w:szCs w:val="21"/>
                <w:highlight w:val="none"/>
              </w:rPr>
              <w:t>违反工作纪律、违返操作规程、违反各</w:t>
            </w:r>
            <w:r>
              <w:rPr>
                <w:rFonts w:ascii="宋体" w:hAnsi="宋体" w:cs="宋体"/>
                <w:color w:val="000000" w:themeColor="text1"/>
                <w:spacing w:val="-2"/>
                <w:szCs w:val="21"/>
                <w:highlight w:val="none"/>
              </w:rPr>
              <w:t>项管理制度</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3" w:line="276" w:lineRule="auto"/>
              <w:ind w:firstLine="27"/>
              <w:rPr>
                <w:rFonts w:ascii="宋体" w:hAnsi="宋体" w:cs="宋体"/>
                <w:color w:val="000000" w:themeColor="text1"/>
                <w:szCs w:val="21"/>
                <w:highlight w:val="none"/>
              </w:rPr>
            </w:pPr>
            <w:r>
              <w:rPr>
                <w:rFonts w:ascii="宋体" w:hAnsi="宋体" w:cs="宋体"/>
                <w:color w:val="000000" w:themeColor="text1"/>
                <w:spacing w:val="-2"/>
                <w:szCs w:val="21"/>
                <w:highlight w:val="none"/>
              </w:rPr>
              <w:t>噪音、气味等干扰工作秩序</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3"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招标文件和合同约定的其它相关事项</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3"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招标文件带星号条款</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684" w:type="dxa"/>
            <w:shd w:val="clear" w:color="auto" w:fill="FFFFFF"/>
            <w:noWrap w:val="0"/>
            <w:vAlign w:val="top"/>
          </w:tcPr>
          <w:p>
            <w:pPr>
              <w:spacing w:before="34" w:line="276" w:lineRule="auto"/>
              <w:ind w:firstLine="20"/>
              <w:rPr>
                <w:rFonts w:ascii="宋体" w:hAnsi="宋体" w:cs="宋体"/>
                <w:color w:val="000000" w:themeColor="text1"/>
                <w:szCs w:val="21"/>
                <w:highlight w:val="none"/>
              </w:rPr>
            </w:pPr>
            <w:r>
              <w:rPr>
                <w:rFonts w:ascii="宋体" w:hAnsi="宋体" w:cs="宋体"/>
                <w:color w:val="000000" w:themeColor="text1"/>
                <w:spacing w:val="-3"/>
                <w:szCs w:val="21"/>
                <w:highlight w:val="none"/>
              </w:rPr>
              <w:t>总计</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bl>
    <w:p>
      <w:pPr>
        <w:spacing w:before="68" w:line="276" w:lineRule="auto"/>
        <w:ind w:firstLine="474"/>
        <w:rPr>
          <w:rFonts w:ascii="宋体" w:hAnsi="宋体" w:cs="宋体"/>
          <w:color w:val="000000" w:themeColor="text1"/>
          <w:spacing w:val="-9"/>
          <w:szCs w:val="21"/>
          <w:highlight w:val="none"/>
        </w:rPr>
      </w:pPr>
    </w:p>
    <w:p>
      <w:pPr>
        <w:spacing w:before="68" w:line="276" w:lineRule="auto"/>
        <w:ind w:firstLine="474"/>
        <w:rPr>
          <w:rFonts w:ascii="宋体" w:hAnsi="宋体" w:cs="宋体"/>
          <w:color w:val="000000" w:themeColor="text1"/>
          <w:szCs w:val="21"/>
          <w:highlight w:val="none"/>
        </w:rPr>
      </w:pPr>
      <w:r>
        <w:rPr>
          <w:rFonts w:ascii="宋体" w:hAnsi="宋体"/>
          <w:color w:val="000000" w:themeColor="text1"/>
          <w:szCs w:val="21"/>
          <w:highlight w:val="none"/>
        </w:rPr>
        <w:br w:type="page"/>
      </w:r>
      <w:r>
        <w:rPr>
          <w:rFonts w:hint="eastAsia" w:ascii="宋体" w:hAnsi="宋体" w:cs="宋体"/>
          <w:color w:val="000000" w:themeColor="text1"/>
          <w:spacing w:val="-9"/>
          <w:szCs w:val="21"/>
          <w:highlight w:val="none"/>
        </w:rPr>
        <w:t>附表</w:t>
      </w:r>
      <w:r>
        <w:rPr>
          <w:rFonts w:ascii="宋体" w:hAnsi="宋体" w:cs="宋体"/>
          <w:color w:val="000000" w:themeColor="text1"/>
          <w:spacing w:val="-9"/>
          <w:szCs w:val="21"/>
          <w:highlight w:val="none"/>
        </w:rPr>
        <w:t>3：</w:t>
      </w:r>
    </w:p>
    <w:p>
      <w:pPr>
        <w:spacing w:before="196" w:line="276" w:lineRule="auto"/>
        <w:ind w:firstLine="3058"/>
        <w:rPr>
          <w:rFonts w:ascii="宋体" w:hAnsi="宋体" w:cs="宋体"/>
          <w:color w:val="000000" w:themeColor="text1"/>
          <w:szCs w:val="21"/>
          <w:highlight w:val="none"/>
        </w:rPr>
      </w:pPr>
      <w:r>
        <w:rPr>
          <w:rFonts w:hint="eastAsia" w:ascii="宋体" w:hAnsi="宋体" w:cs="宋体"/>
          <w:color w:val="000000" w:themeColor="text1"/>
          <w:spacing w:val="-4"/>
          <w:szCs w:val="21"/>
          <w:highlight w:val="none"/>
          <w:lang w:eastAsia="zh-CN"/>
        </w:rPr>
        <w:t>劳务外包服务</w:t>
      </w:r>
      <w:r>
        <w:rPr>
          <w:rFonts w:hint="eastAsia" w:ascii="宋体" w:hAnsi="宋体" w:cs="宋体"/>
          <w:color w:val="000000" w:themeColor="text1"/>
          <w:spacing w:val="-4"/>
          <w:szCs w:val="21"/>
          <w:highlight w:val="none"/>
          <w:lang w:val="en-US" w:eastAsia="zh-CN"/>
        </w:rPr>
        <w:t>处理</w:t>
      </w:r>
      <w:r>
        <w:rPr>
          <w:rFonts w:ascii="宋体" w:hAnsi="宋体" w:cs="宋体"/>
          <w:color w:val="000000" w:themeColor="text1"/>
          <w:spacing w:val="-4"/>
          <w:szCs w:val="21"/>
          <w:highlight w:val="none"/>
        </w:rPr>
        <w:t>单（参考表格）</w:t>
      </w:r>
    </w:p>
    <w:p>
      <w:pPr>
        <w:spacing w:line="276" w:lineRule="auto"/>
        <w:rPr>
          <w:rFonts w:ascii="宋体" w:hAnsi="宋体"/>
          <w:color w:val="000000" w:themeColor="text1"/>
          <w:szCs w:val="21"/>
          <w:highlight w:val="none"/>
        </w:rPr>
      </w:pPr>
    </w:p>
    <w:tbl>
      <w:tblPr>
        <w:tblStyle w:val="46"/>
        <w:tblW w:w="0" w:type="auto"/>
        <w:tblInd w:w="4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1"/>
        <w:gridCol w:w="1160"/>
        <w:gridCol w:w="360"/>
        <w:gridCol w:w="452"/>
        <w:gridCol w:w="1061"/>
        <w:gridCol w:w="1057"/>
        <w:gridCol w:w="466"/>
        <w:gridCol w:w="1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81" w:type="dxa"/>
            <w:shd w:val="clear" w:color="auto" w:fill="FFFFFF"/>
            <w:noWrap w:val="0"/>
            <w:vAlign w:val="top"/>
          </w:tcPr>
          <w:p>
            <w:pPr>
              <w:spacing w:before="34" w:line="276" w:lineRule="auto"/>
              <w:ind w:firstLine="20"/>
              <w:rPr>
                <w:rFonts w:ascii="宋体" w:hAnsi="宋体" w:cs="宋体"/>
                <w:color w:val="000000" w:themeColor="text1"/>
                <w:szCs w:val="21"/>
                <w:highlight w:val="none"/>
              </w:rPr>
            </w:pPr>
            <w:r>
              <w:rPr>
                <w:rFonts w:ascii="宋体" w:hAnsi="宋体" w:cs="宋体"/>
                <w:color w:val="000000" w:themeColor="text1"/>
                <w:spacing w:val="3"/>
                <w:szCs w:val="21"/>
                <w:highlight w:val="none"/>
              </w:rPr>
              <w:t>投诉单位（部门</w:t>
            </w:r>
            <w:r>
              <w:rPr>
                <w:rFonts w:ascii="宋体" w:hAnsi="宋体" w:cs="宋体"/>
                <w:color w:val="000000" w:themeColor="text1"/>
                <w:spacing w:val="-60"/>
                <w:szCs w:val="21"/>
                <w:highlight w:val="none"/>
              </w:rPr>
              <w:t>）：</w:t>
            </w:r>
          </w:p>
        </w:tc>
        <w:tc>
          <w:tcPr>
            <w:tcW w:w="1520" w:type="dxa"/>
            <w:gridSpan w:val="2"/>
            <w:shd w:val="clear" w:color="auto" w:fill="FFFFFF"/>
            <w:noWrap w:val="0"/>
            <w:vAlign w:val="top"/>
          </w:tcPr>
          <w:p>
            <w:pPr>
              <w:spacing w:before="34" w:line="276" w:lineRule="auto"/>
              <w:ind w:firstLine="46"/>
              <w:rPr>
                <w:rFonts w:ascii="宋体" w:hAnsi="宋体" w:cs="宋体"/>
                <w:color w:val="000000" w:themeColor="text1"/>
                <w:szCs w:val="21"/>
                <w:highlight w:val="none"/>
              </w:rPr>
            </w:pPr>
            <w:r>
              <w:rPr>
                <w:rFonts w:ascii="宋体" w:hAnsi="宋体" w:cs="宋体"/>
                <w:color w:val="000000" w:themeColor="text1"/>
                <w:spacing w:val="-2"/>
                <w:szCs w:val="21"/>
                <w:highlight w:val="none"/>
              </w:rPr>
              <w:t>投诉人：</w:t>
            </w:r>
          </w:p>
        </w:tc>
        <w:tc>
          <w:tcPr>
            <w:tcW w:w="1513" w:type="dxa"/>
            <w:gridSpan w:val="2"/>
            <w:shd w:val="clear" w:color="auto" w:fill="FFFFFF"/>
            <w:noWrap w:val="0"/>
            <w:vAlign w:val="top"/>
          </w:tcPr>
          <w:p>
            <w:pPr>
              <w:spacing w:before="34" w:line="276" w:lineRule="auto"/>
              <w:ind w:firstLine="52"/>
              <w:rPr>
                <w:rFonts w:ascii="宋体" w:hAnsi="宋体" w:cs="宋体"/>
                <w:color w:val="000000" w:themeColor="text1"/>
                <w:szCs w:val="21"/>
                <w:highlight w:val="none"/>
              </w:rPr>
            </w:pPr>
            <w:r>
              <w:rPr>
                <w:rFonts w:ascii="宋体" w:hAnsi="宋体" w:cs="宋体"/>
                <w:color w:val="000000" w:themeColor="text1"/>
                <w:spacing w:val="-2"/>
                <w:szCs w:val="21"/>
                <w:highlight w:val="none"/>
              </w:rPr>
              <w:t>证明人：</w:t>
            </w:r>
          </w:p>
        </w:tc>
        <w:tc>
          <w:tcPr>
            <w:tcW w:w="1523" w:type="dxa"/>
            <w:gridSpan w:val="2"/>
            <w:shd w:val="clear" w:color="auto" w:fill="FFFFFF"/>
            <w:noWrap w:val="0"/>
            <w:vAlign w:val="top"/>
          </w:tcPr>
          <w:p>
            <w:pPr>
              <w:spacing w:before="34" w:line="276" w:lineRule="auto"/>
              <w:ind w:firstLine="61"/>
              <w:rPr>
                <w:rFonts w:ascii="宋体" w:hAnsi="宋体" w:cs="宋体"/>
                <w:color w:val="000000" w:themeColor="text1"/>
                <w:szCs w:val="21"/>
                <w:highlight w:val="none"/>
              </w:rPr>
            </w:pPr>
            <w:r>
              <w:rPr>
                <w:rFonts w:ascii="宋体" w:hAnsi="宋体" w:cs="宋体"/>
                <w:color w:val="000000" w:themeColor="text1"/>
                <w:spacing w:val="-7"/>
                <w:szCs w:val="21"/>
                <w:highlight w:val="none"/>
              </w:rPr>
              <w:t>投诉现场：</w:t>
            </w:r>
          </w:p>
        </w:tc>
        <w:tc>
          <w:tcPr>
            <w:tcW w:w="1597" w:type="dxa"/>
            <w:shd w:val="clear" w:color="auto" w:fill="FFFFFF"/>
            <w:noWrap w:val="0"/>
            <w:vAlign w:val="top"/>
          </w:tcPr>
          <w:p>
            <w:pPr>
              <w:spacing w:before="34" w:line="276" w:lineRule="auto"/>
              <w:ind w:firstLine="69"/>
              <w:rPr>
                <w:rFonts w:ascii="宋体" w:hAnsi="宋体" w:cs="宋体"/>
                <w:color w:val="000000" w:themeColor="text1"/>
                <w:szCs w:val="21"/>
                <w:highlight w:val="none"/>
              </w:rPr>
            </w:pPr>
            <w:r>
              <w:rPr>
                <w:rFonts w:hint="eastAsia" w:ascii="宋体" w:hAnsi="宋体" w:cs="宋体"/>
                <w:color w:val="000000" w:themeColor="text1"/>
                <w:spacing w:val="-7"/>
                <w:szCs w:val="21"/>
                <w:highlight w:val="none"/>
                <w:lang w:val="en-US" w:eastAsia="zh-CN"/>
              </w:rPr>
              <w:t>处理</w:t>
            </w:r>
            <w:r>
              <w:rPr>
                <w:rFonts w:ascii="宋体" w:hAnsi="宋体" w:cs="宋体"/>
                <w:color w:val="000000" w:themeColor="text1"/>
                <w:spacing w:val="-7"/>
                <w:szCs w:val="21"/>
                <w:highlight w:val="none"/>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434" w:type="dxa"/>
            <w:gridSpan w:val="8"/>
            <w:shd w:val="clear" w:color="auto" w:fill="FFFFFF"/>
            <w:noWrap w:val="0"/>
            <w:vAlign w:val="top"/>
          </w:tcPr>
          <w:p>
            <w:pPr>
              <w:spacing w:before="29" w:line="276" w:lineRule="auto"/>
              <w:ind w:firstLine="21"/>
              <w:rPr>
                <w:rFonts w:ascii="宋体" w:hAnsi="宋体" w:cs="宋体"/>
                <w:color w:val="000000" w:themeColor="text1"/>
                <w:szCs w:val="21"/>
                <w:highlight w:val="none"/>
              </w:rPr>
            </w:pPr>
            <w:r>
              <w:rPr>
                <w:rFonts w:hint="eastAsia" w:ascii="宋体" w:hAnsi="宋体" w:cs="宋体"/>
                <w:color w:val="000000" w:themeColor="text1"/>
                <w:spacing w:val="-7"/>
                <w:szCs w:val="21"/>
                <w:highlight w:val="none"/>
                <w:lang w:val="en-US" w:eastAsia="zh-CN"/>
              </w:rPr>
              <w:t>处理</w:t>
            </w:r>
            <w:r>
              <w:rPr>
                <w:rFonts w:ascii="宋体" w:hAnsi="宋体" w:cs="宋体"/>
                <w:color w:val="000000" w:themeColor="text1"/>
                <w:spacing w:val="-7"/>
                <w:szCs w:val="21"/>
                <w:highlight w:val="none"/>
              </w:rPr>
              <w:t>事由：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434" w:type="dxa"/>
            <w:gridSpan w:val="8"/>
            <w:shd w:val="clear" w:color="auto" w:fill="FFFFFF"/>
            <w:noWrap w:val="0"/>
            <w:vAlign w:val="top"/>
          </w:tcPr>
          <w:p>
            <w:pPr>
              <w:spacing w:before="30" w:line="276" w:lineRule="auto"/>
              <w:ind w:firstLine="16"/>
              <w:rPr>
                <w:rFonts w:ascii="宋体" w:hAnsi="宋体" w:cs="宋体"/>
                <w:color w:val="000000" w:themeColor="text1"/>
                <w:szCs w:val="21"/>
                <w:highlight w:val="none"/>
              </w:rPr>
            </w:pPr>
            <w:r>
              <w:rPr>
                <w:rFonts w:ascii="宋体" w:hAnsi="宋体" w:cs="宋体"/>
                <w:color w:val="000000" w:themeColor="text1"/>
                <w:spacing w:val="-6"/>
                <w:szCs w:val="21"/>
                <w:highlight w:val="none"/>
              </w:rPr>
              <w:t>对应条款：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81" w:type="dxa"/>
            <w:shd w:val="clear" w:color="auto" w:fill="FFFFFF"/>
            <w:noWrap w:val="0"/>
            <w:vAlign w:val="top"/>
          </w:tcPr>
          <w:p>
            <w:pPr>
              <w:spacing w:before="30" w:line="276" w:lineRule="auto"/>
              <w:ind w:firstLine="21"/>
              <w:rPr>
                <w:rFonts w:ascii="宋体" w:hAnsi="宋体" w:cs="宋体"/>
                <w:color w:val="000000" w:themeColor="text1"/>
                <w:szCs w:val="21"/>
                <w:highlight w:val="none"/>
              </w:rPr>
            </w:pPr>
            <w:r>
              <w:rPr>
                <w:rFonts w:ascii="宋体" w:hAnsi="宋体" w:cs="宋体"/>
                <w:color w:val="000000" w:themeColor="text1"/>
                <w:spacing w:val="-13"/>
                <w:szCs w:val="21"/>
                <w:highlight w:val="none"/>
              </w:rPr>
              <w:t>扣分：</w:t>
            </w:r>
          </w:p>
        </w:tc>
        <w:tc>
          <w:tcPr>
            <w:tcW w:w="1972" w:type="dxa"/>
            <w:gridSpan w:val="3"/>
            <w:shd w:val="clear" w:color="auto" w:fill="FFFFFF"/>
            <w:noWrap w:val="0"/>
            <w:vAlign w:val="top"/>
          </w:tcPr>
          <w:p>
            <w:pPr>
              <w:spacing w:before="31" w:line="276" w:lineRule="auto"/>
              <w:ind w:firstLine="43"/>
              <w:rPr>
                <w:rFonts w:ascii="宋体" w:hAnsi="宋体" w:cs="宋体"/>
                <w:color w:val="000000" w:themeColor="text1"/>
                <w:szCs w:val="21"/>
                <w:highlight w:val="none"/>
              </w:rPr>
            </w:pPr>
            <w:r>
              <w:rPr>
                <w:rFonts w:ascii="宋体" w:hAnsi="宋体" w:cs="宋体"/>
                <w:color w:val="000000" w:themeColor="text1"/>
                <w:spacing w:val="-2"/>
                <w:position w:val="17"/>
                <w:szCs w:val="21"/>
                <w:highlight w:val="none"/>
              </w:rPr>
              <w:t>损失值：</w:t>
            </w:r>
          </w:p>
          <w:p>
            <w:pPr>
              <w:spacing w:line="276" w:lineRule="auto"/>
              <w:ind w:firstLine="41"/>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c>
          <w:tcPr>
            <w:tcW w:w="2118" w:type="dxa"/>
            <w:gridSpan w:val="2"/>
            <w:shd w:val="clear" w:color="auto" w:fill="FFFFFF"/>
            <w:noWrap w:val="0"/>
            <w:vAlign w:val="top"/>
          </w:tcPr>
          <w:p>
            <w:pPr>
              <w:spacing w:before="31" w:line="276" w:lineRule="auto"/>
              <w:ind w:firstLine="53"/>
              <w:rPr>
                <w:rFonts w:ascii="宋体" w:hAnsi="宋体" w:cs="宋体"/>
                <w:color w:val="000000" w:themeColor="text1"/>
                <w:szCs w:val="21"/>
                <w:highlight w:val="none"/>
              </w:rPr>
            </w:pPr>
            <w:r>
              <w:rPr>
                <w:rFonts w:hint="eastAsia" w:ascii="宋体" w:hAnsi="宋体" w:cs="宋体"/>
                <w:color w:val="000000" w:themeColor="text1"/>
                <w:spacing w:val="-7"/>
                <w:position w:val="17"/>
                <w:szCs w:val="21"/>
                <w:highlight w:val="none"/>
                <w:lang w:val="en-US" w:eastAsia="zh-CN"/>
              </w:rPr>
              <w:t>扣减服务费</w:t>
            </w:r>
            <w:r>
              <w:rPr>
                <w:rFonts w:ascii="宋体" w:hAnsi="宋体" w:cs="宋体"/>
                <w:color w:val="000000" w:themeColor="text1"/>
                <w:spacing w:val="-7"/>
                <w:position w:val="17"/>
                <w:szCs w:val="21"/>
                <w:highlight w:val="none"/>
              </w:rPr>
              <w:t>金额：</w:t>
            </w:r>
          </w:p>
          <w:p>
            <w:pPr>
              <w:spacing w:line="276" w:lineRule="auto"/>
              <w:ind w:firstLine="47"/>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c>
          <w:tcPr>
            <w:tcW w:w="2063" w:type="dxa"/>
            <w:gridSpan w:val="2"/>
            <w:shd w:val="clear" w:color="auto" w:fill="FFFFFF"/>
            <w:noWrap w:val="0"/>
            <w:vAlign w:val="top"/>
          </w:tcPr>
          <w:p>
            <w:pPr>
              <w:spacing w:before="31" w:line="276" w:lineRule="auto"/>
              <w:ind w:firstLine="58"/>
              <w:rPr>
                <w:rFonts w:ascii="宋体" w:hAnsi="宋体" w:cs="宋体"/>
                <w:color w:val="000000" w:themeColor="text1"/>
                <w:szCs w:val="21"/>
                <w:highlight w:val="none"/>
              </w:rPr>
            </w:pPr>
            <w:r>
              <w:rPr>
                <w:rFonts w:ascii="宋体" w:hAnsi="宋体" w:cs="宋体"/>
                <w:color w:val="000000" w:themeColor="text1"/>
                <w:spacing w:val="-7"/>
                <w:position w:val="17"/>
                <w:szCs w:val="21"/>
                <w:highlight w:val="none"/>
              </w:rPr>
              <w:t>合计金额：</w:t>
            </w:r>
          </w:p>
          <w:p>
            <w:pPr>
              <w:spacing w:line="276" w:lineRule="auto"/>
              <w:ind w:firstLine="55"/>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441" w:type="dxa"/>
            <w:gridSpan w:val="2"/>
            <w:shd w:val="clear" w:color="auto" w:fill="FFFFFF"/>
            <w:noWrap w:val="0"/>
            <w:vAlign w:val="top"/>
          </w:tcPr>
          <w:p>
            <w:pPr>
              <w:spacing w:before="31" w:line="276" w:lineRule="auto"/>
              <w:ind w:firstLine="17"/>
              <w:rPr>
                <w:rFonts w:ascii="宋体" w:hAnsi="宋体" w:cs="宋体"/>
                <w:color w:val="000000" w:themeColor="text1"/>
                <w:szCs w:val="21"/>
                <w:highlight w:val="none"/>
              </w:rPr>
            </w:pPr>
            <w:r>
              <w:rPr>
                <w:rFonts w:hint="eastAsia" w:ascii="宋体" w:hAnsi="宋体" w:cs="宋体"/>
                <w:color w:val="000000" w:themeColor="text1"/>
                <w:spacing w:val="-1"/>
                <w:szCs w:val="21"/>
                <w:highlight w:val="none"/>
                <w:lang w:eastAsia="zh-CN"/>
              </w:rPr>
              <w:t>劳务</w:t>
            </w:r>
            <w:r>
              <w:rPr>
                <w:rFonts w:ascii="宋体" w:hAnsi="宋体" w:cs="宋体"/>
                <w:color w:val="000000" w:themeColor="text1"/>
                <w:spacing w:val="-1"/>
                <w:szCs w:val="21"/>
                <w:highlight w:val="none"/>
              </w:rPr>
              <w:t>公司被投诉人确认</w:t>
            </w:r>
          </w:p>
        </w:tc>
        <w:tc>
          <w:tcPr>
            <w:tcW w:w="4993" w:type="dxa"/>
            <w:gridSpan w:val="6"/>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noWrap w:val="0"/>
            <w:vAlign w:val="top"/>
          </w:tcPr>
          <w:p>
            <w:pPr>
              <w:spacing w:before="31" w:line="276" w:lineRule="auto"/>
              <w:ind w:firstLine="17"/>
              <w:rPr>
                <w:rFonts w:ascii="宋体" w:hAnsi="宋体" w:cs="宋体"/>
                <w:color w:val="000000" w:themeColor="text1"/>
                <w:szCs w:val="21"/>
                <w:highlight w:val="none"/>
              </w:rPr>
            </w:pPr>
            <w:r>
              <w:rPr>
                <w:rFonts w:hint="eastAsia" w:ascii="宋体" w:hAnsi="宋体" w:cs="宋体"/>
                <w:color w:val="000000" w:themeColor="text1"/>
                <w:spacing w:val="-1"/>
                <w:szCs w:val="21"/>
                <w:highlight w:val="none"/>
                <w:lang w:eastAsia="zh-CN"/>
              </w:rPr>
              <w:t>劳务</w:t>
            </w:r>
            <w:r>
              <w:rPr>
                <w:rFonts w:ascii="宋体" w:hAnsi="宋体" w:cs="宋体"/>
                <w:color w:val="000000" w:themeColor="text1"/>
                <w:spacing w:val="-1"/>
                <w:szCs w:val="21"/>
                <w:highlight w:val="none"/>
              </w:rPr>
              <w:t>公司项目负责人确认</w:t>
            </w:r>
          </w:p>
        </w:tc>
        <w:tc>
          <w:tcPr>
            <w:tcW w:w="4993" w:type="dxa"/>
            <w:gridSpan w:val="6"/>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noWrap w:val="0"/>
            <w:vAlign w:val="top"/>
          </w:tcPr>
          <w:p>
            <w:pPr>
              <w:spacing w:before="32"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管理员确认</w:t>
            </w:r>
          </w:p>
        </w:tc>
        <w:tc>
          <w:tcPr>
            <w:tcW w:w="4993" w:type="dxa"/>
            <w:gridSpan w:val="6"/>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41" w:type="dxa"/>
            <w:gridSpan w:val="2"/>
            <w:shd w:val="clear" w:color="auto" w:fill="FFFFFF"/>
            <w:noWrap w:val="0"/>
            <w:vAlign w:val="top"/>
          </w:tcPr>
          <w:p>
            <w:pPr>
              <w:spacing w:before="32"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负责人确认</w:t>
            </w:r>
          </w:p>
        </w:tc>
        <w:tc>
          <w:tcPr>
            <w:tcW w:w="4993" w:type="dxa"/>
            <w:gridSpan w:val="6"/>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2281" w:type="dxa"/>
            <w:tcBorders>
              <w:right w:val="single" w:color="auto" w:sz="4" w:space="0"/>
            </w:tcBorders>
            <w:noWrap w:val="0"/>
            <w:vAlign w:val="top"/>
          </w:tcPr>
          <w:p>
            <w:pPr>
              <w:spacing w:before="33" w:line="276" w:lineRule="auto"/>
              <w:ind w:firstLine="20"/>
              <w:rPr>
                <w:rFonts w:ascii="宋体" w:hAnsi="宋体" w:cs="宋体"/>
                <w:color w:val="000000" w:themeColor="text1"/>
                <w:szCs w:val="21"/>
                <w:highlight w:val="none"/>
              </w:rPr>
            </w:pPr>
            <w:r>
              <w:rPr>
                <w:rFonts w:ascii="宋体" w:hAnsi="宋体" w:cs="宋体"/>
                <w:color w:val="000000" w:themeColor="text1"/>
                <w:spacing w:val="-13"/>
                <w:szCs w:val="21"/>
                <w:highlight w:val="none"/>
              </w:rPr>
              <w:t>备注：</w:t>
            </w:r>
          </w:p>
        </w:tc>
        <w:tc>
          <w:tcPr>
            <w:tcW w:w="6153" w:type="dxa"/>
            <w:gridSpan w:val="7"/>
            <w:tcBorders>
              <w:left w:val="single" w:color="auto" w:sz="4" w:space="0"/>
            </w:tcBorders>
            <w:noWrap w:val="0"/>
            <w:vAlign w:val="top"/>
          </w:tcPr>
          <w:p>
            <w:pPr>
              <w:spacing w:line="276" w:lineRule="auto"/>
              <w:rPr>
                <w:rFonts w:ascii="宋体" w:hAnsi="宋体"/>
                <w:color w:val="000000" w:themeColor="text1"/>
                <w:szCs w:val="21"/>
                <w:highlight w:val="none"/>
              </w:rPr>
            </w:pPr>
          </w:p>
          <w:p>
            <w:pPr>
              <w:spacing w:before="69" w:line="276" w:lineRule="auto"/>
              <w:ind w:left="3697" w:right="1023" w:hanging="457"/>
              <w:rPr>
                <w:rFonts w:hint="eastAsia" w:ascii="宋体" w:hAnsi="宋体" w:cs="宋体"/>
                <w:color w:val="000000" w:themeColor="text1"/>
                <w:spacing w:val="-1"/>
                <w:szCs w:val="21"/>
                <w:highlight w:val="none"/>
                <w:lang w:eastAsia="zh-CN"/>
              </w:rPr>
            </w:pPr>
            <w:r>
              <w:rPr>
                <w:rFonts w:hint="eastAsia" w:ascii="宋体" w:hAnsi="宋体" w:cs="宋体"/>
                <w:color w:val="000000" w:themeColor="text1"/>
                <w:spacing w:val="-1"/>
                <w:szCs w:val="21"/>
                <w:highlight w:val="none"/>
                <w:lang w:eastAsia="zh-CN"/>
              </w:rPr>
              <w:t>办公室</w:t>
            </w:r>
          </w:p>
          <w:p>
            <w:pPr>
              <w:spacing w:before="69" w:line="276" w:lineRule="auto"/>
              <w:ind w:left="3697" w:right="1023" w:hanging="457"/>
              <w:rPr>
                <w:rFonts w:ascii="宋体" w:hAnsi="宋体" w:cs="宋体"/>
                <w:color w:val="000000" w:themeColor="text1"/>
                <w:szCs w:val="21"/>
                <w:highlight w:val="none"/>
              </w:rPr>
            </w:pPr>
            <w:r>
              <w:rPr>
                <w:rFonts w:ascii="宋体" w:hAnsi="宋体" w:cs="宋体"/>
                <w:color w:val="000000" w:themeColor="text1"/>
                <w:spacing w:val="-7"/>
                <w:szCs w:val="21"/>
                <w:highlight w:val="none"/>
              </w:rPr>
              <w:t>年</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 xml:space="preserve">  </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月</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 xml:space="preserve">   日</w:t>
            </w:r>
          </w:p>
        </w:tc>
      </w:tr>
    </w:tbl>
    <w:p>
      <w:pPr>
        <w:pStyle w:val="2"/>
        <w:rPr>
          <w:rFonts w:hint="eastAsia" w:ascii="宋体" w:hAnsi="宋体"/>
          <w:color w:val="000000" w:themeColor="text1"/>
          <w:sz w:val="21"/>
          <w:szCs w:val="21"/>
          <w:highlight w:val="none"/>
        </w:rPr>
      </w:pPr>
    </w:p>
    <w:p>
      <w:pPr>
        <w:pStyle w:val="2"/>
        <w:rPr>
          <w:rFonts w:hint="eastAsia" w:ascii="宋体" w:hAnsi="宋体"/>
          <w:color w:val="000000" w:themeColor="text1"/>
          <w:sz w:val="21"/>
          <w:szCs w:val="21"/>
          <w:highlight w:val="none"/>
        </w:rPr>
      </w:pPr>
    </w:p>
    <w:p>
      <w:pPr>
        <w:rPr>
          <w:rFonts w:hint="eastAsia"/>
          <w:color w:val="000000" w:themeColor="text1"/>
          <w:highlight w:val="none"/>
        </w:rPr>
      </w:pPr>
      <w:r>
        <w:rPr>
          <w:rFonts w:hint="eastAsia" w:ascii="宋体" w:hAnsi="宋体" w:eastAsia="宋体" w:cs="仿宋_GB2312"/>
          <w:color w:val="000000" w:themeColor="text1"/>
          <w:sz w:val="21"/>
          <w:szCs w:val="21"/>
          <w:highlight w:val="none"/>
        </w:rPr>
        <w:br w:type="page"/>
      </w:r>
    </w:p>
    <w:p>
      <w:pPr>
        <w:pStyle w:val="3"/>
        <w:numPr>
          <w:ilvl w:val="0"/>
          <w:numId w:val="0"/>
        </w:numPr>
        <w:spacing w:beforeLines="0" w:line="240" w:lineRule="auto"/>
        <w:rPr>
          <w:color w:val="000000" w:themeColor="text1"/>
          <w:highlight w:val="none"/>
        </w:rPr>
      </w:pPr>
      <w:bookmarkStart w:id="230" w:name="_Toc5443"/>
      <w:r>
        <w:rPr>
          <w:rFonts w:hint="eastAsia"/>
          <w:color w:val="000000" w:themeColor="text1"/>
          <w:highlight w:val="none"/>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230"/>
    </w:p>
    <w:p>
      <w:pPr>
        <w:pStyle w:val="4"/>
        <w:numPr>
          <w:ilvl w:val="1"/>
          <w:numId w:val="0"/>
        </w:numPr>
        <w:rPr>
          <w:rFonts w:hint="eastAsia"/>
          <w:color w:val="000000" w:themeColor="text1"/>
          <w:szCs w:val="21"/>
          <w:highlight w:val="none"/>
        </w:rPr>
      </w:pPr>
      <w:bookmarkStart w:id="231" w:name="_Toc434832495"/>
      <w:bookmarkStart w:id="232" w:name="_Toc456648358"/>
      <w:bookmarkStart w:id="233" w:name="_Toc456272919"/>
      <w:bookmarkStart w:id="234" w:name="_Toc17792"/>
      <w:r>
        <w:rPr>
          <w:rFonts w:hint="eastAsia"/>
          <w:color w:val="000000" w:themeColor="text1"/>
          <w:szCs w:val="21"/>
          <w:highlight w:val="none"/>
        </w:rPr>
        <w:t>投标人须知前附表</w:t>
      </w:r>
      <w:bookmarkEnd w:id="231"/>
      <w:bookmarkEnd w:id="232"/>
      <w:bookmarkEnd w:id="233"/>
      <w:bookmarkEnd w:id="234"/>
    </w:p>
    <w:tbl>
      <w:tblPr>
        <w:tblStyle w:val="46"/>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710"/>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pPr>
              <w:wordWrap/>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pPr>
              <w:wordWrap/>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pPr>
              <w:wordWrap/>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180"/>
              </w:tabs>
              <w:wordWrap/>
              <w:snapToGrid/>
              <w:spacing w:line="400" w:lineRule="exact"/>
              <w:jc w:val="center"/>
              <w:rPr>
                <w:rFonts w:ascii="宋体" w:hAnsi="宋体"/>
                <w:b/>
                <w:color w:val="000000" w:themeColor="text1"/>
                <w:szCs w:val="21"/>
                <w:highlight w:val="none"/>
              </w:rPr>
            </w:pPr>
            <w:r>
              <w:rPr>
                <w:rFonts w:ascii="宋体" w:hAnsi="宋体"/>
                <w:b/>
                <w:color w:val="000000" w:themeColor="text1"/>
                <w:szCs w:val="21"/>
                <w:highlight w:val="none"/>
              </w:rPr>
              <w:t>1</w:t>
            </w:r>
          </w:p>
        </w:tc>
        <w:tc>
          <w:tcPr>
            <w:tcW w:w="1856" w:type="dxa"/>
            <w:tcBorders>
              <w:top w:val="single" w:color="auto" w:sz="4" w:space="0"/>
              <w:left w:val="single" w:color="auto" w:sz="4" w:space="0"/>
              <w:bottom w:val="single" w:color="auto" w:sz="4" w:space="0"/>
              <w:right w:val="single" w:color="auto" w:sz="4" w:space="0"/>
            </w:tcBorders>
            <w:vAlign w:val="center"/>
          </w:tcPr>
          <w:p>
            <w:pPr>
              <w:wordWrap/>
              <w:snapToGrid/>
              <w:spacing w:line="400" w:lineRule="exact"/>
              <w:jc w:val="center"/>
              <w:rPr>
                <w:rFonts w:ascii="宋体" w:hAnsi="宋体"/>
                <w:color w:val="000000" w:themeColor="text1"/>
                <w:szCs w:val="21"/>
                <w:highlight w:val="none"/>
              </w:rPr>
            </w:pPr>
            <w:r>
              <w:rPr>
                <w:rFonts w:hint="eastAsia"/>
                <w:color w:val="000000" w:themeColor="text1"/>
                <w:highlight w:val="none"/>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rFonts w:hint="default" w:ascii="宋体" w:hAnsi="宋体" w:eastAsia="宋体"/>
                <w:color w:val="000000" w:themeColor="text1"/>
                <w:szCs w:val="21"/>
                <w:highlight w:val="none"/>
                <w:lang w:val="en-US" w:eastAsia="zh-CN"/>
              </w:rPr>
            </w:pPr>
            <w:r>
              <w:rPr>
                <w:rFonts w:hint="eastAsia" w:ascii="宋体"/>
                <w:bCs/>
                <w:color w:val="000000" w:themeColor="text1"/>
                <w:highlight w:val="none"/>
                <w:lang w:val="en-US" w:eastAsia="zh-CN"/>
              </w:rPr>
              <w:t>本项目的评标由依法组建的评标委员会负责，其成员由采购人代表和有关技术、经济等方面的专家共</w:t>
            </w:r>
            <w:r>
              <w:rPr>
                <w:rFonts w:hint="eastAsia" w:ascii="宋体"/>
                <w:bCs/>
                <w:color w:val="000000" w:themeColor="text1"/>
                <w:highlight w:val="none"/>
                <w:u w:val="single"/>
                <w:lang w:val="en-US" w:eastAsia="zh-CN"/>
              </w:rPr>
              <w:t>5</w:t>
            </w:r>
            <w:r>
              <w:rPr>
                <w:rFonts w:hint="eastAsia" w:ascii="宋体"/>
                <w:bCs/>
                <w:color w:val="000000" w:themeColor="text1"/>
                <w:highlight w:val="none"/>
                <w:lang w:val="en-US" w:eastAsia="zh-CN"/>
              </w:rPr>
              <w:t>人组成，其中采购人代表</w:t>
            </w:r>
            <w:r>
              <w:rPr>
                <w:rFonts w:hint="eastAsia" w:ascii="宋体"/>
                <w:bCs/>
                <w:color w:val="000000" w:themeColor="text1"/>
                <w:highlight w:val="none"/>
                <w:u w:val="single"/>
                <w:lang w:val="en-US" w:eastAsia="zh-CN"/>
              </w:rPr>
              <w:t>1</w:t>
            </w:r>
            <w:r>
              <w:rPr>
                <w:rFonts w:hint="eastAsia" w:ascii="宋体"/>
                <w:bCs/>
                <w:color w:val="000000" w:themeColor="text1"/>
                <w:highlight w:val="none"/>
                <w:lang w:val="en-US" w:eastAsia="zh-CN"/>
              </w:rPr>
              <w:t>人，技术、经济方面的专家</w:t>
            </w:r>
            <w:r>
              <w:rPr>
                <w:rFonts w:hint="eastAsia" w:ascii="宋体"/>
                <w:bCs/>
                <w:color w:val="000000" w:themeColor="text1"/>
                <w:highlight w:val="none"/>
                <w:u w:val="single"/>
                <w:lang w:val="en-US" w:eastAsia="zh-CN"/>
              </w:rPr>
              <w:t>4</w:t>
            </w:r>
            <w:r>
              <w:rPr>
                <w:rFonts w:hint="eastAsia" w:ascii="宋体"/>
                <w:bCs/>
                <w:color w:val="000000" w:themeColor="text1"/>
                <w:highlight w:val="none"/>
                <w:lang w:val="en-US" w:eastAsia="zh-CN"/>
              </w:rPr>
              <w:t>人组成，依法随机抽取，采购代理机构工作人员不作为评标委员会成员。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r>
              <w:rPr>
                <w:rFonts w:ascii="宋体" w:hAnsi="宋体"/>
                <w:b/>
                <w:bCs w:val="0"/>
                <w:color w:val="000000" w:themeColor="text1"/>
                <w:szCs w:val="21"/>
                <w:highlight w:val="none"/>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wordWrap/>
              <w:snapToGrid/>
              <w:spacing w:line="40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rPr>
              <w:t>投标资料数量和封装</w:t>
            </w:r>
            <w:r>
              <w:rPr>
                <w:rFonts w:hint="eastAsia" w:ascii="宋体" w:hAnsi="宋体"/>
                <w:color w:val="000000" w:themeColor="text1"/>
                <w:szCs w:val="21"/>
                <w:highlight w:val="none"/>
                <w:lang w:val="en-US" w:eastAsia="zh-CN"/>
              </w:rPr>
              <w:t>要求</w:t>
            </w:r>
          </w:p>
        </w:tc>
        <w:tc>
          <w:tcPr>
            <w:tcW w:w="1587" w:type="dxa"/>
            <w:vMerge w:val="restart"/>
            <w:tcBorders>
              <w:top w:val="single" w:color="auto" w:sz="4" w:space="0"/>
              <w:left w:val="single" w:color="auto" w:sz="4" w:space="0"/>
              <w:right w:val="single" w:color="auto" w:sz="4" w:space="0"/>
            </w:tcBorders>
            <w:vAlign w:val="center"/>
          </w:tcPr>
          <w:p>
            <w:pPr>
              <w:tabs>
                <w:tab w:val="left" w:pos="528"/>
                <w:tab w:val="left" w:pos="783"/>
              </w:tabs>
              <w:wordWrap/>
              <w:snapToGrid/>
              <w:spacing w:line="400" w:lineRule="exact"/>
              <w:jc w:val="both"/>
              <w:rPr>
                <w:rFonts w:hint="eastAsia" w:ascii="宋体" w:hAnsi="宋体" w:eastAsia="宋体" w:cs="宋体"/>
                <w:b/>
                <w:color w:val="000000" w:themeColor="text1"/>
                <w:szCs w:val="21"/>
                <w:highlight w:val="none"/>
                <w:shd w:val="pct10" w:color="auto" w:fill="FFFFFF"/>
              </w:rPr>
            </w:pPr>
            <w:r>
              <w:rPr>
                <w:rFonts w:hint="eastAsia" w:ascii="宋体" w:hAnsi="宋体" w:eastAsia="宋体" w:cs="宋体"/>
                <w:b/>
                <w:bCs/>
                <w:color w:val="000000" w:themeColor="text1"/>
                <w:szCs w:val="21"/>
                <w:highlight w:val="none"/>
                <w:lang w:val="en-US" w:eastAsia="zh-CN"/>
              </w:rPr>
              <w:t>共提供4份</w:t>
            </w:r>
            <w:r>
              <w:rPr>
                <w:rFonts w:hint="eastAsia" w:ascii="宋体" w:hAnsi="宋体" w:eastAsia="宋体" w:cs="宋体"/>
                <w:b/>
                <w:bCs/>
                <w:color w:val="000000" w:themeColor="text1"/>
                <w:szCs w:val="21"/>
                <w:highlight w:val="none"/>
              </w:rPr>
              <w:t>投标</w:t>
            </w:r>
            <w:r>
              <w:rPr>
                <w:rFonts w:hint="eastAsia" w:ascii="宋体" w:hAnsi="宋体" w:eastAsia="宋体" w:cs="宋体"/>
                <w:b/>
                <w:bCs/>
                <w:color w:val="000000" w:themeColor="text1"/>
                <w:szCs w:val="21"/>
                <w:highlight w:val="none"/>
                <w:lang w:val="en-US" w:eastAsia="zh-CN"/>
              </w:rPr>
              <w:t>资料，分别封装：</w:t>
            </w:r>
          </w:p>
        </w:tc>
        <w:tc>
          <w:tcPr>
            <w:tcW w:w="5449"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r>
              <w:rPr>
                <w:rFonts w:hint="eastAsia" w:ascii="宋体" w:hAnsi="宋体" w:eastAsia="宋体" w:cs="宋体"/>
                <w:b/>
                <w:bCs/>
                <w:color w:val="000000" w:themeColor="text1"/>
                <w:szCs w:val="21"/>
                <w:highlight w:val="none"/>
                <w:lang w:val="en-US" w:eastAsia="zh-CN"/>
              </w:rPr>
              <w:t>1、</w:t>
            </w:r>
            <w:r>
              <w:rPr>
                <w:rFonts w:hint="eastAsia" w:ascii="宋体" w:hAnsi="宋体" w:eastAsia="宋体" w:cs="宋体"/>
                <w:b/>
                <w:bCs/>
                <w:color w:val="000000" w:themeColor="text1"/>
                <w:szCs w:val="21"/>
                <w:highlight w:val="none"/>
              </w:rPr>
              <w:t>资格审查文件</w:t>
            </w:r>
            <w:r>
              <w:rPr>
                <w:rFonts w:hint="eastAsia" w:ascii="宋体" w:hAnsi="宋体" w:eastAsia="宋体" w:cs="宋体"/>
                <w:b/>
                <w:bCs/>
                <w:color w:val="000000" w:themeColor="text1"/>
                <w:szCs w:val="21"/>
                <w:highlight w:val="none"/>
                <w:lang w:eastAsia="zh-CN"/>
              </w:rPr>
              <w:t>。</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内含</w:t>
            </w:r>
            <w:r>
              <w:rPr>
                <w:rFonts w:hint="eastAsia" w:ascii="宋体" w:hAnsi="宋体" w:eastAsia="宋体" w:cs="宋体"/>
                <w:color w:val="000000" w:themeColor="text1"/>
                <w:highlight w:val="none"/>
                <w:u w:val="single"/>
                <w:lang w:val="en-US" w:eastAsia="zh-CN"/>
              </w:rPr>
              <w:t xml:space="preserve"> 1 </w:t>
            </w:r>
            <w:r>
              <w:rPr>
                <w:rFonts w:hint="eastAsia" w:ascii="宋体" w:hAnsi="宋体" w:eastAsia="宋体" w:cs="宋体"/>
                <w:color w:val="000000" w:themeColor="text1"/>
                <w:highlight w:val="none"/>
                <w:lang w:val="en-US" w:eastAsia="zh-CN"/>
              </w:rPr>
              <w:t>正</w:t>
            </w:r>
            <w:r>
              <w:rPr>
                <w:rFonts w:hint="eastAsia" w:ascii="宋体" w:hAnsi="宋体" w:eastAsia="宋体" w:cs="宋体"/>
                <w:color w:val="000000" w:themeColor="text1"/>
                <w:highlight w:val="none"/>
                <w:u w:val="single"/>
                <w:lang w:val="en-US" w:eastAsia="zh-CN"/>
              </w:rPr>
              <w:t xml:space="preserve"> 4 </w:t>
            </w:r>
            <w:r>
              <w:rPr>
                <w:rFonts w:hint="eastAsia" w:ascii="宋体" w:hAnsi="宋体" w:eastAsia="宋体" w:cs="宋体"/>
                <w:color w:val="000000" w:themeColor="text1"/>
                <w:highlight w:val="none"/>
                <w:lang w:val="en-US" w:eastAsia="zh-CN"/>
              </w:rPr>
              <w:t>副，</w:t>
            </w:r>
            <w:r>
              <w:rPr>
                <w:rFonts w:hint="eastAsia" w:ascii="宋体" w:hAnsi="宋体" w:eastAsia="宋体" w:cs="宋体"/>
                <w:bCs/>
                <w:color w:val="000000" w:themeColor="text1"/>
                <w:szCs w:val="21"/>
                <w:highlight w:val="none"/>
              </w:rPr>
              <w:t>独立装订成册</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vMerge w:val="continue"/>
            <w:tcBorders>
              <w:left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p>
        </w:tc>
        <w:tc>
          <w:tcPr>
            <w:tcW w:w="1856" w:type="dxa"/>
            <w:vMerge w:val="continue"/>
            <w:tcBorders>
              <w:left w:val="single" w:color="auto" w:sz="4" w:space="0"/>
              <w:right w:val="single" w:color="auto" w:sz="4" w:space="0"/>
            </w:tcBorders>
            <w:vAlign w:val="center"/>
          </w:tcPr>
          <w:p>
            <w:pPr>
              <w:wordWrap/>
              <w:snapToGrid/>
              <w:spacing w:line="400" w:lineRule="exact"/>
              <w:jc w:val="center"/>
              <w:rPr>
                <w:rFonts w:hint="eastAsia"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p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r>
              <w:rPr>
                <w:rFonts w:hint="eastAsia" w:ascii="宋体" w:hAnsi="宋体" w:eastAsia="宋体" w:cs="宋体"/>
                <w:b/>
                <w:bCs/>
                <w:color w:val="000000" w:themeColor="text1"/>
                <w:szCs w:val="21"/>
                <w:highlight w:val="none"/>
                <w:lang w:val="en-US" w:eastAsia="zh-CN"/>
              </w:rPr>
              <w:t>2、</w:t>
            </w:r>
            <w:r>
              <w:rPr>
                <w:rFonts w:hint="eastAsia" w:ascii="宋体" w:hAnsi="宋体" w:eastAsia="宋体" w:cs="宋体"/>
                <w:b/>
                <w:bCs/>
                <w:color w:val="000000" w:themeColor="text1"/>
                <w:szCs w:val="21"/>
                <w:highlight w:val="none"/>
              </w:rPr>
              <w:t>商务及技术文件</w:t>
            </w:r>
            <w:r>
              <w:rPr>
                <w:rFonts w:hint="eastAsia" w:ascii="宋体" w:hAnsi="宋体" w:eastAsia="宋体" w:cs="宋体"/>
                <w:b/>
                <w:bCs/>
                <w:color w:val="000000" w:themeColor="text1"/>
                <w:szCs w:val="21"/>
                <w:highlight w:val="none"/>
                <w:lang w:eastAsia="zh-CN"/>
              </w:rPr>
              <w:t>。</w:t>
            </w:r>
            <w:r>
              <w:rPr>
                <w:rFonts w:hint="eastAsia" w:ascii="宋体" w:hAnsi="宋体" w:eastAsia="宋体" w:cs="宋体"/>
                <w:color w:val="000000" w:themeColor="text1"/>
                <w:highlight w:val="none"/>
                <w:lang w:val="en-US" w:eastAsia="zh-CN"/>
              </w:rPr>
              <w:t>（内含</w:t>
            </w:r>
            <w:r>
              <w:rPr>
                <w:rFonts w:hint="eastAsia" w:ascii="宋体" w:hAnsi="宋体" w:eastAsia="宋体" w:cs="宋体"/>
                <w:color w:val="000000" w:themeColor="text1"/>
                <w:highlight w:val="none"/>
                <w:u w:val="single"/>
                <w:lang w:val="en-US" w:eastAsia="zh-CN"/>
              </w:rPr>
              <w:t xml:space="preserve"> 1 </w:t>
            </w:r>
            <w:r>
              <w:rPr>
                <w:rFonts w:hint="eastAsia" w:ascii="宋体" w:hAnsi="宋体" w:eastAsia="宋体" w:cs="宋体"/>
                <w:color w:val="000000" w:themeColor="text1"/>
                <w:highlight w:val="none"/>
                <w:lang w:val="en-US" w:eastAsia="zh-CN"/>
              </w:rPr>
              <w:t>正</w:t>
            </w:r>
            <w:r>
              <w:rPr>
                <w:rFonts w:hint="eastAsia" w:ascii="宋体" w:hAnsi="宋体" w:eastAsia="宋体" w:cs="宋体"/>
                <w:color w:val="000000" w:themeColor="text1"/>
                <w:highlight w:val="none"/>
                <w:u w:val="single"/>
                <w:lang w:val="en-US" w:eastAsia="zh-CN"/>
              </w:rPr>
              <w:t xml:space="preserve"> 4 </w:t>
            </w:r>
            <w:r>
              <w:rPr>
                <w:rFonts w:hint="eastAsia" w:ascii="宋体" w:hAnsi="宋体" w:eastAsia="宋体" w:cs="宋体"/>
                <w:color w:val="000000" w:themeColor="text1"/>
                <w:highlight w:val="none"/>
                <w:lang w:val="en-US" w:eastAsia="zh-CN"/>
              </w:rPr>
              <w:t>副，</w:t>
            </w:r>
            <w:r>
              <w:rPr>
                <w:rFonts w:hint="eastAsia" w:ascii="宋体" w:hAnsi="宋体" w:eastAsia="宋体" w:cs="宋体"/>
                <w:bCs/>
                <w:color w:val="000000" w:themeColor="text1"/>
                <w:szCs w:val="21"/>
                <w:highlight w:val="none"/>
              </w:rPr>
              <w:t>独立装订成册</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p>
        </w:tc>
        <w:tc>
          <w:tcPr>
            <w:tcW w:w="1856" w:type="dxa"/>
            <w:vMerge w:val="continue"/>
            <w:tcBorders>
              <w:left w:val="single" w:color="auto" w:sz="4" w:space="0"/>
              <w:right w:val="single" w:color="auto" w:sz="4" w:space="0"/>
            </w:tcBorders>
            <w:vAlign w:val="center"/>
          </w:tcPr>
          <w:p>
            <w:pPr>
              <w:wordWrap/>
              <w:snapToGrid/>
              <w:spacing w:line="400" w:lineRule="exact"/>
              <w:jc w:val="center"/>
              <w:rPr>
                <w:rFonts w:hint="eastAsia"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pPr>
              <w:numPr>
                <w:ilvl w:val="0"/>
                <w:numId w:val="24"/>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r>
              <w:rPr>
                <w:rFonts w:hint="eastAsia" w:ascii="宋体" w:hAnsi="宋体" w:eastAsia="宋体" w:cs="宋体"/>
                <w:b/>
                <w:bCs/>
                <w:color w:val="000000" w:themeColor="text1"/>
                <w:szCs w:val="21"/>
                <w:highlight w:val="none"/>
              </w:rPr>
              <w:t>开标信封</w:t>
            </w:r>
            <w:r>
              <w:rPr>
                <w:rFonts w:hint="eastAsia" w:ascii="宋体" w:hAnsi="宋体" w:eastAsia="宋体" w:cs="宋体"/>
                <w:b/>
                <w:bCs/>
                <w:color w:val="000000" w:themeColor="text1"/>
                <w:szCs w:val="21"/>
                <w:highlight w:val="none"/>
                <w:lang w:eastAsia="zh-CN"/>
              </w:rPr>
              <w:t>。</w:t>
            </w:r>
            <w:r>
              <w:rPr>
                <w:rFonts w:hint="eastAsia" w:ascii="宋体" w:hAnsi="宋体" w:eastAsia="宋体" w:cs="宋体"/>
                <w:color w:val="000000" w:themeColor="text1"/>
                <w:highlight w:val="none"/>
                <w:lang w:val="en-US" w:eastAsia="zh-CN"/>
              </w:rPr>
              <w:t>（内含“开标一览表”、“投标保证金”、“保证金退付书”、“法定代表人（负责人）证明书”和“法定代表人（负责人）授权书”</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p>
        </w:tc>
        <w:tc>
          <w:tcPr>
            <w:tcW w:w="1856" w:type="dxa"/>
            <w:vMerge w:val="continue"/>
            <w:tcBorders>
              <w:left w:val="single" w:color="auto" w:sz="4" w:space="0"/>
              <w:right w:val="single" w:color="auto" w:sz="4" w:space="0"/>
            </w:tcBorders>
            <w:vAlign w:val="center"/>
          </w:tcPr>
          <w:p>
            <w:pPr>
              <w:wordWrap/>
              <w:snapToGrid/>
              <w:spacing w:line="400" w:lineRule="exact"/>
              <w:jc w:val="center"/>
              <w:rPr>
                <w:rFonts w:hint="eastAsia"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r>
              <w:rPr>
                <w:rFonts w:hint="eastAsia" w:ascii="宋体" w:hAnsi="宋体" w:eastAsia="宋体" w:cs="宋体"/>
                <w:b/>
                <w:bCs/>
                <w:color w:val="000000" w:themeColor="text1"/>
                <w:szCs w:val="21"/>
                <w:highlight w:val="none"/>
                <w:lang w:val="en-US" w:eastAsia="zh-CN"/>
              </w:rPr>
              <w:t>4、</w:t>
            </w:r>
            <w:r>
              <w:rPr>
                <w:rFonts w:hint="eastAsia" w:ascii="宋体" w:hAnsi="宋体" w:eastAsia="宋体" w:cs="宋体"/>
                <w:b/>
                <w:bCs/>
                <w:color w:val="000000" w:themeColor="text1"/>
                <w:highlight w:val="none"/>
                <w:lang w:val="en-US" w:eastAsia="zh-CN"/>
              </w:rPr>
              <w:t>投标文件电子版。</w:t>
            </w:r>
            <w:r>
              <w:rPr>
                <w:rFonts w:hint="eastAsia" w:ascii="宋体" w:hAnsi="宋体" w:eastAsia="宋体" w:cs="宋体"/>
                <w:color w:val="000000" w:themeColor="text1"/>
                <w:highlight w:val="none"/>
                <w:lang w:val="en-US" w:eastAsia="zh-CN"/>
              </w:rPr>
              <w:t>（以光盘或U盘提供，内含PDF及可编辑的投标文件电子版1份，</w:t>
            </w:r>
            <w:r>
              <w:rPr>
                <w:rFonts w:hint="eastAsia" w:ascii="宋体" w:hAnsi="宋体" w:eastAsia="宋体" w:cs="宋体"/>
                <w:color w:val="000000" w:themeColor="text1"/>
                <w:szCs w:val="21"/>
                <w:highlight w:val="none"/>
              </w:rPr>
              <w:t>在封面上注明“</w:t>
            </w:r>
            <w:r>
              <w:rPr>
                <w:rFonts w:hint="eastAsia" w:ascii="宋体" w:hAnsi="宋体" w:eastAsia="宋体" w:cs="宋体"/>
                <w:color w:val="000000" w:themeColor="text1"/>
                <w:szCs w:val="21"/>
                <w:highlight w:val="none"/>
                <w:lang w:val="en-US" w:eastAsia="zh-CN"/>
              </w:rPr>
              <w:t>公司名称-</w:t>
            </w:r>
            <w:r>
              <w:rPr>
                <w:rFonts w:hint="eastAsia" w:ascii="宋体" w:hAnsi="宋体" w:eastAsia="宋体" w:cs="宋体"/>
                <w:color w:val="000000" w:themeColor="text1"/>
                <w:highlight w:val="none"/>
                <w:lang w:val="en-US" w:eastAsia="zh-CN"/>
              </w:rPr>
              <w:t>投标文件电子版</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p>
        </w:tc>
        <w:tc>
          <w:tcPr>
            <w:tcW w:w="1856" w:type="dxa"/>
            <w:vMerge w:val="continue"/>
            <w:tcBorders>
              <w:left w:val="single" w:color="auto" w:sz="4" w:space="0"/>
              <w:right w:val="single" w:color="auto" w:sz="4" w:space="0"/>
            </w:tcBorders>
            <w:vAlign w:val="center"/>
          </w:tcPr>
          <w:p>
            <w:pPr>
              <w:wordWrap/>
              <w:snapToGrid/>
              <w:spacing w:line="400" w:lineRule="exact"/>
              <w:jc w:val="center"/>
              <w:rPr>
                <w:rFonts w:hint="eastAsia"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color w:val="000000" w:themeColor="text1"/>
                <w:highlight w:val="none"/>
              </w:rPr>
            </w:pPr>
            <w:r>
              <w:rPr>
                <w:rFonts w:hint="eastAsia" w:ascii="宋体" w:hAnsi="宋体"/>
                <w:b/>
                <w:bCs w:val="0"/>
                <w:color w:val="000000" w:themeColor="text1"/>
                <w:szCs w:val="21"/>
                <w:highlight w:val="none"/>
                <w:lang w:val="en-US" w:eastAsia="zh-CN"/>
              </w:rPr>
              <w:t>所有投标资料</w:t>
            </w:r>
            <w:r>
              <w:rPr>
                <w:rFonts w:hint="eastAsia" w:ascii="宋体"/>
                <w:bCs/>
                <w:color w:val="000000" w:themeColor="text1"/>
                <w:szCs w:val="21"/>
                <w:highlight w:val="none"/>
              </w:rPr>
              <w:t>分别</w:t>
            </w:r>
            <w:r>
              <w:rPr>
                <w:rFonts w:hint="eastAsia" w:ascii="宋体" w:hAnsi="宋体"/>
                <w:bCs/>
                <w:color w:val="000000" w:themeColor="text1"/>
                <w:szCs w:val="21"/>
                <w:highlight w:val="none"/>
              </w:rPr>
              <w:t>密封在不透明的外层封装中，</w:t>
            </w:r>
            <w:r>
              <w:rPr>
                <w:rFonts w:hint="eastAsia"/>
                <w:color w:val="000000" w:themeColor="text1"/>
                <w:szCs w:val="21"/>
                <w:highlight w:val="none"/>
              </w:rPr>
              <w:t>封面需按招标文件封面格式要求标注并加盖公章。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center"/>
              <w:rPr>
                <w:rFonts w:ascii="宋体" w:hAnsi="宋体"/>
                <w:b/>
                <w:bCs w:val="0"/>
                <w:color w:val="000000" w:themeColor="text1"/>
                <w:szCs w:val="21"/>
                <w:highlight w:val="none"/>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left"/>
              <w:rPr>
                <w:rFonts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color w:val="000000" w:themeColor="text1"/>
                <w:highlight w:val="none"/>
              </w:rPr>
            </w:pPr>
            <w:r>
              <w:rPr>
                <w:rFonts w:hint="eastAsia" w:ascii="宋体"/>
                <w:bCs/>
                <w:color w:val="000000" w:themeColor="text1"/>
                <w:highlight w:val="none"/>
              </w:rPr>
              <w:t>每一密封封</w:t>
            </w:r>
            <w:r>
              <w:rPr>
                <w:rFonts w:hint="eastAsia" w:ascii="宋体"/>
                <w:bCs/>
                <w:color w:val="000000" w:themeColor="text1"/>
                <w:highlight w:val="none"/>
                <w:lang w:val="en-US" w:eastAsia="zh-CN"/>
              </w:rPr>
              <w:t>装</w:t>
            </w:r>
            <w:r>
              <w:rPr>
                <w:rFonts w:hint="eastAsia" w:ascii="宋体"/>
                <w:bCs/>
                <w:color w:val="000000" w:themeColor="text1"/>
                <w:highlight w:val="none"/>
              </w:rPr>
              <w:t>上均注明“于</w:t>
            </w:r>
            <w:r>
              <w:rPr>
                <w:rFonts w:hint="eastAsia" w:ascii="宋体"/>
                <w:bCs/>
                <w:color w:val="000000" w:themeColor="text1"/>
                <w:highlight w:val="none"/>
                <w:u w:val="single"/>
              </w:rPr>
              <w:t xml:space="preserve">     （投标截止时间）   </w:t>
            </w:r>
            <w:r>
              <w:rPr>
                <w:rFonts w:hint="eastAsia" w:ascii="宋体"/>
                <w:bCs/>
                <w:color w:val="000000" w:themeColor="text1"/>
                <w:highlight w:val="none"/>
              </w:rPr>
              <w:t>之前不准启封”的字样。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center"/>
              <w:rPr>
                <w:rFonts w:ascii="宋体" w:hAnsi="宋体"/>
                <w:b/>
                <w:bCs w:val="0"/>
                <w:color w:val="000000" w:themeColor="text1"/>
                <w:szCs w:val="21"/>
                <w:highlight w:val="none"/>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left"/>
              <w:rPr>
                <w:rFonts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rFonts w:ascii="宋体"/>
                <w:bCs/>
                <w:color w:val="000000" w:themeColor="text1"/>
                <w:highlight w:val="none"/>
              </w:rPr>
            </w:pPr>
            <w:r>
              <w:rPr>
                <w:rFonts w:hint="eastAsia" w:ascii="宋体"/>
                <w:bCs/>
                <w:color w:val="000000" w:themeColor="text1"/>
                <w:highlight w:val="none"/>
              </w:rPr>
              <w:t>投标人未按上述规定对投标文件进行密封和加写标记，</w:t>
            </w:r>
            <w:r>
              <w:rPr>
                <w:rFonts w:hint="eastAsia" w:ascii="宋体" w:hAnsi="宋体"/>
                <w:color w:val="000000" w:themeColor="text1"/>
                <w:highlight w:val="none"/>
              </w:rPr>
              <w:t>代理采购机构有权予以拒收，并退回给投标人。电报、电话、传真</w:t>
            </w:r>
            <w:r>
              <w:rPr>
                <w:rFonts w:hint="eastAsia" w:ascii="宋体"/>
                <w:bCs/>
                <w:color w:val="000000" w:themeColor="text1"/>
                <w:highlight w:val="none"/>
              </w:rPr>
              <w:t>等非纸质形式</w:t>
            </w:r>
            <w:r>
              <w:rPr>
                <w:rFonts w:hint="eastAsia" w:ascii="宋体" w:hAnsi="宋体"/>
                <w:color w:val="000000" w:themeColor="text1"/>
                <w:highlight w:val="none"/>
              </w:rPr>
              <w:t>的投标概不接受</w:t>
            </w:r>
            <w:r>
              <w:rPr>
                <w:rFonts w:hint="eastAsia" w:ascii="宋体"/>
                <w:bCs/>
                <w:color w:val="000000" w:themeColor="text1"/>
                <w:highlight w:val="none"/>
              </w:rPr>
              <w:t>。</w:t>
            </w:r>
            <w:r>
              <w:rPr>
                <w:b/>
                <w:bCs/>
                <w:color w:val="000000" w:themeColor="text1"/>
                <w:szCs w:val="21"/>
                <w:highlight w:val="none"/>
              </w:rPr>
              <w:t>所有投标文件密封袋的封口处应加盖投标人</w:t>
            </w:r>
            <w:r>
              <w:rPr>
                <w:rFonts w:hint="eastAsia"/>
                <w:b/>
                <w:bCs/>
                <w:color w:val="000000" w:themeColor="text1"/>
                <w:szCs w:val="21"/>
                <w:highlight w:val="none"/>
              </w:rPr>
              <w:t>公章或密封章。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center"/>
              <w:rPr>
                <w:rFonts w:hint="eastAsia" w:ascii="宋体" w:hAnsi="宋体" w:eastAsia="宋体" w:cs="宋体"/>
                <w:b/>
                <w:bCs w:val="0"/>
                <w:color w:val="000000" w:themeColor="text1"/>
                <w:szCs w:val="21"/>
                <w:highlight w:val="none"/>
              </w:rPr>
            </w:pPr>
            <w:r>
              <w:rPr>
                <w:rFonts w:hint="eastAsia" w:ascii="宋体" w:hAnsi="宋体" w:eastAsia="宋体" w:cs="宋体"/>
                <w:b/>
                <w:bCs w:val="0"/>
                <w:color w:val="000000" w:themeColor="text1"/>
                <w:szCs w:val="21"/>
                <w:highlight w:val="none"/>
              </w:rPr>
              <w:t>3</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pPr>
              <w:pStyle w:val="5"/>
              <w:numPr>
                <w:ilvl w:val="1"/>
                <w:numId w:val="20"/>
              </w:numPr>
              <w:tabs>
                <w:tab w:val="left" w:pos="26"/>
                <w:tab w:val="clear" w:pos="783"/>
              </w:tabs>
              <w:wordWrap/>
              <w:snapToGrid/>
              <w:spacing w:line="400" w:lineRule="exact"/>
              <w:ind w:left="26" w:firstLine="0"/>
              <w:jc w:val="both"/>
              <w:rPr>
                <w:b/>
                <w:color w:val="000000" w:themeColor="text1"/>
                <w:sz w:val="21"/>
                <w:szCs w:val="21"/>
                <w:highlight w:val="none"/>
              </w:rPr>
            </w:pPr>
            <w:r>
              <w:rPr>
                <w:rFonts w:hint="eastAsia"/>
                <w:b/>
                <w:color w:val="000000" w:themeColor="text1"/>
                <w:sz w:val="21"/>
                <w:szCs w:val="21"/>
                <w:highlight w:val="none"/>
              </w:rPr>
              <w:t>招标文件中打“★”号条款必须实质性响应，负偏离（不满足要求）将导致投标无效。</w:t>
            </w:r>
          </w:p>
          <w:p>
            <w:pPr>
              <w:pStyle w:val="5"/>
              <w:numPr>
                <w:ilvl w:val="0"/>
                <w:numId w:val="0"/>
              </w:numPr>
              <w:tabs>
                <w:tab w:val="left" w:pos="26"/>
              </w:tabs>
              <w:wordWrap/>
              <w:snapToGrid/>
              <w:spacing w:line="400" w:lineRule="exact"/>
              <w:ind w:left="26" w:leftChars="0"/>
              <w:jc w:val="both"/>
              <w:rPr>
                <w:bCs/>
                <w:color w:val="000000" w:themeColor="text1"/>
                <w:highlight w:val="none"/>
              </w:rPr>
            </w:pPr>
            <w:r>
              <w:rPr>
                <w:rFonts w:hint="eastAsia"/>
                <w:b/>
                <w:color w:val="000000" w:themeColor="text1"/>
                <w:sz w:val="21"/>
                <w:szCs w:val="21"/>
                <w:highlight w:val="none"/>
                <w:lang w:val="en-US" w:eastAsia="zh-CN"/>
              </w:rPr>
              <w:t>2、</w:t>
            </w:r>
            <w:r>
              <w:rPr>
                <w:rFonts w:hint="eastAsia"/>
                <w:b/>
                <w:color w:val="000000" w:themeColor="text1"/>
                <w:sz w:val="21"/>
                <w:szCs w:val="21"/>
                <w:highlight w:val="none"/>
              </w:rPr>
              <w:t>招标文件中带“▲”为实质性参数要求响应,负偏离（不满足要求）将导致严重扣分。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lang w:eastAsia="zh-CN"/>
              </w:rPr>
            </w:pPr>
            <w:r>
              <w:rPr>
                <w:rFonts w:hint="eastAsia" w:ascii="宋体" w:hAnsi="宋体" w:eastAsia="宋体" w:cs="宋体"/>
                <w:b/>
                <w:bCs w:val="0"/>
                <w:color w:val="000000" w:themeColor="text1"/>
                <w:highlight w:val="none"/>
                <w:lang w:val="en-US" w:eastAsia="zh-CN"/>
              </w:rPr>
              <w:t>4</w:t>
            </w:r>
          </w:p>
        </w:tc>
        <w:tc>
          <w:tcPr>
            <w:tcW w:w="1856"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投标保证金</w:t>
            </w:r>
          </w:p>
          <w:p>
            <w:pPr>
              <w:spacing w:line="3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（应当以支票、汇票、本票或者金融机构、担保机构出具的保函等非现金形式提交）。</w:t>
            </w:r>
          </w:p>
          <w:p>
            <w:pPr>
              <w:spacing w:line="300" w:lineRule="exact"/>
              <w:jc w:val="center"/>
              <w:rPr>
                <w:rFonts w:ascii="宋体" w:hAnsi="宋体"/>
                <w:color w:val="000000" w:themeColor="text1"/>
                <w:szCs w:val="21"/>
                <w:highlight w:val="none"/>
              </w:rPr>
            </w:pPr>
            <w:r>
              <w:rPr>
                <w:rFonts w:hint="eastAsia" w:ascii="宋体"/>
                <w:b/>
                <w:color w:val="000000" w:themeColor="text1"/>
                <w:highlight w:val="none"/>
              </w:rPr>
              <w:t>提交主体：必须以投标人自身名义提交，</w:t>
            </w:r>
            <w:r>
              <w:rPr>
                <w:rFonts w:hint="eastAsia" w:ascii="宋体" w:hAnsi="宋体"/>
                <w:color w:val="000000" w:themeColor="text1"/>
                <w:szCs w:val="21"/>
                <w:highlight w:val="none"/>
              </w:rPr>
              <w:t>应注明“</w:t>
            </w:r>
            <w:r>
              <w:rPr>
                <w:rFonts w:ascii="宋体" w:hAnsi="宋体"/>
                <w:b/>
                <w:color w:val="000000" w:themeColor="text1"/>
                <w:szCs w:val="21"/>
                <w:highlight w:val="none"/>
              </w:rPr>
              <w:t>（</w:t>
            </w:r>
            <w:r>
              <w:rPr>
                <w:rFonts w:hint="eastAsia" w:ascii="宋体" w:hAnsi="宋体"/>
                <w:b/>
                <w:color w:val="000000" w:themeColor="text1"/>
                <w:szCs w:val="21"/>
                <w:highlight w:val="none"/>
              </w:rPr>
              <w:t>项目编号）投标保证金</w:t>
            </w:r>
            <w:r>
              <w:rPr>
                <w:rFonts w:hint="eastAsia" w:ascii="宋体" w:hAnsi="宋体"/>
                <w:color w:val="000000" w:themeColor="text1"/>
                <w:szCs w:val="21"/>
                <w:highlight w:val="none"/>
              </w:rPr>
              <w:t>”。</w:t>
            </w:r>
          </w:p>
        </w:tc>
        <w:tc>
          <w:tcPr>
            <w:tcW w:w="22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保证金数额</w:t>
            </w:r>
          </w:p>
        </w:tc>
        <w:tc>
          <w:tcPr>
            <w:tcW w:w="47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316" w:hanging="316" w:hangingChars="150"/>
              <w:jc w:val="left"/>
              <w:rPr>
                <w:rFonts w:ascii="宋体" w:hAnsi="宋体"/>
                <w:b/>
                <w:color w:val="000000" w:themeColor="text1"/>
                <w:szCs w:val="21"/>
                <w:highlight w:val="none"/>
              </w:rPr>
            </w:pPr>
            <w:r>
              <w:rPr>
                <w:rFonts w:hint="eastAsia" w:ascii="宋体" w:hAnsi="宋体"/>
                <w:b/>
                <w:color w:val="000000" w:themeColor="text1"/>
                <w:szCs w:val="21"/>
                <w:highlight w:val="none"/>
              </w:rPr>
              <w:t>人民币</w:t>
            </w:r>
            <w:r>
              <w:rPr>
                <w:rFonts w:hint="eastAsia" w:ascii="宋体" w:hAnsi="宋体"/>
                <w:b/>
                <w:color w:val="000000" w:themeColor="text1"/>
                <w:szCs w:val="21"/>
                <w:highlight w:val="none"/>
                <w:lang w:val="en-US" w:eastAsia="zh-CN"/>
              </w:rPr>
              <w:t>柒万伍仟</w:t>
            </w:r>
            <w:r>
              <w:rPr>
                <w:rFonts w:hint="eastAsia" w:ascii="宋体" w:hAnsi="宋体"/>
                <w:b/>
                <w:color w:val="000000" w:themeColor="text1"/>
                <w:szCs w:val="21"/>
                <w:highlight w:val="none"/>
              </w:rPr>
              <w:t>元整（￥</w:t>
            </w:r>
            <w:r>
              <w:rPr>
                <w:rFonts w:hint="eastAsia" w:ascii="宋体" w:hAnsi="宋体"/>
                <w:b/>
                <w:color w:val="000000" w:themeColor="text1"/>
                <w:szCs w:val="21"/>
                <w:highlight w:val="none"/>
                <w:lang w:val="en-US" w:eastAsia="zh-CN"/>
              </w:rPr>
              <w:t>75</w:t>
            </w:r>
            <w:r>
              <w:rPr>
                <w:rFonts w:hint="eastAsia" w:ascii="宋体" w:hAnsi="宋体"/>
                <w:b/>
                <w:color w:val="000000" w:themeColor="text1"/>
                <w:szCs w:val="21"/>
                <w:highlight w:val="none"/>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rPr>
            </w:pPr>
          </w:p>
        </w:tc>
        <w:tc>
          <w:tcPr>
            <w:tcW w:w="1856" w:type="dxa"/>
            <w:vMerge w:val="continue"/>
            <w:tcBorders>
              <w:left w:val="single" w:color="auto" w:sz="4" w:space="0"/>
              <w:right w:val="single" w:color="auto" w:sz="4" w:space="0"/>
            </w:tcBorders>
            <w:vAlign w:val="center"/>
          </w:tcPr>
          <w:p>
            <w:pPr>
              <w:spacing w:line="300" w:lineRule="exact"/>
              <w:jc w:val="center"/>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开户名称</w:t>
            </w:r>
          </w:p>
        </w:tc>
        <w:tc>
          <w:tcPr>
            <w:tcW w:w="47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000000" w:themeColor="text1"/>
                <w:szCs w:val="21"/>
                <w:highlight w:val="none"/>
              </w:rPr>
            </w:pPr>
            <w:r>
              <w:rPr>
                <w:rFonts w:hint="eastAsia" w:ascii="宋体" w:hAnsi="宋体"/>
                <w:b/>
                <w:bCs/>
                <w:color w:val="000000" w:themeColor="text1"/>
                <w:szCs w:val="21"/>
                <w:highlight w:val="none"/>
              </w:rPr>
              <w:t>广东业信采购招标有限公司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rPr>
            </w:pPr>
          </w:p>
        </w:tc>
        <w:tc>
          <w:tcPr>
            <w:tcW w:w="1856" w:type="dxa"/>
            <w:vMerge w:val="continue"/>
            <w:tcBorders>
              <w:left w:val="single" w:color="auto" w:sz="4" w:space="0"/>
              <w:right w:val="single" w:color="auto" w:sz="4" w:space="0"/>
            </w:tcBorders>
            <w:vAlign w:val="center"/>
          </w:tcPr>
          <w:p>
            <w:pPr>
              <w:widowControl/>
              <w:spacing w:line="300" w:lineRule="exact"/>
              <w:jc w:val="left"/>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账    号</w:t>
            </w:r>
          </w:p>
        </w:tc>
        <w:tc>
          <w:tcPr>
            <w:tcW w:w="47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000000" w:themeColor="text1"/>
                <w:szCs w:val="21"/>
                <w:highlight w:val="none"/>
              </w:rPr>
            </w:pPr>
            <w:r>
              <w:rPr>
                <w:rFonts w:hint="eastAsia" w:ascii="宋体" w:hAnsi="宋体"/>
                <w:b/>
                <w:bCs/>
                <w:color w:val="000000" w:themeColor="text1"/>
                <w:szCs w:val="21"/>
                <w:highlight w:val="none"/>
              </w:rPr>
              <w:t>9550880202409700149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rPr>
            </w:pPr>
          </w:p>
        </w:tc>
        <w:tc>
          <w:tcPr>
            <w:tcW w:w="1856" w:type="dxa"/>
            <w:vMerge w:val="continue"/>
            <w:tcBorders>
              <w:left w:val="single" w:color="auto" w:sz="4" w:space="0"/>
              <w:right w:val="single" w:color="auto" w:sz="4" w:space="0"/>
            </w:tcBorders>
            <w:vAlign w:val="center"/>
          </w:tcPr>
          <w:p>
            <w:pPr>
              <w:widowControl/>
              <w:spacing w:line="300" w:lineRule="exact"/>
              <w:jc w:val="left"/>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开户银行</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
                <w:bCs/>
                <w:color w:val="000000" w:themeColor="text1"/>
                <w:szCs w:val="21"/>
                <w:highlight w:val="none"/>
              </w:rPr>
            </w:pPr>
            <w:r>
              <w:rPr>
                <w:rFonts w:hint="eastAsia" w:ascii="宋体" w:hAnsi="宋体"/>
                <w:b/>
                <w:bCs/>
                <w:color w:val="000000" w:themeColor="text1"/>
                <w:szCs w:val="21"/>
                <w:highlight w:val="none"/>
              </w:rPr>
              <w:t xml:space="preserve">广发银行阳江江城支行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rPr>
            </w:pPr>
          </w:p>
        </w:tc>
        <w:tc>
          <w:tcPr>
            <w:tcW w:w="18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Cs/>
                <w:color w:val="000000" w:themeColor="text1"/>
                <w:szCs w:val="21"/>
                <w:highlight w:val="none"/>
              </w:rPr>
            </w:pPr>
            <w:r>
              <w:rPr>
                <w:rFonts w:hint="eastAsia" w:ascii="宋体" w:hAnsi="宋体"/>
                <w:color w:val="000000" w:themeColor="text1"/>
                <w:szCs w:val="21"/>
                <w:highlight w:val="none"/>
              </w:rPr>
              <w:t>交纳时间</w:t>
            </w:r>
          </w:p>
        </w:tc>
        <w:tc>
          <w:tcPr>
            <w:tcW w:w="4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bCs/>
                <w:color w:val="000000" w:themeColor="text1"/>
                <w:szCs w:val="21"/>
                <w:highlight w:val="none"/>
              </w:rPr>
            </w:pPr>
            <w:r>
              <w:rPr>
                <w:rFonts w:hint="eastAsia" w:ascii="宋体" w:hAnsi="宋体"/>
                <w:color w:val="000000" w:themeColor="text1"/>
                <w:szCs w:val="21"/>
                <w:highlight w:val="none"/>
              </w:rPr>
              <w:t>投标保证金作为供应商投标的组成部分，与投标文件一同递交。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lang w:eastAsia="zh-CN"/>
              </w:rPr>
            </w:pPr>
            <w:r>
              <w:rPr>
                <w:rFonts w:hint="eastAsia" w:ascii="宋体" w:hAnsi="宋体" w:eastAsia="宋体" w:cs="宋体"/>
                <w:b/>
                <w:bCs w:val="0"/>
                <w:color w:val="000000" w:themeColor="text1"/>
                <w:highlight w:val="none"/>
                <w:lang w:val="en-US" w:eastAsia="zh-CN"/>
              </w:rPr>
              <w:t>5</w:t>
            </w:r>
          </w:p>
        </w:tc>
        <w:tc>
          <w:tcPr>
            <w:tcW w:w="1856"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中标服务费</w:t>
            </w:r>
          </w:p>
          <w:p>
            <w:pPr>
              <w:spacing w:line="300" w:lineRule="exact"/>
              <w:jc w:val="center"/>
              <w:rPr>
                <w:rFonts w:ascii="宋体" w:hAnsi="宋体"/>
                <w:color w:val="000000" w:themeColor="text1"/>
                <w:szCs w:val="21"/>
                <w:highlight w:val="none"/>
              </w:rPr>
            </w:pPr>
            <w:r>
              <w:rPr>
                <w:rFonts w:hint="eastAsia" w:ascii="宋体" w:hAnsi="宋体"/>
                <w:bCs/>
                <w:color w:val="000000" w:themeColor="text1"/>
                <w:szCs w:val="21"/>
                <w:highlight w:val="none"/>
              </w:rPr>
              <w:t>（以银行转账、电汇方式提交）</w:t>
            </w: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color w:val="000000" w:themeColor="text1"/>
                <w:szCs w:val="21"/>
                <w:highlight w:val="none"/>
              </w:rPr>
              <w:t>收费标准：</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Cs/>
                <w:color w:val="000000" w:themeColor="text1"/>
                <w:szCs w:val="21"/>
                <w:highlight w:val="none"/>
              </w:rPr>
            </w:pPr>
            <w:r>
              <w:rPr>
                <w:rFonts w:hint="eastAsia" w:ascii="宋体" w:hAnsi="宋体"/>
                <w:bCs/>
                <w:color w:val="000000" w:themeColor="text1"/>
                <w:szCs w:val="21"/>
                <w:highlight w:val="none"/>
                <w:lang w:val="en-US" w:eastAsia="zh-CN"/>
              </w:rPr>
              <w:t>参考</w:t>
            </w:r>
            <w:r>
              <w:rPr>
                <w:rFonts w:hint="eastAsia" w:ascii="宋体" w:hAnsi="宋体"/>
                <w:bCs/>
                <w:color w:val="000000" w:themeColor="text1"/>
                <w:szCs w:val="21"/>
                <w:highlight w:val="none"/>
              </w:rPr>
              <w:t>发改价格[2011]534号文的规定</w:t>
            </w:r>
            <w:r>
              <w:rPr>
                <w:rFonts w:hint="eastAsia" w:ascii="宋体" w:hAnsi="宋体"/>
                <w:color w:val="000000" w:themeColor="text1"/>
                <w:szCs w:val="21"/>
                <w:highlight w:val="none"/>
              </w:rPr>
              <w:t>，招标代理服务费</w:t>
            </w:r>
            <w:r>
              <w:rPr>
                <w:rFonts w:hint="eastAsia" w:ascii="宋体" w:hAnsi="宋体"/>
                <w:color w:val="000000" w:themeColor="text1"/>
                <w:szCs w:val="21"/>
                <w:highlight w:val="none"/>
                <w:lang w:val="en-US" w:eastAsia="zh-CN"/>
              </w:rPr>
              <w:t>根据项目预算金额</w:t>
            </w:r>
            <w:r>
              <w:rPr>
                <w:rFonts w:hint="eastAsia" w:ascii="宋体" w:hAnsi="宋体"/>
                <w:color w:val="000000" w:themeColor="text1"/>
                <w:szCs w:val="21"/>
                <w:highlight w:val="none"/>
              </w:rPr>
              <w:t>按差额定率累进法计算。中标服务费由中标人在领取中标通知书前以银行转账方式一次性支付。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color w:val="000000" w:themeColor="text1"/>
                <w:highlight w:val="none"/>
              </w:rPr>
            </w:pPr>
          </w:p>
        </w:tc>
        <w:tc>
          <w:tcPr>
            <w:tcW w:w="1856" w:type="dxa"/>
            <w:vMerge w:val="continue"/>
            <w:tcBorders>
              <w:left w:val="single" w:color="auto" w:sz="4" w:space="0"/>
              <w:right w:val="single" w:color="auto" w:sz="4" w:space="0"/>
            </w:tcBorders>
            <w:vAlign w:val="center"/>
          </w:tcPr>
          <w:p>
            <w:pPr>
              <w:spacing w:line="300" w:lineRule="exact"/>
              <w:jc w:val="center"/>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开户名称</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Cs/>
                <w:color w:val="000000" w:themeColor="text1"/>
                <w:szCs w:val="21"/>
                <w:highlight w:val="none"/>
              </w:rPr>
            </w:pPr>
            <w:r>
              <w:rPr>
                <w:rFonts w:hint="eastAsia" w:ascii="宋体" w:hAnsi="宋体"/>
                <w:b/>
                <w:bCs/>
                <w:color w:val="000000" w:themeColor="text1"/>
                <w:szCs w:val="21"/>
                <w:highlight w:val="none"/>
              </w:rPr>
              <w:t>广东业信采购招标有限公司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color w:val="000000" w:themeColor="text1"/>
                <w:highlight w:val="none"/>
              </w:rPr>
            </w:pPr>
          </w:p>
        </w:tc>
        <w:tc>
          <w:tcPr>
            <w:tcW w:w="1856" w:type="dxa"/>
            <w:vMerge w:val="continue"/>
            <w:tcBorders>
              <w:left w:val="single" w:color="auto" w:sz="4" w:space="0"/>
              <w:right w:val="single" w:color="auto" w:sz="4" w:space="0"/>
            </w:tcBorders>
            <w:vAlign w:val="center"/>
          </w:tcPr>
          <w:p>
            <w:pPr>
              <w:spacing w:line="300" w:lineRule="exact"/>
              <w:jc w:val="center"/>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账    号</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Cs/>
                <w:color w:val="000000" w:themeColor="text1"/>
                <w:szCs w:val="21"/>
                <w:highlight w:val="none"/>
              </w:rPr>
            </w:pPr>
            <w:r>
              <w:rPr>
                <w:rFonts w:hint="eastAsia" w:ascii="宋体" w:hAnsi="宋体"/>
                <w:b/>
                <w:bCs/>
                <w:color w:val="000000" w:themeColor="text1"/>
                <w:szCs w:val="21"/>
                <w:highlight w:val="none"/>
              </w:rPr>
              <w:t>44547801040002249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themeColor="text1"/>
                <w:highlight w:val="none"/>
              </w:rPr>
            </w:pPr>
          </w:p>
        </w:tc>
        <w:tc>
          <w:tcPr>
            <w:tcW w:w="1856"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开户银行</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Cs/>
                <w:color w:val="000000" w:themeColor="text1"/>
                <w:szCs w:val="21"/>
                <w:highlight w:val="none"/>
              </w:rPr>
            </w:pPr>
            <w:r>
              <w:rPr>
                <w:rFonts w:hint="eastAsia" w:ascii="宋体" w:hAnsi="宋体"/>
                <w:b/>
                <w:bCs/>
                <w:color w:val="000000" w:themeColor="text1"/>
                <w:szCs w:val="21"/>
                <w:highlight w:val="none"/>
              </w:rPr>
              <w:t>中国农业银行股份有限公司阳江</w:t>
            </w:r>
            <w:r>
              <w:rPr>
                <w:rFonts w:hint="eastAsia" w:ascii="宋体" w:hAnsi="宋体"/>
                <w:b/>
                <w:bCs/>
                <w:color w:val="000000" w:themeColor="text1"/>
                <w:szCs w:val="21"/>
                <w:highlight w:val="none"/>
                <w:lang w:val="en-US" w:eastAsia="zh-CN"/>
              </w:rPr>
              <w:t>江城</w:t>
            </w:r>
            <w:r>
              <w:rPr>
                <w:rFonts w:hint="eastAsia" w:ascii="宋体" w:hAnsi="宋体"/>
                <w:b/>
                <w:bCs/>
                <w:color w:val="000000" w:themeColor="text1"/>
                <w:szCs w:val="21"/>
                <w:highlight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Merge w:val="restart"/>
            <w:tcBorders>
              <w:top w:val="single" w:color="auto" w:sz="4" w:space="0"/>
              <w:left w:val="single" w:color="auto" w:sz="4" w:space="0"/>
              <w:right w:val="single" w:color="auto" w:sz="4" w:space="0"/>
            </w:tcBorders>
            <w:vAlign w:val="center"/>
          </w:tcPr>
          <w:p>
            <w:pPr>
              <w:widowControl/>
              <w:wordWrap/>
              <w:snapToGrid/>
              <w:spacing w:line="400" w:lineRule="exact"/>
              <w:jc w:val="center"/>
              <w:rPr>
                <w:rFonts w:hint="eastAsia" w:ascii="宋体" w:hAnsi="宋体" w:eastAsia="宋体"/>
                <w:b/>
                <w:color w:val="000000" w:themeColor="text1"/>
                <w:szCs w:val="21"/>
                <w:highlight w:val="none"/>
                <w:lang w:eastAsia="zh-CN"/>
              </w:rPr>
            </w:pPr>
            <w:r>
              <w:rPr>
                <w:rFonts w:hint="eastAsia" w:ascii="宋体" w:hAnsi="宋体"/>
                <w:b/>
                <w:color w:val="000000" w:themeColor="text1"/>
                <w:szCs w:val="21"/>
                <w:highlight w:val="none"/>
                <w:lang w:val="en-US" w:eastAsia="zh-CN"/>
              </w:rPr>
              <w:t>6</w:t>
            </w:r>
          </w:p>
        </w:tc>
        <w:tc>
          <w:tcPr>
            <w:tcW w:w="1856" w:type="dxa"/>
            <w:vMerge w:val="restart"/>
            <w:tcBorders>
              <w:top w:val="single" w:color="auto" w:sz="4" w:space="0"/>
              <w:left w:val="single" w:color="auto" w:sz="4" w:space="0"/>
              <w:right w:val="single" w:color="auto" w:sz="4" w:space="0"/>
            </w:tcBorders>
            <w:vAlign w:val="center"/>
          </w:tcPr>
          <w:p>
            <w:pPr>
              <w:widowControl/>
              <w:wordWrap/>
              <w:snapToGrid/>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信息公告媒体</w:t>
            </w:r>
          </w:p>
        </w:tc>
        <w:tc>
          <w:tcPr>
            <w:tcW w:w="2297" w:type="dxa"/>
            <w:gridSpan w:val="2"/>
            <w:tcBorders>
              <w:top w:val="single" w:color="auto" w:sz="4" w:space="0"/>
              <w:left w:val="single" w:color="auto" w:sz="4" w:space="0"/>
              <w:right w:val="single" w:color="auto" w:sz="4" w:space="0"/>
            </w:tcBorders>
            <w:vAlign w:val="center"/>
          </w:tcPr>
          <w:p>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中国政府采购网</w:t>
            </w:r>
          </w:p>
        </w:tc>
        <w:tc>
          <w:tcPr>
            <w:tcW w:w="47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Cs w:val="21"/>
                <w:highlight w:val="none"/>
              </w:rPr>
            </w:pPr>
            <w:r>
              <w:rPr>
                <w:rFonts w:ascii="宋体" w:hAnsi="宋体"/>
                <w:color w:val="000000" w:themeColor="text1"/>
                <w:szCs w:val="21"/>
                <w:highlight w:val="none"/>
              </w:rPr>
              <w:t>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vMerge w:val="continue"/>
            <w:tcBorders>
              <w:left w:val="single" w:color="auto" w:sz="4" w:space="0"/>
              <w:right w:val="single" w:color="auto" w:sz="4" w:space="0"/>
            </w:tcBorders>
            <w:vAlign w:val="center"/>
          </w:tcPr>
          <w:p>
            <w:pPr>
              <w:widowControl/>
              <w:wordWrap/>
              <w:snapToGrid/>
              <w:spacing w:line="400" w:lineRule="exact"/>
              <w:jc w:val="left"/>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pPr>
              <w:widowControl/>
              <w:wordWrap/>
              <w:snapToGrid/>
              <w:spacing w:line="400" w:lineRule="exact"/>
              <w:jc w:val="left"/>
              <w:rPr>
                <w:rFonts w:ascii="宋体" w:hAnsi="宋体"/>
                <w:color w:val="000000" w:themeColor="text1"/>
                <w:szCs w:val="21"/>
                <w:highlight w:val="none"/>
              </w:rPr>
            </w:pPr>
          </w:p>
        </w:tc>
        <w:tc>
          <w:tcPr>
            <w:tcW w:w="2297" w:type="dxa"/>
            <w:gridSpan w:val="2"/>
            <w:vMerge w:val="restart"/>
            <w:tcBorders>
              <w:top w:val="single" w:color="auto" w:sz="4" w:space="0"/>
              <w:left w:val="single" w:color="auto" w:sz="4" w:space="0"/>
              <w:right w:val="single" w:color="auto" w:sz="4" w:space="0"/>
            </w:tcBorders>
            <w:vAlign w:val="center"/>
          </w:tcPr>
          <w:p>
            <w:pPr>
              <w:wordWrap/>
              <w:snapToGrid/>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广东业信采购招标有限公司网</w:t>
            </w:r>
          </w:p>
        </w:tc>
        <w:tc>
          <w:tcPr>
            <w:tcW w:w="4739" w:type="dxa"/>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rFonts w:ascii="宋体" w:hAnsi="宋体"/>
                <w:color w:val="000000" w:themeColor="text1"/>
                <w:szCs w:val="21"/>
                <w:highlight w:val="none"/>
              </w:rPr>
            </w:pP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lang w:val="en-US" w:eastAsia="zh-CN"/>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Merge w:val="continue"/>
            <w:tcBorders>
              <w:left w:val="single" w:color="auto" w:sz="4" w:space="0"/>
              <w:right w:val="single" w:color="auto" w:sz="4" w:space="0"/>
            </w:tcBorders>
            <w:vAlign w:val="center"/>
          </w:tcPr>
          <w:p>
            <w:pPr>
              <w:widowControl/>
              <w:wordWrap/>
              <w:snapToGrid/>
              <w:spacing w:line="400" w:lineRule="exact"/>
              <w:jc w:val="left"/>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pPr>
              <w:widowControl/>
              <w:wordWrap/>
              <w:snapToGrid/>
              <w:spacing w:line="400" w:lineRule="exact"/>
              <w:jc w:val="left"/>
              <w:rPr>
                <w:rFonts w:ascii="宋体" w:hAnsi="宋体"/>
                <w:color w:val="000000" w:themeColor="text1"/>
                <w:szCs w:val="21"/>
                <w:highlight w:val="none"/>
              </w:rPr>
            </w:pPr>
          </w:p>
        </w:tc>
        <w:tc>
          <w:tcPr>
            <w:tcW w:w="2297" w:type="dxa"/>
            <w:gridSpan w:val="2"/>
            <w:vMerge w:val="continue"/>
            <w:tcBorders>
              <w:left w:val="single" w:color="auto" w:sz="4" w:space="0"/>
              <w:bottom w:val="single" w:color="auto" w:sz="4" w:space="0"/>
              <w:right w:val="single" w:color="auto" w:sz="4" w:space="0"/>
            </w:tcBorders>
            <w:vAlign w:val="center"/>
          </w:tcPr>
          <w:p>
            <w:pPr>
              <w:wordWrap/>
              <w:snapToGrid/>
              <w:spacing w:line="400" w:lineRule="exact"/>
              <w:rPr>
                <w:rFonts w:hint="eastAsia" w:ascii="宋体" w:hAnsi="宋体"/>
                <w:color w:val="000000" w:themeColor="text1"/>
                <w:szCs w:val="21"/>
                <w:highlight w:val="none"/>
              </w:rPr>
            </w:pPr>
          </w:p>
        </w:tc>
        <w:tc>
          <w:tcPr>
            <w:tcW w:w="4739" w:type="dxa"/>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rFonts w:hint="eastAsia" w:ascii="宋体" w:hAnsi="宋体"/>
                <w:color w:val="000000" w:themeColor="text1"/>
                <w:szCs w:val="21"/>
                <w:highlight w:val="none"/>
              </w:rPr>
            </w:pPr>
            <w:r>
              <w:rPr>
                <w:rFonts w:hint="eastAsia" w:ascii="宋体" w:hAnsi="宋体"/>
                <w:color w:val="000000" w:themeColor="text1"/>
                <w:szCs w:val="21"/>
                <w:highlight w:val="none"/>
              </w:rPr>
              <w:t>http://www.yjcg.cc</w:t>
            </w:r>
          </w:p>
        </w:tc>
      </w:tr>
    </w:tbl>
    <w:p>
      <w:pPr>
        <w:pStyle w:val="5"/>
        <w:ind w:left="0" w:leftChars="0" w:firstLine="0" w:firstLineChars="0"/>
        <w:rPr>
          <w:rFonts w:hint="eastAsia"/>
          <w:color w:val="000000" w:themeColor="text1"/>
          <w:szCs w:val="21"/>
          <w:highlight w:val="none"/>
        </w:rPr>
      </w:pPr>
    </w:p>
    <w:p>
      <w:pPr>
        <w:pStyle w:val="5"/>
        <w:ind w:left="0" w:leftChars="0" w:firstLine="0" w:firstLineChars="0"/>
        <w:rPr>
          <w:rFonts w:hint="eastAsia"/>
          <w:color w:val="000000" w:themeColor="text1"/>
          <w:szCs w:val="21"/>
          <w:highlight w:val="none"/>
        </w:rPr>
      </w:pPr>
    </w:p>
    <w:p>
      <w:pPr>
        <w:rPr>
          <w:rFonts w:hint="eastAsia"/>
          <w:color w:val="000000" w:themeColor="text1"/>
          <w:sz w:val="24"/>
          <w:highlight w:val="none"/>
        </w:rPr>
      </w:pPr>
      <w:bookmarkStart w:id="235" w:name="_Hlt21938665"/>
      <w:bookmarkEnd w:id="235"/>
      <w:bookmarkStart w:id="236" w:name="_Hlt21938668"/>
      <w:bookmarkEnd w:id="236"/>
      <w:bookmarkStart w:id="237" w:name="_Toc336681548"/>
      <w:bookmarkStart w:id="238" w:name="_Toc331684006"/>
      <w:bookmarkStart w:id="239" w:name="_Toc333935314"/>
      <w:bookmarkStart w:id="240" w:name="_Toc333238601"/>
      <w:bookmarkStart w:id="241" w:name="_Toc366072496"/>
      <w:bookmarkStart w:id="242" w:name="_Toc497224194"/>
      <w:bookmarkStart w:id="243" w:name="_Toc331512866"/>
      <w:bookmarkStart w:id="244" w:name="_Toc342296728"/>
      <w:bookmarkStart w:id="245" w:name="_Toc342060342"/>
      <w:bookmarkStart w:id="246" w:name="_Toc330459953"/>
      <w:bookmarkStart w:id="247" w:name="_Toc340677038"/>
      <w:bookmarkStart w:id="248" w:name="_Toc340507410"/>
      <w:bookmarkStart w:id="249" w:name="_Toc332206676"/>
      <w:bookmarkStart w:id="250" w:name="_Toc349143557"/>
      <w:bookmarkStart w:id="251" w:name="_Toc350756418"/>
      <w:bookmarkStart w:id="252" w:name="_Toc349127594"/>
      <w:bookmarkStart w:id="253" w:name="_Toc336681903"/>
      <w:bookmarkStart w:id="254" w:name="_Toc345513835"/>
      <w:bookmarkStart w:id="255" w:name="_Toc341348306"/>
      <w:bookmarkStart w:id="256" w:name="_Toc339441055"/>
      <w:bookmarkStart w:id="257" w:name="_Toc339020201"/>
      <w:bookmarkStart w:id="258" w:name="_Toc339019857"/>
      <w:bookmarkStart w:id="259" w:name="_Toc332270314"/>
      <w:bookmarkStart w:id="260" w:name="_Toc365967041"/>
      <w:bookmarkStart w:id="261" w:name="_Toc337632326"/>
      <w:bookmarkStart w:id="262" w:name="_Toc350438717"/>
      <w:bookmarkStart w:id="263" w:name="_Toc339362268"/>
      <w:bookmarkStart w:id="264" w:name="_Toc333237645"/>
      <w:bookmarkStart w:id="265" w:name="_Toc333935655"/>
      <w:bookmarkStart w:id="266" w:name="_Toc503785396"/>
      <w:bookmarkStart w:id="267" w:name="_Toc339019983"/>
      <w:bookmarkStart w:id="268" w:name="_Toc333237756"/>
      <w:bookmarkStart w:id="269" w:name="_Toc365985147"/>
      <w:bookmarkStart w:id="270" w:name="_Toc340672837"/>
      <w:bookmarkStart w:id="271" w:name="_Toc339020063"/>
      <w:r>
        <w:rPr>
          <w:rFonts w:hint="eastAsia"/>
          <w:color w:val="000000" w:themeColor="text1"/>
          <w:sz w:val="24"/>
          <w:highlight w:val="none"/>
        </w:rPr>
        <w:br w:type="page"/>
      </w:r>
    </w:p>
    <w:p>
      <w:pPr>
        <w:pStyle w:val="4"/>
        <w:numPr>
          <w:ilvl w:val="1"/>
          <w:numId w:val="0"/>
        </w:numPr>
        <w:rPr>
          <w:color w:val="000000" w:themeColor="text1"/>
          <w:sz w:val="24"/>
          <w:highlight w:val="none"/>
        </w:rPr>
      </w:pPr>
      <w:bookmarkStart w:id="272" w:name="_Toc11426"/>
      <w:r>
        <w:rPr>
          <w:rFonts w:hint="eastAsia"/>
          <w:color w:val="000000" w:themeColor="text1"/>
          <w:sz w:val="24"/>
          <w:highlight w:val="none"/>
        </w:rPr>
        <w:t>Ａ说明</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6"/>
        <w:numPr>
          <w:ilvl w:val="4"/>
          <w:numId w:val="25"/>
        </w:numPr>
        <w:tabs>
          <w:tab w:val="left" w:pos="720"/>
        </w:tabs>
        <w:spacing w:before="240" w:after="120"/>
        <w:ind w:left="2432" w:hanging="2432"/>
        <w:rPr>
          <w:color w:val="000000" w:themeColor="text1"/>
          <w:highlight w:val="none"/>
        </w:rPr>
      </w:pPr>
      <w:bookmarkStart w:id="273" w:name="_Toc503785397"/>
      <w:bookmarkStart w:id="274" w:name="_Toc497224195"/>
      <w:bookmarkStart w:id="275" w:name="_Toc339019984"/>
      <w:bookmarkStart w:id="276" w:name="_Toc339019858"/>
      <w:bookmarkStart w:id="277" w:name="_Toc339362269"/>
      <w:bookmarkStart w:id="278" w:name="_Toc366072497"/>
      <w:bookmarkStart w:id="279" w:name="_Toc332270315"/>
      <w:bookmarkStart w:id="280" w:name="_Toc339020202"/>
      <w:bookmarkStart w:id="281" w:name="_Toc342060343"/>
      <w:bookmarkStart w:id="282" w:name="_Toc349143558"/>
      <w:bookmarkStart w:id="283" w:name="_Toc333935315"/>
      <w:bookmarkStart w:id="284" w:name="_Toc345513836"/>
      <w:bookmarkStart w:id="285" w:name="_Toc339441056"/>
      <w:bookmarkStart w:id="286" w:name="_Toc332206677"/>
      <w:bookmarkStart w:id="287" w:name="_Toc331684007"/>
      <w:bookmarkStart w:id="288" w:name="_Toc365985148"/>
      <w:bookmarkStart w:id="289" w:name="_Toc339020064"/>
      <w:bookmarkStart w:id="290" w:name="_Toc333237757"/>
      <w:bookmarkStart w:id="291" w:name="_Toc340677039"/>
      <w:bookmarkStart w:id="292" w:name="_Toc336681904"/>
      <w:bookmarkStart w:id="293" w:name="_Toc350438718"/>
      <w:bookmarkStart w:id="294" w:name="_Toc331512867"/>
      <w:bookmarkStart w:id="295" w:name="_Toc365967042"/>
      <w:bookmarkStart w:id="296" w:name="_Toc333935656"/>
      <w:bookmarkStart w:id="297" w:name="_Toc350756419"/>
      <w:bookmarkStart w:id="298" w:name="_Toc340507411"/>
      <w:bookmarkStart w:id="299" w:name="_Toc340672838"/>
      <w:bookmarkStart w:id="300" w:name="_Toc349127595"/>
      <w:bookmarkStart w:id="301" w:name="_Toc541"/>
      <w:bookmarkStart w:id="302" w:name="_Toc337632327"/>
      <w:bookmarkStart w:id="303" w:name="_Toc333238602"/>
      <w:bookmarkStart w:id="304" w:name="_Toc336681549"/>
      <w:bookmarkStart w:id="305" w:name="_Toc330459954"/>
      <w:bookmarkStart w:id="306" w:name="_Toc341348307"/>
      <w:bookmarkStart w:id="307" w:name="_Toc342296729"/>
      <w:bookmarkStart w:id="308" w:name="_Toc333237646"/>
      <w:r>
        <w:rPr>
          <w:rFonts w:hint="eastAsia"/>
          <w:color w:val="000000" w:themeColor="text1"/>
          <w:highlight w:val="none"/>
        </w:rPr>
        <w:t>适用范围</w:t>
      </w:r>
      <w:bookmarkEnd w:id="273"/>
      <w:bookmarkEnd w:id="274"/>
      <w:r>
        <w:rPr>
          <w:rFonts w:hint="eastAsia"/>
          <w:color w:val="000000" w:themeColor="text1"/>
          <w:highlight w:val="none"/>
        </w:rPr>
        <w:t>和资金来源</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bookmarkStart w:id="309" w:name="_Toc337632328"/>
      <w:bookmarkStart w:id="310" w:name="_Toc333238603"/>
      <w:bookmarkStart w:id="311" w:name="_Toc350756420"/>
      <w:bookmarkStart w:id="312" w:name="_Toc349127596"/>
      <w:bookmarkStart w:id="313" w:name="_Toc339020065"/>
      <w:bookmarkStart w:id="314" w:name="_Toc333237647"/>
      <w:bookmarkStart w:id="315" w:name="_Toc340677040"/>
      <w:bookmarkStart w:id="316" w:name="_Toc332270316"/>
      <w:bookmarkStart w:id="317" w:name="_Toc333935657"/>
      <w:bookmarkStart w:id="318" w:name="_Toc341348308"/>
      <w:bookmarkStart w:id="319" w:name="_Toc339020203"/>
      <w:bookmarkStart w:id="320" w:name="_Toc336681550"/>
      <w:bookmarkStart w:id="321" w:name="_Toc331684008"/>
      <w:bookmarkStart w:id="322" w:name="_Toc374454571"/>
      <w:bookmarkStart w:id="323" w:name="_Toc365967043"/>
      <w:bookmarkStart w:id="324" w:name="_Toc340672839"/>
      <w:bookmarkStart w:id="325" w:name="_Toc342296730"/>
      <w:bookmarkStart w:id="326" w:name="_Toc330459955"/>
      <w:bookmarkStart w:id="327" w:name="_Toc339441057"/>
      <w:bookmarkStart w:id="328" w:name="_Toc332206678"/>
      <w:bookmarkStart w:id="329" w:name="_Toc503785398"/>
      <w:bookmarkStart w:id="330" w:name="_Toc336681905"/>
      <w:bookmarkStart w:id="331" w:name="_Toc339019859"/>
      <w:bookmarkStart w:id="332" w:name="_Toc497224196"/>
      <w:bookmarkStart w:id="333" w:name="_Toc349143559"/>
      <w:bookmarkStart w:id="334" w:name="_Toc331512868"/>
      <w:bookmarkStart w:id="335" w:name="_Toc350438719"/>
      <w:bookmarkStart w:id="336" w:name="_Toc339019985"/>
      <w:bookmarkStart w:id="337" w:name="_Toc366072498"/>
      <w:bookmarkStart w:id="338" w:name="_Toc333237758"/>
      <w:bookmarkStart w:id="339" w:name="_Toc339362270"/>
      <w:bookmarkStart w:id="340" w:name="_Toc340507412"/>
      <w:bookmarkStart w:id="341" w:name="_Toc333935316"/>
      <w:bookmarkStart w:id="342" w:name="_Toc365985149"/>
      <w:bookmarkStart w:id="343" w:name="_Toc342060344"/>
      <w:bookmarkStart w:id="344" w:name="_Toc345513837"/>
      <w:r>
        <w:rPr>
          <w:rFonts w:hint="eastAsia" w:ascii="宋体"/>
          <w:bCs/>
          <w:color w:val="000000" w:themeColor="text1"/>
          <w:highlight w:val="none"/>
        </w:rPr>
        <w:t>1</w:t>
      </w:r>
      <w:r>
        <w:rPr>
          <w:rFonts w:ascii="宋体"/>
          <w:bCs/>
          <w:color w:val="000000" w:themeColor="text1"/>
          <w:highlight w:val="none"/>
        </w:rPr>
        <w:t>.1</w:t>
      </w:r>
      <w:r>
        <w:rPr>
          <w:rFonts w:hint="eastAsia" w:ascii="宋体"/>
          <w:bCs/>
          <w:color w:val="000000" w:themeColor="text1"/>
          <w:highlight w:val="none"/>
        </w:rPr>
        <w:t xml:space="preserve">    本招标文件仅适用于本次投标邀请函中所叙述的采购招标项目。</w:t>
      </w:r>
    </w:p>
    <w:p>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1</w:t>
      </w:r>
      <w:r>
        <w:rPr>
          <w:rFonts w:ascii="宋体"/>
          <w:bCs/>
          <w:color w:val="000000" w:themeColor="text1"/>
          <w:highlight w:val="none"/>
        </w:rPr>
        <w:t>.</w:t>
      </w:r>
      <w:r>
        <w:rPr>
          <w:rFonts w:hint="eastAsia" w:ascii="宋体"/>
          <w:bCs/>
          <w:color w:val="000000" w:themeColor="text1"/>
          <w:highlight w:val="none"/>
        </w:rPr>
        <w:t>2    本项目的采购人已分别获得一笔资金用于支付本次招标项下的所有合同款项。</w:t>
      </w:r>
    </w:p>
    <w:p>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1</w:t>
      </w:r>
      <w:r>
        <w:rPr>
          <w:rFonts w:ascii="宋体"/>
          <w:bCs/>
          <w:color w:val="000000" w:themeColor="text1"/>
          <w:highlight w:val="none"/>
        </w:rPr>
        <w:t>.</w:t>
      </w:r>
      <w:r>
        <w:rPr>
          <w:rFonts w:hint="eastAsia" w:ascii="宋体"/>
          <w:bCs/>
          <w:color w:val="000000" w:themeColor="text1"/>
          <w:highlight w:val="none"/>
        </w:rPr>
        <w:t>3    本招标文件由代理采购机构负责解释。</w:t>
      </w:r>
    </w:p>
    <w:p>
      <w:pPr>
        <w:pStyle w:val="6"/>
        <w:numPr>
          <w:ilvl w:val="4"/>
          <w:numId w:val="25"/>
        </w:numPr>
        <w:tabs>
          <w:tab w:val="left" w:pos="720"/>
        </w:tabs>
        <w:spacing w:before="240" w:after="120"/>
        <w:ind w:left="2432" w:hanging="2432"/>
        <w:rPr>
          <w:color w:val="000000" w:themeColor="text1"/>
          <w:highlight w:val="none"/>
        </w:rPr>
      </w:pPr>
      <w:bookmarkStart w:id="345" w:name="_Toc18870"/>
      <w:r>
        <w:rPr>
          <w:rFonts w:hint="eastAsia"/>
          <w:color w:val="000000" w:themeColor="text1"/>
          <w:highlight w:val="none"/>
        </w:rPr>
        <w:t>定义</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2.1</w:t>
      </w:r>
      <w:r>
        <w:rPr>
          <w:rFonts w:ascii="宋体"/>
          <w:bCs/>
          <w:color w:val="000000" w:themeColor="text1"/>
          <w:highlight w:val="none"/>
        </w:rPr>
        <w:tab/>
      </w:r>
      <w:r>
        <w:rPr>
          <w:rFonts w:hint="eastAsia" w:ascii="宋体"/>
          <w:bCs/>
          <w:color w:val="000000" w:themeColor="text1"/>
          <w:highlight w:val="none"/>
        </w:rPr>
        <w:t>“代理采购机构”系指组织本次招标的广东业信采购招标有限公司。</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bCs/>
          <w:color w:val="000000" w:themeColor="text1"/>
          <w:highlight w:val="none"/>
        </w:rPr>
        <w:t>2</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“投标人”系指</w:t>
      </w:r>
      <w:r>
        <w:rPr>
          <w:rFonts w:hint="eastAsia" w:ascii="宋体" w:hAnsi="宋体"/>
          <w:bCs/>
          <w:color w:val="000000" w:themeColor="text1"/>
          <w:highlight w:val="none"/>
        </w:rPr>
        <w:t>符合招标文件合格投标人资格要求，并按招标文件规定提交投标文件的投标人。</w:t>
      </w:r>
    </w:p>
    <w:p>
      <w:pPr>
        <w:widowControl/>
        <w:tabs>
          <w:tab w:val="left" w:pos="753"/>
        </w:tabs>
        <w:adjustRightInd w:val="0"/>
        <w:snapToGrid w:val="0"/>
        <w:spacing w:line="360" w:lineRule="auto"/>
        <w:ind w:left="735" w:hanging="735" w:hangingChars="350"/>
        <w:rPr>
          <w:rFonts w:ascii="宋体" w:hAnsi="宋体"/>
          <w:bCs/>
          <w:color w:val="000000" w:themeColor="text1"/>
          <w:highlight w:val="none"/>
        </w:rPr>
      </w:pPr>
      <w:r>
        <w:rPr>
          <w:rFonts w:hint="eastAsia" w:ascii="宋体"/>
          <w:bCs/>
          <w:color w:val="000000" w:themeColor="text1"/>
          <w:highlight w:val="none"/>
        </w:rPr>
        <w:t>2.3</w:t>
      </w:r>
      <w:r>
        <w:rPr>
          <w:rFonts w:hint="eastAsia" w:ascii="宋体"/>
          <w:bCs/>
          <w:color w:val="000000" w:themeColor="text1"/>
          <w:highlight w:val="none"/>
        </w:rPr>
        <w:tab/>
      </w:r>
      <w:r>
        <w:rPr>
          <w:rFonts w:hint="eastAsia" w:ascii="宋体"/>
          <w:bCs/>
          <w:color w:val="000000" w:themeColor="text1"/>
          <w:highlight w:val="none"/>
        </w:rPr>
        <w:t>“采购人”系指</w:t>
      </w:r>
      <w:r>
        <w:rPr>
          <w:rFonts w:hint="eastAsia" w:ascii="宋体"/>
          <w:bCs/>
          <w:color w:val="000000" w:themeColor="text1"/>
          <w:highlight w:val="none"/>
          <w:lang w:eastAsia="zh-CN"/>
        </w:rPr>
        <w:t>国家税务总局阳西县税务局</w:t>
      </w:r>
      <w:r>
        <w:rPr>
          <w:rFonts w:hint="eastAsia" w:ascii="宋体"/>
          <w:bCs/>
          <w:color w:val="000000" w:themeColor="text1"/>
          <w:highlight w:val="none"/>
        </w:rPr>
        <w:t>，即项目采购用户方。</w:t>
      </w:r>
    </w:p>
    <w:p>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bCs/>
          <w:color w:val="000000" w:themeColor="text1"/>
          <w:highlight w:val="none"/>
        </w:rPr>
        <w:t>2.4</w:t>
      </w:r>
      <w:r>
        <w:rPr>
          <w:rFonts w:hint="eastAsia" w:ascii="宋体"/>
          <w:bCs/>
          <w:color w:val="000000" w:themeColor="text1"/>
          <w:highlight w:val="none"/>
        </w:rPr>
        <w:tab/>
      </w:r>
      <w:r>
        <w:rPr>
          <w:rFonts w:hint="eastAsia" w:ascii="宋体"/>
          <w:bCs/>
          <w:color w:val="000000" w:themeColor="text1"/>
          <w:highlight w:val="none"/>
        </w:rPr>
        <w:t xml:space="preserve"> </w:t>
      </w:r>
      <w:r>
        <w:rPr>
          <w:rFonts w:ascii="宋体" w:hAnsi="宋体"/>
          <w:bCs/>
          <w:color w:val="000000" w:themeColor="text1"/>
          <w:highlight w:val="none"/>
        </w:rPr>
        <w:t>“</w:t>
      </w:r>
      <w:r>
        <w:rPr>
          <w:rFonts w:hint="eastAsia" w:ascii="宋体" w:hAnsi="宋体"/>
          <w:bCs/>
          <w:color w:val="000000" w:themeColor="text1"/>
          <w:highlight w:val="none"/>
        </w:rPr>
        <w:t>货物</w:t>
      </w:r>
      <w:r>
        <w:rPr>
          <w:rFonts w:ascii="宋体" w:hAnsi="宋体"/>
          <w:bCs/>
          <w:color w:val="000000" w:themeColor="text1"/>
          <w:highlight w:val="none"/>
        </w:rPr>
        <w:t>”</w:t>
      </w:r>
      <w:r>
        <w:rPr>
          <w:rFonts w:hint="eastAsia" w:ascii="宋体" w:hAnsi="宋体"/>
          <w:bCs/>
          <w:color w:val="000000" w:themeColor="text1"/>
          <w:highlight w:val="none"/>
        </w:rPr>
        <w:t>系指投标人根据招标文件规定，须向采购人提供的设备、材料、备品备件、工具、使用手册、软件及有关技术资料等。</w:t>
      </w:r>
    </w:p>
    <w:p>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“服务”系指招标文件规定中标投标人须承担与实施本项目有关的伴随服务，包括但不限于运输、安装、调试、技术支持、培训、售后服务等义务和合同中规定中标投标人应承担的其它义务。</w:t>
      </w:r>
    </w:p>
    <w:p>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“日”系指日历天。</w:t>
      </w:r>
    </w:p>
    <w:p>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“工作日”系指国家规定除法定节假日以外的以日</w:t>
      </w:r>
      <w:r>
        <w:rPr>
          <w:rFonts w:ascii="宋体" w:hAnsi="宋体"/>
          <w:bCs/>
          <w:color w:val="000000" w:themeColor="text1"/>
          <w:highlight w:val="none"/>
        </w:rPr>
        <w:t>为计算单位的工作时间</w:t>
      </w:r>
      <w:r>
        <w:rPr>
          <w:rFonts w:hint="eastAsia" w:ascii="宋体" w:hAnsi="宋体"/>
          <w:bCs/>
          <w:color w:val="000000" w:themeColor="text1"/>
          <w:highlight w:val="none"/>
        </w:rPr>
        <w:t>。</w:t>
      </w:r>
    </w:p>
    <w:p>
      <w:pPr>
        <w:pStyle w:val="6"/>
        <w:numPr>
          <w:ilvl w:val="4"/>
          <w:numId w:val="25"/>
        </w:numPr>
        <w:tabs>
          <w:tab w:val="left" w:pos="720"/>
        </w:tabs>
        <w:spacing w:before="240" w:after="120"/>
        <w:ind w:left="2432" w:hanging="2432"/>
        <w:rPr>
          <w:color w:val="000000" w:themeColor="text1"/>
          <w:highlight w:val="none"/>
        </w:rPr>
      </w:pPr>
      <w:bookmarkStart w:id="346" w:name="_Toc503785399"/>
      <w:bookmarkStart w:id="347" w:name="_Toc497224197"/>
      <w:bookmarkStart w:id="348" w:name="_Toc365985150"/>
      <w:bookmarkStart w:id="349" w:name="_Toc332270317"/>
      <w:bookmarkStart w:id="350" w:name="_Toc374454572"/>
      <w:bookmarkStart w:id="351" w:name="_Toc333935658"/>
      <w:bookmarkStart w:id="352" w:name="_Toc342060345"/>
      <w:bookmarkStart w:id="353" w:name="_Toc350756421"/>
      <w:bookmarkStart w:id="354" w:name="_Toc339441058"/>
      <w:bookmarkStart w:id="355" w:name="_Toc340672840"/>
      <w:bookmarkStart w:id="356" w:name="_Toc336681906"/>
      <w:bookmarkStart w:id="357" w:name="_Toc341348309"/>
      <w:bookmarkStart w:id="358" w:name="_Toc333238604"/>
      <w:bookmarkStart w:id="359" w:name="_Toc331684009"/>
      <w:bookmarkStart w:id="360" w:name="_Toc350438720"/>
      <w:bookmarkStart w:id="361" w:name="_Toc339020066"/>
      <w:bookmarkStart w:id="362" w:name="_Toc333237759"/>
      <w:bookmarkStart w:id="363" w:name="_Toc331512869"/>
      <w:bookmarkStart w:id="364" w:name="_Toc336681551"/>
      <w:bookmarkStart w:id="365" w:name="_Toc365967044"/>
      <w:bookmarkStart w:id="366" w:name="_Toc339020204"/>
      <w:bookmarkStart w:id="367" w:name="_Toc366072499"/>
      <w:bookmarkStart w:id="368" w:name="_Toc339019986"/>
      <w:bookmarkStart w:id="369" w:name="_Toc333935317"/>
      <w:bookmarkStart w:id="370" w:name="_Toc349127597"/>
      <w:bookmarkStart w:id="371" w:name="_Toc340677041"/>
      <w:bookmarkStart w:id="372" w:name="_Toc342296731"/>
      <w:bookmarkStart w:id="373" w:name="_Toc340507413"/>
      <w:bookmarkStart w:id="374" w:name="_Toc8385"/>
      <w:bookmarkStart w:id="375" w:name="_Toc339019860"/>
      <w:bookmarkStart w:id="376" w:name="_Toc333237648"/>
      <w:bookmarkStart w:id="377" w:name="_Toc332206679"/>
      <w:bookmarkStart w:id="378" w:name="_Toc337632329"/>
      <w:bookmarkStart w:id="379" w:name="_Toc349143560"/>
      <w:bookmarkStart w:id="380" w:name="_Toc330459956"/>
      <w:bookmarkStart w:id="381" w:name="_Toc339362271"/>
      <w:bookmarkStart w:id="382" w:name="_Toc345513838"/>
      <w:r>
        <w:rPr>
          <w:rFonts w:hint="eastAsia"/>
          <w:color w:val="000000" w:themeColor="text1"/>
          <w:highlight w:val="none"/>
        </w:rPr>
        <w:t>合格的</w:t>
      </w:r>
      <w:bookmarkEnd w:id="346"/>
      <w:bookmarkEnd w:id="347"/>
      <w:r>
        <w:rPr>
          <w:rFonts w:hint="eastAsia"/>
          <w:color w:val="000000" w:themeColor="text1"/>
          <w:highlight w:val="none"/>
        </w:rPr>
        <w:t>投标人</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widowControl/>
        <w:tabs>
          <w:tab w:val="left" w:pos="502"/>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3.1</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w:t>
      </w:r>
      <w:r>
        <w:rPr>
          <w:rFonts w:hint="eastAsia" w:ascii="宋体" w:hAnsi="宋体"/>
          <w:bCs/>
          <w:color w:val="000000" w:themeColor="text1"/>
          <w:highlight w:val="none"/>
        </w:rPr>
        <w:t>国内有能力提供采购项目相关的工程、货物和服务且符合本项目合格投标人资格条件的投标人</w:t>
      </w:r>
      <w:r>
        <w:rPr>
          <w:rFonts w:hint="eastAsia" w:ascii="宋体"/>
          <w:bCs/>
          <w:color w:val="000000" w:themeColor="text1"/>
          <w:highlight w:val="none"/>
        </w:rPr>
        <w:t>为合格投标人。</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3.2</w:t>
      </w:r>
      <w:r>
        <w:rPr>
          <w:rFonts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w:t>
      </w:r>
      <w:r>
        <w:rPr>
          <w:rFonts w:hint="eastAsia" w:ascii="宋体" w:hAnsi="宋体"/>
          <w:bCs/>
          <w:color w:val="000000" w:themeColor="text1"/>
          <w:highlight w:val="none"/>
        </w:rPr>
        <w:t>投标人必须遵守《中华人民共和国招标投标法》、《中华人民共和国政府采购法》的有关规定和其他相关的法律、法规、规章、条例及招标文件中的规定。</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3.3    </w:t>
      </w:r>
      <w:r>
        <w:rPr>
          <w:rFonts w:ascii="宋体" w:hAnsi="宋体"/>
          <w:bCs/>
          <w:color w:val="000000" w:themeColor="text1"/>
          <w:szCs w:val="21"/>
          <w:highlight w:val="none"/>
        </w:rPr>
        <w:t>单位负责人为同一人或者存在直接控股、管理关系的不同供应商，不得参加同一合同项下的政府采购活动。</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3.4     </w:t>
      </w:r>
      <w:r>
        <w:rPr>
          <w:rFonts w:ascii="宋体" w:hAnsi="宋体"/>
          <w:bCs/>
          <w:color w:val="000000" w:themeColor="text1"/>
          <w:szCs w:val="21"/>
          <w:highlight w:val="none"/>
        </w:rPr>
        <w:t>除单一来源采购项目外，为采购项目提供整体设计、规范编制或者项目管理、监理、检测等服务的供应商，不得再参加该政府采购项目的采购活动。</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3.5    </w:t>
      </w:r>
      <w:r>
        <w:rPr>
          <w:rFonts w:ascii="宋体" w:hAnsi="宋体"/>
          <w:bCs/>
          <w:color w:val="000000" w:themeColor="text1"/>
          <w:szCs w:val="21"/>
          <w:highlight w:val="none"/>
        </w:rPr>
        <w:t>联合体各方不得再单独参加或者与其他供应商另外组成联合体参加同一合同项下的政府采购活动。</w:t>
      </w:r>
    </w:p>
    <w:p>
      <w:pPr>
        <w:widowControl/>
        <w:tabs>
          <w:tab w:val="left" w:pos="502"/>
          <w:tab w:val="left" w:pos="753"/>
        </w:tabs>
        <w:adjustRightInd w:val="0"/>
        <w:snapToGrid w:val="0"/>
        <w:spacing w:line="360" w:lineRule="auto"/>
        <w:ind w:left="752" w:hanging="751" w:hangingChars="358"/>
        <w:rPr>
          <w:bCs/>
          <w:color w:val="000000" w:themeColor="text1"/>
          <w:szCs w:val="21"/>
          <w:highlight w:val="none"/>
        </w:rPr>
      </w:pPr>
      <w:r>
        <w:rPr>
          <w:rFonts w:hint="eastAsia" w:ascii="宋体" w:hAnsi="宋体"/>
          <w:bCs/>
          <w:color w:val="000000" w:themeColor="text1"/>
          <w:szCs w:val="21"/>
          <w:highlight w:val="none"/>
        </w:rPr>
        <w:t xml:space="preserve">3.6    </w:t>
      </w:r>
      <w:r>
        <w:rPr>
          <w:bCs/>
          <w:color w:val="000000" w:themeColor="text1"/>
          <w:szCs w:val="21"/>
          <w:highlight w:val="none"/>
        </w:rPr>
        <w:t>专门面向</w:t>
      </w:r>
      <w:r>
        <w:rPr>
          <w:rFonts w:hint="eastAsia"/>
          <w:bCs/>
          <w:color w:val="000000" w:themeColor="text1"/>
          <w:szCs w:val="21"/>
          <w:highlight w:val="none"/>
          <w:lang w:eastAsia="zh-CN"/>
        </w:rPr>
        <w:t>中小</w:t>
      </w:r>
      <w:r>
        <w:rPr>
          <w:bCs/>
          <w:color w:val="000000" w:themeColor="text1"/>
          <w:szCs w:val="21"/>
          <w:highlight w:val="none"/>
        </w:rPr>
        <w:t>企业采购的项目，只能由</w:t>
      </w:r>
      <w:r>
        <w:rPr>
          <w:rFonts w:hint="eastAsia"/>
          <w:bCs/>
          <w:color w:val="000000" w:themeColor="text1"/>
          <w:szCs w:val="21"/>
          <w:highlight w:val="none"/>
          <w:lang w:eastAsia="zh-CN"/>
        </w:rPr>
        <w:t>中型、</w:t>
      </w:r>
      <w:r>
        <w:rPr>
          <w:bCs/>
          <w:color w:val="000000" w:themeColor="text1"/>
          <w:szCs w:val="21"/>
          <w:highlight w:val="none"/>
        </w:rPr>
        <w:t>小</w:t>
      </w:r>
      <w:r>
        <w:rPr>
          <w:rFonts w:hint="eastAsia"/>
          <w:bCs/>
          <w:color w:val="000000" w:themeColor="text1"/>
          <w:szCs w:val="21"/>
          <w:highlight w:val="none"/>
          <w:lang w:eastAsia="zh-CN"/>
        </w:rPr>
        <w:t>型</w:t>
      </w:r>
      <w:r>
        <w:rPr>
          <w:bCs/>
          <w:color w:val="000000" w:themeColor="text1"/>
          <w:szCs w:val="21"/>
          <w:highlight w:val="none"/>
        </w:rPr>
        <w:t>或微型企业参加。</w:t>
      </w:r>
    </w:p>
    <w:p>
      <w:pPr>
        <w:pStyle w:val="2"/>
        <w:rPr>
          <w:color w:val="000000" w:themeColor="text1"/>
          <w:highlight w:val="none"/>
        </w:rPr>
      </w:pPr>
    </w:p>
    <w:p>
      <w:pPr>
        <w:pStyle w:val="6"/>
        <w:numPr>
          <w:ilvl w:val="4"/>
          <w:numId w:val="25"/>
        </w:numPr>
        <w:tabs>
          <w:tab w:val="left" w:pos="720"/>
        </w:tabs>
        <w:spacing w:before="240" w:after="120"/>
        <w:ind w:left="2432" w:hanging="2432"/>
        <w:rPr>
          <w:color w:val="000000" w:themeColor="text1"/>
          <w:highlight w:val="none"/>
        </w:rPr>
      </w:pPr>
      <w:bookmarkStart w:id="383" w:name="_Toc336681552"/>
      <w:bookmarkStart w:id="384" w:name="_Toc365967045"/>
      <w:bookmarkStart w:id="385" w:name="_Toc16463"/>
      <w:bookmarkStart w:id="386" w:name="_Toc333237760"/>
      <w:bookmarkStart w:id="387" w:name="_Toc339020067"/>
      <w:bookmarkStart w:id="388" w:name="_Toc332270318"/>
      <w:bookmarkStart w:id="389" w:name="_Toc342060346"/>
      <w:bookmarkStart w:id="390" w:name="_Toc366072500"/>
      <w:bookmarkStart w:id="391" w:name="_Toc341348310"/>
      <w:bookmarkStart w:id="392" w:name="_Toc345513839"/>
      <w:bookmarkStart w:id="393" w:name="_Toc333935659"/>
      <w:bookmarkStart w:id="394" w:name="_Toc330459957"/>
      <w:bookmarkStart w:id="395" w:name="_Toc350438721"/>
      <w:bookmarkStart w:id="396" w:name="_Toc331684010"/>
      <w:bookmarkStart w:id="397" w:name="_Toc332206680"/>
      <w:bookmarkStart w:id="398" w:name="_Toc339019861"/>
      <w:bookmarkStart w:id="399" w:name="_Toc337632330"/>
      <w:bookmarkStart w:id="400" w:name="_Toc339362272"/>
      <w:bookmarkStart w:id="401" w:name="_Toc331512870"/>
      <w:bookmarkStart w:id="402" w:name="_Toc497224198"/>
      <w:bookmarkStart w:id="403" w:name="_Toc374454573"/>
      <w:bookmarkStart w:id="404" w:name="_Toc339019987"/>
      <w:bookmarkStart w:id="405" w:name="_Toc339441059"/>
      <w:bookmarkStart w:id="406" w:name="_Toc336681907"/>
      <w:bookmarkStart w:id="407" w:name="_Toc340672841"/>
      <w:bookmarkStart w:id="408" w:name="_Toc503785400"/>
      <w:bookmarkStart w:id="409" w:name="_Toc340507414"/>
      <w:bookmarkStart w:id="410" w:name="_Toc350756422"/>
      <w:bookmarkStart w:id="411" w:name="_Toc349127598"/>
      <w:bookmarkStart w:id="412" w:name="_Toc333237649"/>
      <w:bookmarkStart w:id="413" w:name="_Toc333238605"/>
      <w:bookmarkStart w:id="414" w:name="_Toc365985151"/>
      <w:bookmarkStart w:id="415" w:name="_Toc340677042"/>
      <w:bookmarkStart w:id="416" w:name="_Toc342296732"/>
      <w:bookmarkStart w:id="417" w:name="_Toc339020205"/>
      <w:bookmarkStart w:id="418" w:name="_Toc333935318"/>
      <w:bookmarkStart w:id="419" w:name="_Toc349143561"/>
      <w:r>
        <w:rPr>
          <w:rFonts w:hint="eastAsia"/>
          <w:color w:val="000000" w:themeColor="text1"/>
          <w:highlight w:val="none"/>
        </w:rPr>
        <w:t>投标费用</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4.1</w:t>
      </w:r>
      <w:r>
        <w:rPr>
          <w:rFonts w:hint="eastAsia" w:ascii="宋体"/>
          <w:bCs/>
          <w:color w:val="000000" w:themeColor="text1"/>
          <w:highlight w:val="none"/>
        </w:rPr>
        <w:tab/>
      </w:r>
      <w:r>
        <w:rPr>
          <w:rFonts w:hint="eastAsia" w:hAnsi="宋体"/>
          <w:color w:val="000000" w:themeColor="text1"/>
          <w:highlight w:val="none"/>
        </w:rPr>
        <w:t>投标人应承担所有与准备和参加投标有关的费用。不论投标的结果如何，代理采购机构和采购人均无义务和责任承担这些费用</w:t>
      </w:r>
      <w:r>
        <w:rPr>
          <w:rFonts w:hint="eastAsia" w:ascii="宋体"/>
          <w:bCs/>
          <w:color w:val="000000" w:themeColor="text1"/>
          <w:highlight w:val="none"/>
        </w:rPr>
        <w:t>。</w:t>
      </w:r>
      <w:bookmarkStart w:id="420" w:name="_Toc337632331"/>
      <w:bookmarkStart w:id="421" w:name="_Toc340672842"/>
      <w:bookmarkStart w:id="422" w:name="_Toc497224199"/>
      <w:bookmarkStart w:id="423" w:name="_Toc336681908"/>
      <w:bookmarkStart w:id="424" w:name="_Toc339020206"/>
      <w:bookmarkStart w:id="425" w:name="_Toc333238606"/>
      <w:bookmarkStart w:id="426" w:name="_Toc331512871"/>
      <w:bookmarkStart w:id="427" w:name="_Toc333935660"/>
      <w:bookmarkStart w:id="428" w:name="_Toc339019862"/>
      <w:bookmarkStart w:id="429" w:name="_Toc333935319"/>
      <w:bookmarkStart w:id="430" w:name="_Toc340677043"/>
      <w:bookmarkStart w:id="431" w:name="_Toc349127599"/>
      <w:bookmarkStart w:id="432" w:name="_Toc330459958"/>
      <w:bookmarkStart w:id="433" w:name="_Toc339441060"/>
      <w:bookmarkStart w:id="434" w:name="_Toc339019988"/>
      <w:bookmarkStart w:id="435" w:name="_Toc332206681"/>
      <w:bookmarkStart w:id="436" w:name="_Toc341348311"/>
      <w:bookmarkStart w:id="437" w:name="_Toc345513840"/>
      <w:bookmarkStart w:id="438" w:name="_Toc339020068"/>
      <w:bookmarkStart w:id="439" w:name="_Toc374454574"/>
      <w:bookmarkStart w:id="440" w:name="_Toc339362273"/>
      <w:bookmarkStart w:id="441" w:name="_Toc333237650"/>
      <w:bookmarkStart w:id="442" w:name="_Toc340507415"/>
      <w:bookmarkStart w:id="443" w:name="_Toc332270319"/>
      <w:bookmarkStart w:id="444" w:name="_Toc342296733"/>
      <w:bookmarkStart w:id="445" w:name="_Toc342060347"/>
      <w:bookmarkStart w:id="446" w:name="_Toc336681553"/>
      <w:bookmarkStart w:id="447" w:name="_Toc333237761"/>
      <w:bookmarkStart w:id="448" w:name="_Toc350756423"/>
      <w:bookmarkStart w:id="449" w:name="_Toc349143562"/>
      <w:bookmarkStart w:id="450" w:name="_Toc350438722"/>
      <w:bookmarkStart w:id="451" w:name="_Toc365967046"/>
      <w:bookmarkStart w:id="452" w:name="_Toc503785401"/>
      <w:bookmarkStart w:id="453" w:name="_Toc331684011"/>
      <w:bookmarkStart w:id="454" w:name="_Toc366072501"/>
      <w:bookmarkStart w:id="455" w:name="_Toc365985152"/>
    </w:p>
    <w:p>
      <w:pPr>
        <w:pStyle w:val="4"/>
        <w:numPr>
          <w:ilvl w:val="1"/>
          <w:numId w:val="0"/>
        </w:numPr>
        <w:rPr>
          <w:color w:val="000000" w:themeColor="text1"/>
          <w:sz w:val="24"/>
          <w:highlight w:val="none"/>
        </w:rPr>
      </w:pPr>
      <w:bookmarkStart w:id="456" w:name="_Toc10504"/>
      <w:r>
        <w:rPr>
          <w:rFonts w:hint="eastAsia"/>
          <w:color w:val="000000" w:themeColor="text1"/>
          <w:sz w:val="24"/>
          <w:highlight w:val="none"/>
        </w:rPr>
        <w:t>Ｂ招标文件说明</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6"/>
        <w:numPr>
          <w:ilvl w:val="4"/>
          <w:numId w:val="25"/>
        </w:numPr>
        <w:tabs>
          <w:tab w:val="left" w:pos="720"/>
        </w:tabs>
        <w:spacing w:before="240" w:after="120"/>
        <w:ind w:left="2432" w:hanging="2432"/>
        <w:rPr>
          <w:color w:val="000000" w:themeColor="text1"/>
          <w:highlight w:val="none"/>
        </w:rPr>
      </w:pPr>
      <w:bookmarkStart w:id="457" w:name="_Toc333238607"/>
      <w:bookmarkStart w:id="458" w:name="_Toc336681909"/>
      <w:bookmarkStart w:id="459" w:name="_Toc337632332"/>
      <w:bookmarkStart w:id="460" w:name="_Toc340672843"/>
      <w:bookmarkStart w:id="461" w:name="_Toc350438723"/>
      <w:bookmarkStart w:id="462" w:name="_Toc339019863"/>
      <w:bookmarkStart w:id="463" w:name="_Toc330459959"/>
      <w:bookmarkStart w:id="464" w:name="_Toc340507416"/>
      <w:bookmarkStart w:id="465" w:name="_Toc365967047"/>
      <w:bookmarkStart w:id="466" w:name="_Toc374454575"/>
      <w:bookmarkStart w:id="467" w:name="_Toc332270320"/>
      <w:bookmarkStart w:id="468" w:name="_Toc341348312"/>
      <w:bookmarkStart w:id="469" w:name="_Toc331512872"/>
      <w:bookmarkStart w:id="470" w:name="_Toc339362274"/>
      <w:bookmarkStart w:id="471" w:name="_Toc336681554"/>
      <w:bookmarkStart w:id="472" w:name="_Toc340677044"/>
      <w:bookmarkStart w:id="473" w:name="_Toc333237762"/>
      <w:bookmarkStart w:id="474" w:name="_Toc333935661"/>
      <w:bookmarkStart w:id="475" w:name="_Toc14432"/>
      <w:bookmarkStart w:id="476" w:name="_Toc339441061"/>
      <w:bookmarkStart w:id="477" w:name="_Toc339020207"/>
      <w:bookmarkStart w:id="478" w:name="_Toc366072502"/>
      <w:bookmarkStart w:id="479" w:name="_Toc332206682"/>
      <w:bookmarkStart w:id="480" w:name="_Toc342060348"/>
      <w:bookmarkStart w:id="481" w:name="_Toc345513841"/>
      <w:bookmarkStart w:id="482" w:name="_Toc349127600"/>
      <w:bookmarkStart w:id="483" w:name="_Toc503785402"/>
      <w:bookmarkStart w:id="484" w:name="_Toc365985153"/>
      <w:bookmarkStart w:id="485" w:name="_Toc349143563"/>
      <w:bookmarkStart w:id="486" w:name="_Toc497224200"/>
      <w:bookmarkStart w:id="487" w:name="_Toc333935320"/>
      <w:bookmarkStart w:id="488" w:name="_Toc350756424"/>
      <w:bookmarkStart w:id="489" w:name="_Toc333237651"/>
      <w:bookmarkStart w:id="490" w:name="_Toc342296734"/>
      <w:bookmarkStart w:id="491" w:name="_Toc331684012"/>
      <w:bookmarkStart w:id="492" w:name="_Toc339019989"/>
      <w:bookmarkStart w:id="493" w:name="_Toc339020069"/>
      <w:r>
        <w:rPr>
          <w:rFonts w:hint="eastAsia"/>
          <w:color w:val="000000" w:themeColor="text1"/>
          <w:highlight w:val="none"/>
        </w:rPr>
        <w:t>招标文件的构成</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5.1</w:t>
      </w:r>
      <w:r>
        <w:rPr>
          <w:rFonts w:ascii="宋体"/>
          <w:bCs/>
          <w:color w:val="000000" w:themeColor="text1"/>
          <w:highlight w:val="none"/>
        </w:rPr>
        <w:tab/>
      </w:r>
      <w:r>
        <w:rPr>
          <w:rFonts w:hint="eastAsia" w:ascii="宋体"/>
          <w:bCs/>
          <w:color w:val="000000" w:themeColor="text1"/>
          <w:highlight w:val="none"/>
        </w:rPr>
        <w:t>招标文件用以阐明所需货物及服务、招标投标程序、合同条款及相关附件。招标文件由下述部分组成：</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第一部分  投标邀请函</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第二部分  采购项目内容</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第三部分  投标人须知</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第四部分  参考合同</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第五部分  投标文件格式（含附件）</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5.2</w:t>
      </w:r>
      <w:r>
        <w:rPr>
          <w:rFonts w:hint="eastAsia" w:ascii="宋体"/>
          <w:bCs/>
          <w:color w:val="000000" w:themeColor="text1"/>
          <w:highlight w:val="none"/>
        </w:rPr>
        <w:t xml:space="preserve"> </w:t>
      </w:r>
      <w:r>
        <w:rPr>
          <w:rFonts w:ascii="宋体"/>
          <w:bCs/>
          <w:color w:val="000000" w:themeColor="text1"/>
          <w:highlight w:val="none"/>
        </w:rPr>
        <w:tab/>
      </w:r>
      <w:r>
        <w:rPr>
          <w:rFonts w:hint="eastAsia" w:ascii="宋体"/>
          <w:bCs/>
          <w:color w:val="000000" w:themeColor="text1"/>
          <w:highlight w:val="none"/>
        </w:rPr>
        <w:t>招标文件以中文编印。</w:t>
      </w:r>
    </w:p>
    <w:p>
      <w:pPr>
        <w:pStyle w:val="6"/>
        <w:numPr>
          <w:ilvl w:val="4"/>
          <w:numId w:val="25"/>
        </w:numPr>
        <w:tabs>
          <w:tab w:val="left" w:pos="720"/>
        </w:tabs>
        <w:spacing w:before="240" w:after="120"/>
        <w:ind w:left="2432" w:hanging="2432"/>
        <w:rPr>
          <w:color w:val="000000" w:themeColor="text1"/>
          <w:highlight w:val="none"/>
        </w:rPr>
      </w:pPr>
      <w:bookmarkStart w:id="494" w:name="_Toc339441062"/>
      <w:bookmarkStart w:id="495" w:name="_Toc333238608"/>
      <w:bookmarkStart w:id="496" w:name="_Toc370388389"/>
      <w:bookmarkStart w:id="497" w:name="_Toc341348313"/>
      <w:bookmarkStart w:id="498" w:name="_Toc365985154"/>
      <w:bookmarkStart w:id="499" w:name="_Toc340507417"/>
      <w:bookmarkStart w:id="500" w:name="_Toc349143564"/>
      <w:bookmarkStart w:id="501" w:name="_Toc342296735"/>
      <w:bookmarkStart w:id="502" w:name="_Toc350438724"/>
      <w:bookmarkStart w:id="503" w:name="_Toc333935662"/>
      <w:bookmarkStart w:id="504" w:name="_Toc339019864"/>
      <w:bookmarkStart w:id="505" w:name="_Toc333237652"/>
      <w:bookmarkStart w:id="506" w:name="_Toc340677045"/>
      <w:bookmarkStart w:id="507" w:name="_Toc332206683"/>
      <w:bookmarkStart w:id="508" w:name="_Toc345513842"/>
      <w:bookmarkStart w:id="509" w:name="_Toc337632333"/>
      <w:bookmarkStart w:id="510" w:name="_Toc365967048"/>
      <w:bookmarkStart w:id="511" w:name="_Toc333237763"/>
      <w:bookmarkStart w:id="512" w:name="_Toc339020070"/>
      <w:bookmarkStart w:id="513" w:name="_Toc339020208"/>
      <w:bookmarkStart w:id="514" w:name="_Toc336681555"/>
      <w:bookmarkStart w:id="515" w:name="_Toc331684013"/>
      <w:bookmarkStart w:id="516" w:name="_Toc339362275"/>
      <w:bookmarkStart w:id="517" w:name="_Toc336681910"/>
      <w:bookmarkStart w:id="518" w:name="_Toc332270321"/>
      <w:bookmarkStart w:id="519" w:name="_Toc331512873"/>
      <w:bookmarkStart w:id="520" w:name="_Toc339019990"/>
      <w:bookmarkStart w:id="521" w:name="_Toc350756425"/>
      <w:bookmarkStart w:id="522" w:name="_Toc333935321"/>
      <w:bookmarkStart w:id="523" w:name="_Toc349127601"/>
      <w:bookmarkStart w:id="524" w:name="_Toc503785403"/>
      <w:bookmarkStart w:id="525" w:name="_Toc342060349"/>
      <w:bookmarkStart w:id="526" w:name="_Toc330459960"/>
      <w:bookmarkStart w:id="527" w:name="_Toc497224201"/>
      <w:bookmarkStart w:id="528" w:name="_Toc340672844"/>
      <w:bookmarkStart w:id="529" w:name="_Toc3774"/>
      <w:bookmarkStart w:id="530" w:name="_Toc374454576"/>
      <w:bookmarkStart w:id="531" w:name="_Toc503785405"/>
      <w:bookmarkStart w:id="532" w:name="_Toc497224203"/>
      <w:bookmarkStart w:id="533" w:name="_Toc330459962"/>
      <w:bookmarkStart w:id="534" w:name="_Toc339362277"/>
      <w:bookmarkStart w:id="535" w:name="_Toc339019992"/>
      <w:bookmarkStart w:id="536" w:name="_Toc332270323"/>
      <w:bookmarkStart w:id="537" w:name="_Toc339441064"/>
      <w:bookmarkStart w:id="538" w:name="_Toc349143566"/>
      <w:bookmarkStart w:id="539" w:name="_Toc333935664"/>
      <w:bookmarkStart w:id="540" w:name="_Toc365985156"/>
      <w:bookmarkStart w:id="541" w:name="_Toc333935323"/>
      <w:bookmarkStart w:id="542" w:name="_Toc341348315"/>
      <w:bookmarkStart w:id="543" w:name="_Toc342296737"/>
      <w:bookmarkStart w:id="544" w:name="_Toc365967050"/>
      <w:bookmarkStart w:id="545" w:name="_Toc337632335"/>
      <w:bookmarkStart w:id="546" w:name="_Toc333237654"/>
      <w:bookmarkStart w:id="547" w:name="_Toc333238610"/>
      <w:bookmarkStart w:id="548" w:name="_Toc340672846"/>
      <w:bookmarkStart w:id="549" w:name="_Toc339020210"/>
      <w:bookmarkStart w:id="550" w:name="_Toc350438726"/>
      <w:bookmarkStart w:id="551" w:name="_Toc339020072"/>
      <w:bookmarkStart w:id="552" w:name="_Toc340507419"/>
      <w:bookmarkStart w:id="553" w:name="_Toc340677047"/>
      <w:bookmarkStart w:id="554" w:name="_Toc345513844"/>
      <w:bookmarkStart w:id="555" w:name="_Toc331684015"/>
      <w:bookmarkStart w:id="556" w:name="_Toc339019866"/>
      <w:bookmarkStart w:id="557" w:name="_Toc331512875"/>
      <w:bookmarkStart w:id="558" w:name="_Toc366072505"/>
      <w:bookmarkStart w:id="559" w:name="_Toc350756427"/>
      <w:bookmarkStart w:id="560" w:name="_Toc336681557"/>
      <w:bookmarkStart w:id="561" w:name="_Toc333237765"/>
      <w:bookmarkStart w:id="562" w:name="_Toc349127603"/>
      <w:bookmarkStart w:id="563" w:name="_Toc332206685"/>
      <w:bookmarkStart w:id="564" w:name="_Toc342060351"/>
      <w:bookmarkStart w:id="565" w:name="_Toc336681912"/>
      <w:r>
        <w:rPr>
          <w:rFonts w:hint="eastAsia"/>
          <w:color w:val="000000" w:themeColor="text1"/>
          <w:highlight w:val="none"/>
        </w:rPr>
        <w:t>招标文件的澄清</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color w:val="000000" w:themeColor="text1"/>
          <w:highlight w:val="none"/>
        </w:rPr>
        <w:t>、修改</w:t>
      </w:r>
      <w:bookmarkEnd w:id="529"/>
      <w:bookmarkEnd w:id="530"/>
    </w:p>
    <w:p>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rPr>
      </w:pPr>
      <w:r>
        <w:rPr>
          <w:rFonts w:hint="eastAsia" w:ascii="宋体" w:hAnsi="宋体"/>
          <w:color w:val="000000" w:themeColor="text1"/>
          <w:highlight w:val="none"/>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rPr>
      </w:pPr>
      <w:r>
        <w:rPr>
          <w:rFonts w:hint="eastAsia" w:ascii="宋体" w:hAnsi="宋体"/>
          <w:color w:val="000000" w:themeColor="text1"/>
          <w:highlight w:val="none"/>
        </w:rPr>
        <w:t>澄清或修改时间距投标截止时间不足15日的，采购人或代理采购机构在征得已获取招标文件的投标人同意并书面确认后，可不改变投标截止时间。</w:t>
      </w:r>
    </w:p>
    <w:p>
      <w:pPr>
        <w:pStyle w:val="4"/>
        <w:numPr>
          <w:ilvl w:val="1"/>
          <w:numId w:val="0"/>
        </w:numPr>
        <w:rPr>
          <w:color w:val="000000" w:themeColor="text1"/>
          <w:sz w:val="24"/>
          <w:highlight w:val="none"/>
        </w:rPr>
      </w:pPr>
      <w:bookmarkStart w:id="566" w:name="_Toc374454577"/>
      <w:r>
        <w:rPr>
          <w:color w:val="000000" w:themeColor="text1"/>
          <w:sz w:val="24"/>
          <w:highlight w:val="none"/>
        </w:rPr>
        <w:br w:type="page"/>
      </w:r>
      <w:bookmarkStart w:id="567" w:name="_Toc7076"/>
      <w:r>
        <w:rPr>
          <w:rFonts w:hint="eastAsia"/>
          <w:color w:val="000000" w:themeColor="text1"/>
          <w:sz w:val="24"/>
          <w:highlight w:val="none"/>
        </w:rPr>
        <w:t>Ｃ投标文件的编</w:t>
      </w:r>
      <w:bookmarkEnd w:id="531"/>
      <w:bookmarkEnd w:id="532"/>
      <w:r>
        <w:rPr>
          <w:rFonts w:hint="eastAsia"/>
          <w:color w:val="000000" w:themeColor="text1"/>
          <w:sz w:val="24"/>
          <w:highlight w:val="none"/>
        </w:rPr>
        <w:t>制</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Style w:val="6"/>
        <w:numPr>
          <w:ilvl w:val="4"/>
          <w:numId w:val="25"/>
        </w:numPr>
        <w:tabs>
          <w:tab w:val="left" w:pos="720"/>
        </w:tabs>
        <w:spacing w:before="240" w:after="120"/>
        <w:ind w:left="2432" w:hanging="2432"/>
        <w:rPr>
          <w:color w:val="000000" w:themeColor="text1"/>
          <w:highlight w:val="none"/>
        </w:rPr>
      </w:pPr>
      <w:bookmarkStart w:id="568" w:name="_Toc365967051"/>
      <w:bookmarkStart w:id="569" w:name="_Toc341348316"/>
      <w:bookmarkStart w:id="570" w:name="_Toc340672847"/>
      <w:bookmarkStart w:id="571" w:name="_Toc345513845"/>
      <w:bookmarkStart w:id="572" w:name="_Toc339020073"/>
      <w:bookmarkStart w:id="573" w:name="_Toc342060352"/>
      <w:bookmarkStart w:id="574" w:name="_Toc11620"/>
      <w:bookmarkStart w:id="575" w:name="_Toc349127604"/>
      <w:bookmarkStart w:id="576" w:name="_Toc365985157"/>
      <w:bookmarkStart w:id="577" w:name="_Toc366072506"/>
      <w:bookmarkStart w:id="578" w:name="_Toc330459963"/>
      <w:bookmarkStart w:id="579" w:name="_Toc331512876"/>
      <w:bookmarkStart w:id="580" w:name="_Toc339362278"/>
      <w:bookmarkStart w:id="581" w:name="_Toc349143567"/>
      <w:bookmarkStart w:id="582" w:name="_Toc503785406"/>
      <w:bookmarkStart w:id="583" w:name="_Toc339019993"/>
      <w:bookmarkStart w:id="584" w:name="_Toc332270324"/>
      <w:bookmarkStart w:id="585" w:name="_Toc340677048"/>
      <w:bookmarkStart w:id="586" w:name="_Toc333237766"/>
      <w:bookmarkStart w:id="587" w:name="_Toc339020211"/>
      <w:bookmarkStart w:id="588" w:name="_Toc333935324"/>
      <w:bookmarkStart w:id="589" w:name="_Toc331684016"/>
      <w:bookmarkStart w:id="590" w:name="_Toc332206686"/>
      <w:bookmarkStart w:id="591" w:name="_Toc339019867"/>
      <w:bookmarkStart w:id="592" w:name="_Toc336681558"/>
      <w:bookmarkStart w:id="593" w:name="_Toc337632336"/>
      <w:bookmarkStart w:id="594" w:name="_Toc340507420"/>
      <w:bookmarkStart w:id="595" w:name="_Toc497224204"/>
      <w:bookmarkStart w:id="596" w:name="_Toc350438727"/>
      <w:bookmarkStart w:id="597" w:name="_Toc342296738"/>
      <w:bookmarkStart w:id="598" w:name="_Toc333237655"/>
      <w:bookmarkStart w:id="599" w:name="_Toc333238611"/>
      <w:bookmarkStart w:id="600" w:name="_Toc350756428"/>
      <w:bookmarkStart w:id="601" w:name="_Toc336681913"/>
      <w:bookmarkStart w:id="602" w:name="_Toc333935665"/>
      <w:bookmarkStart w:id="603" w:name="_Toc374454578"/>
      <w:bookmarkStart w:id="604" w:name="_Toc339441065"/>
      <w:r>
        <w:rPr>
          <w:rFonts w:hint="eastAsia"/>
          <w:color w:val="000000" w:themeColor="text1"/>
          <w:highlight w:val="none"/>
        </w:rPr>
        <w:t>要求</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7</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投标人应仔细阅读招标文件的所有内容，按招标文件的要求编制投标文件，并保证所提供的全部资料的真实性，以使其投标对招标文件提出的要求和条件做出实质性响应，否则，其投标将作无效投标处理。</w:t>
      </w:r>
    </w:p>
    <w:p>
      <w:pPr>
        <w:pStyle w:val="6"/>
        <w:numPr>
          <w:ilvl w:val="4"/>
          <w:numId w:val="25"/>
        </w:numPr>
        <w:tabs>
          <w:tab w:val="left" w:pos="720"/>
        </w:tabs>
        <w:spacing w:before="240" w:after="120"/>
        <w:ind w:left="2432" w:hanging="2432"/>
        <w:rPr>
          <w:color w:val="000000" w:themeColor="text1"/>
          <w:highlight w:val="none"/>
        </w:rPr>
      </w:pPr>
      <w:bookmarkStart w:id="605" w:name="_Toc339441066"/>
      <w:bookmarkStart w:id="606" w:name="_Toc365985158"/>
      <w:bookmarkStart w:id="607" w:name="_Toc350756429"/>
      <w:bookmarkStart w:id="608" w:name="_Toc342296739"/>
      <w:bookmarkStart w:id="609" w:name="_Toc337632337"/>
      <w:bookmarkStart w:id="610" w:name="_Toc374454579"/>
      <w:bookmarkStart w:id="611" w:name="_Toc332206687"/>
      <w:bookmarkStart w:id="612" w:name="_Toc339020074"/>
      <w:bookmarkStart w:id="613" w:name="_Toc331684017"/>
      <w:bookmarkStart w:id="614" w:name="_Toc349143568"/>
      <w:bookmarkStart w:id="615" w:name="_Toc333935666"/>
      <w:bookmarkStart w:id="616" w:name="_Toc503785407"/>
      <w:bookmarkStart w:id="617" w:name="_Toc339019994"/>
      <w:bookmarkStart w:id="618" w:name="_Toc333237767"/>
      <w:bookmarkStart w:id="619" w:name="_Toc331512877"/>
      <w:bookmarkStart w:id="620" w:name="_Toc336681559"/>
      <w:bookmarkStart w:id="621" w:name="_Toc342060353"/>
      <w:bookmarkStart w:id="622" w:name="_Toc341348317"/>
      <w:bookmarkStart w:id="623" w:name="_Toc339020212"/>
      <w:bookmarkStart w:id="624" w:name="_Toc497224205"/>
      <w:bookmarkStart w:id="625" w:name="_Toc333238612"/>
      <w:bookmarkStart w:id="626" w:name="_Toc345513846"/>
      <w:bookmarkStart w:id="627" w:name="_Toc330459964"/>
      <w:bookmarkStart w:id="628" w:name="_Toc336681914"/>
      <w:bookmarkStart w:id="629" w:name="_Toc366072507"/>
      <w:bookmarkStart w:id="630" w:name="_Toc340672848"/>
      <w:bookmarkStart w:id="631" w:name="_Toc333237656"/>
      <w:bookmarkStart w:id="632" w:name="_Toc365967052"/>
      <w:bookmarkStart w:id="633" w:name="_Toc333935325"/>
      <w:bookmarkStart w:id="634" w:name="_Toc339362279"/>
      <w:bookmarkStart w:id="635" w:name="_Toc349127605"/>
      <w:bookmarkStart w:id="636" w:name="_Toc332270325"/>
      <w:bookmarkStart w:id="637" w:name="_Toc340677049"/>
      <w:bookmarkStart w:id="638" w:name="_Toc21884"/>
      <w:bookmarkStart w:id="639" w:name="_Toc340507421"/>
      <w:bookmarkStart w:id="640" w:name="_Toc339019868"/>
      <w:bookmarkStart w:id="641" w:name="_Toc350438728"/>
      <w:r>
        <w:rPr>
          <w:rFonts w:hint="eastAsia"/>
          <w:color w:val="000000" w:themeColor="text1"/>
          <w:highlight w:val="none"/>
        </w:rPr>
        <w:t>投标语言及计量单位</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8</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 xml:space="preserve"> 投标人提交的投标文件（包括资格证明文件）以及投标人与代理采购机构就有关投标的所有往来函电均应使用中文。投标人可以提交用其它语言打印的资料，但有关段落必须译成中文。</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8</w:t>
      </w:r>
      <w:r>
        <w:rPr>
          <w:rFonts w:ascii="宋体"/>
          <w:bCs/>
          <w:color w:val="000000" w:themeColor="text1"/>
          <w:highlight w:val="none"/>
        </w:rPr>
        <w:t>.2</w:t>
      </w:r>
      <w:r>
        <w:rPr>
          <w:rFonts w:hint="eastAsia" w:ascii="宋体"/>
          <w:bCs/>
          <w:color w:val="000000" w:themeColor="text1"/>
          <w:highlight w:val="none"/>
        </w:rPr>
        <w:t xml:space="preserve"> </w:t>
      </w:r>
      <w:r>
        <w:rPr>
          <w:rFonts w:ascii="宋体"/>
          <w:bCs/>
          <w:color w:val="000000" w:themeColor="text1"/>
          <w:highlight w:val="none"/>
        </w:rPr>
        <w:tab/>
      </w:r>
      <w:r>
        <w:rPr>
          <w:rFonts w:hint="eastAsia" w:ascii="宋体"/>
          <w:bCs/>
          <w:color w:val="000000" w:themeColor="text1"/>
          <w:highlight w:val="none"/>
        </w:rPr>
        <w:t>除在招标文件的技术规格中另有规定外，计量单位应使用中华人民共和国法定计量单位</w:t>
      </w:r>
      <w:r>
        <w:rPr>
          <w:rFonts w:hint="eastAsia"/>
          <w:bCs/>
          <w:color w:val="000000" w:themeColor="text1"/>
          <w:highlight w:val="none"/>
        </w:rPr>
        <w:t>（国际单位制和国家选定的其他计量单位）</w:t>
      </w:r>
      <w:r>
        <w:rPr>
          <w:rFonts w:hint="eastAsia" w:ascii="宋体"/>
          <w:bCs/>
          <w:color w:val="000000" w:themeColor="text1"/>
          <w:highlight w:val="none"/>
        </w:rPr>
        <w:t>。</w:t>
      </w:r>
    </w:p>
    <w:p>
      <w:pPr>
        <w:pStyle w:val="6"/>
        <w:numPr>
          <w:ilvl w:val="4"/>
          <w:numId w:val="25"/>
        </w:numPr>
        <w:tabs>
          <w:tab w:val="left" w:pos="720"/>
        </w:tabs>
        <w:spacing w:before="240" w:after="120"/>
        <w:ind w:left="2432" w:hanging="2432"/>
        <w:rPr>
          <w:color w:val="000000" w:themeColor="text1"/>
          <w:highlight w:val="none"/>
        </w:rPr>
      </w:pPr>
      <w:bookmarkStart w:id="642" w:name="_Toc345513847"/>
      <w:bookmarkStart w:id="643" w:name="_Toc336681560"/>
      <w:bookmarkStart w:id="644" w:name="_Toc340507422"/>
      <w:bookmarkStart w:id="645" w:name="_Toc365967053"/>
      <w:bookmarkStart w:id="646" w:name="_Toc28950"/>
      <w:bookmarkStart w:id="647" w:name="_Toc331684018"/>
      <w:bookmarkStart w:id="648" w:name="_Toc333237768"/>
      <w:bookmarkStart w:id="649" w:name="_Toc333238613"/>
      <w:bookmarkStart w:id="650" w:name="_Toc339020075"/>
      <w:bookmarkStart w:id="651" w:name="_Toc340672849"/>
      <w:bookmarkStart w:id="652" w:name="_Toc333935326"/>
      <w:bookmarkStart w:id="653" w:name="_Toc350756430"/>
      <w:bookmarkStart w:id="654" w:name="_Toc332206688"/>
      <w:bookmarkStart w:id="655" w:name="_Toc374454580"/>
      <w:bookmarkStart w:id="656" w:name="_Toc366072508"/>
      <w:bookmarkStart w:id="657" w:name="_Toc342296740"/>
      <w:bookmarkStart w:id="658" w:name="_Toc350438729"/>
      <w:bookmarkStart w:id="659" w:name="_Toc331512878"/>
      <w:bookmarkStart w:id="660" w:name="_Toc342060354"/>
      <w:bookmarkStart w:id="661" w:name="_Toc339441067"/>
      <w:bookmarkStart w:id="662" w:name="_Toc332270326"/>
      <w:bookmarkStart w:id="663" w:name="_Toc497224206"/>
      <w:bookmarkStart w:id="664" w:name="_Toc340677050"/>
      <w:bookmarkStart w:id="665" w:name="_Toc365985159"/>
      <w:bookmarkStart w:id="666" w:name="_Toc333237657"/>
      <w:bookmarkStart w:id="667" w:name="_Toc503785408"/>
      <w:bookmarkStart w:id="668" w:name="_Toc330459965"/>
      <w:bookmarkStart w:id="669" w:name="_Toc333935667"/>
      <w:bookmarkStart w:id="670" w:name="_Toc339019995"/>
      <w:bookmarkStart w:id="671" w:name="_Toc339019869"/>
      <w:bookmarkStart w:id="672" w:name="_Toc349143569"/>
      <w:bookmarkStart w:id="673" w:name="_Toc337632338"/>
      <w:bookmarkStart w:id="674" w:name="_Toc349127606"/>
      <w:bookmarkStart w:id="675" w:name="_Toc339362280"/>
      <w:bookmarkStart w:id="676" w:name="_Toc341348318"/>
      <w:bookmarkStart w:id="677" w:name="_Toc339020213"/>
      <w:bookmarkStart w:id="678" w:name="_Toc336681915"/>
      <w:r>
        <w:rPr>
          <w:rFonts w:hint="eastAsia"/>
          <w:color w:val="000000" w:themeColor="text1"/>
          <w:highlight w:val="none"/>
        </w:rPr>
        <w:t>投标文件的构成</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widowControl/>
        <w:tabs>
          <w:tab w:val="left" w:pos="753"/>
        </w:tabs>
        <w:adjustRightInd w:val="0"/>
        <w:snapToGrid w:val="0"/>
        <w:spacing w:line="360" w:lineRule="auto"/>
        <w:rPr>
          <w:rFonts w:ascii="宋体"/>
          <w:bCs/>
          <w:color w:val="000000" w:themeColor="text1"/>
          <w:highlight w:val="none"/>
        </w:rPr>
      </w:pPr>
      <w:r>
        <w:rPr>
          <w:rFonts w:hint="eastAsia" w:ascii="宋体"/>
          <w:bCs/>
          <w:color w:val="000000" w:themeColor="text1"/>
          <w:highlight w:val="none"/>
        </w:rPr>
        <w:t>9</w:t>
      </w:r>
      <w:r>
        <w:rPr>
          <w:rFonts w:ascii="宋体"/>
          <w:bCs/>
          <w:color w:val="000000" w:themeColor="text1"/>
          <w:highlight w:val="none"/>
        </w:rPr>
        <w:t>.1</w:t>
      </w:r>
      <w:r>
        <w:rPr>
          <w:rFonts w:hint="eastAsia" w:ascii="宋体"/>
          <w:bCs/>
          <w:color w:val="000000" w:themeColor="text1"/>
          <w:highlight w:val="none"/>
        </w:rPr>
        <w:t xml:space="preserve">   投标文件包括：</w:t>
      </w:r>
    </w:p>
    <w:p>
      <w:pPr>
        <w:widowControl/>
        <w:adjustRightInd w:val="0"/>
        <w:snapToGrid w:val="0"/>
        <w:spacing w:line="360" w:lineRule="auto"/>
        <w:ind w:left="734"/>
        <w:rPr>
          <w:rFonts w:ascii="宋体" w:hAnsi="宋体"/>
          <w:bCs/>
          <w:color w:val="000000" w:themeColor="text1"/>
          <w:highlight w:val="none"/>
        </w:rPr>
      </w:pPr>
      <w:bookmarkStart w:id="679" w:name="_Toc503785409"/>
      <w:bookmarkStart w:id="680" w:name="_Toc497224207"/>
      <w:r>
        <w:rPr>
          <w:rFonts w:hint="eastAsia" w:ascii="宋体" w:hAnsi="宋体"/>
          <w:bCs/>
          <w:color w:val="000000" w:themeColor="text1"/>
          <w:highlight w:val="none"/>
        </w:rPr>
        <w:t>第一章 资格审查文件（含附件）</w:t>
      </w:r>
    </w:p>
    <w:p>
      <w:pPr>
        <w:widowControl/>
        <w:adjustRightInd w:val="0"/>
        <w:snapToGrid w:val="0"/>
        <w:spacing w:line="360" w:lineRule="auto"/>
        <w:ind w:left="734"/>
        <w:rPr>
          <w:rFonts w:ascii="宋体" w:hAnsi="宋体"/>
          <w:bCs/>
          <w:color w:val="000000" w:themeColor="text1"/>
          <w:highlight w:val="none"/>
        </w:rPr>
      </w:pPr>
      <w:r>
        <w:rPr>
          <w:rFonts w:hint="eastAsia" w:ascii="宋体" w:hAnsi="宋体"/>
          <w:bCs/>
          <w:color w:val="000000" w:themeColor="text1"/>
          <w:highlight w:val="none"/>
        </w:rPr>
        <w:t>第二章 商务和技术部分</w:t>
      </w:r>
    </w:p>
    <w:p>
      <w:pPr>
        <w:pStyle w:val="6"/>
        <w:numPr>
          <w:ilvl w:val="4"/>
          <w:numId w:val="25"/>
        </w:numPr>
        <w:tabs>
          <w:tab w:val="left" w:pos="720"/>
        </w:tabs>
        <w:spacing w:before="240" w:after="120"/>
        <w:ind w:left="2432" w:hanging="2432"/>
        <w:rPr>
          <w:color w:val="000000" w:themeColor="text1"/>
          <w:highlight w:val="none"/>
        </w:rPr>
      </w:pPr>
      <w:bookmarkStart w:id="681" w:name="_Toc339362281"/>
      <w:bookmarkStart w:id="682" w:name="_Toc332206689"/>
      <w:bookmarkStart w:id="683" w:name="_Toc339019870"/>
      <w:bookmarkStart w:id="684" w:name="_Toc340507423"/>
      <w:bookmarkStart w:id="685" w:name="_Toc366072509"/>
      <w:bookmarkStart w:id="686" w:name="_Toc336681561"/>
      <w:bookmarkStart w:id="687" w:name="_Toc331512879"/>
      <w:bookmarkStart w:id="688" w:name="_Toc330459966"/>
      <w:bookmarkStart w:id="689" w:name="_Toc336681916"/>
      <w:bookmarkStart w:id="690" w:name="_Toc365985160"/>
      <w:bookmarkStart w:id="691" w:name="_Toc349127607"/>
      <w:bookmarkStart w:id="692" w:name="_Toc339020214"/>
      <w:bookmarkStart w:id="693" w:name="_Toc350438730"/>
      <w:bookmarkStart w:id="694" w:name="_Toc339019996"/>
      <w:bookmarkStart w:id="695" w:name="_Toc337632339"/>
      <w:bookmarkStart w:id="696" w:name="_Toc333237769"/>
      <w:bookmarkStart w:id="697" w:name="_Toc374454581"/>
      <w:bookmarkStart w:id="698" w:name="_Toc349143570"/>
      <w:bookmarkStart w:id="699" w:name="_Toc7894"/>
      <w:bookmarkStart w:id="700" w:name="_Toc342060355"/>
      <w:bookmarkStart w:id="701" w:name="_Toc345513848"/>
      <w:bookmarkStart w:id="702" w:name="_Toc341348319"/>
      <w:bookmarkStart w:id="703" w:name="_Toc333935668"/>
      <w:bookmarkStart w:id="704" w:name="_Toc340677051"/>
      <w:bookmarkStart w:id="705" w:name="_Toc350756431"/>
      <w:bookmarkStart w:id="706" w:name="_Toc342296741"/>
      <w:bookmarkStart w:id="707" w:name="_Toc331684019"/>
      <w:bookmarkStart w:id="708" w:name="_Toc332270327"/>
      <w:bookmarkStart w:id="709" w:name="_Toc333238614"/>
      <w:bookmarkStart w:id="710" w:name="_Toc339020076"/>
      <w:bookmarkStart w:id="711" w:name="_Toc333935327"/>
      <w:bookmarkStart w:id="712" w:name="_Toc365967054"/>
      <w:bookmarkStart w:id="713" w:name="_Toc339441068"/>
      <w:bookmarkStart w:id="714" w:name="_Toc340672850"/>
      <w:bookmarkStart w:id="715" w:name="_Toc333237658"/>
      <w:r>
        <w:rPr>
          <w:rFonts w:hint="eastAsia"/>
          <w:color w:val="000000" w:themeColor="text1"/>
          <w:highlight w:val="none"/>
        </w:rPr>
        <w:t>投标文件格式</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0</w:t>
      </w:r>
      <w:r>
        <w:rPr>
          <w:rFonts w:ascii="宋体"/>
          <w:bCs/>
          <w:color w:val="000000" w:themeColor="text1"/>
          <w:highlight w:val="none"/>
        </w:rPr>
        <w:t>.1</w:t>
      </w:r>
      <w:r>
        <w:rPr>
          <w:rFonts w:hint="eastAsia" w:ascii="宋体"/>
          <w:bCs/>
          <w:color w:val="000000" w:themeColor="text1"/>
          <w:highlight w:val="none"/>
        </w:rPr>
        <w:t xml:space="preserve">   投标人应</w:t>
      </w:r>
      <w:r>
        <w:rPr>
          <w:rFonts w:hint="eastAsia" w:ascii="宋体" w:hAnsi="宋体"/>
          <w:bCs/>
          <w:color w:val="000000" w:themeColor="text1"/>
          <w:highlight w:val="none"/>
        </w:rPr>
        <w:t>按照招标文件中提供的投标文件格式编制投标文件（详见第五部分）。</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10.2 </w:t>
      </w:r>
      <w:r>
        <w:rPr>
          <w:rFonts w:hint="eastAsia" w:ascii="宋体" w:hAnsi="宋体"/>
          <w:bCs/>
          <w:color w:val="000000" w:themeColor="text1"/>
          <w:highlight w:val="none"/>
        </w:rPr>
        <w:tab/>
      </w:r>
      <w:r>
        <w:rPr>
          <w:rFonts w:hint="eastAsia" w:ascii="宋体" w:hAnsi="宋体"/>
          <w:bCs/>
          <w:color w:val="000000" w:themeColor="text1"/>
          <w:highlight w:val="none"/>
        </w:rPr>
        <w:tab/>
      </w:r>
      <w:r>
        <w:rPr>
          <w:rFonts w:hint="eastAsia" w:ascii="宋体" w:hAnsi="宋体"/>
          <w:bCs/>
          <w:color w:val="000000" w:themeColor="text1"/>
          <w:highlight w:val="none"/>
        </w:rPr>
        <w:t>投标人应完整地填写招标文件提供的投标函、开标一览表等表格，表明所提供的货物、货物简介（含技术参数）、数量和价格；若招标为工程类或服务类项目的，投标文件中涉及货物的技术参数等可不填写。</w:t>
      </w:r>
    </w:p>
    <w:p>
      <w:pPr>
        <w:pStyle w:val="6"/>
        <w:numPr>
          <w:ilvl w:val="4"/>
          <w:numId w:val="25"/>
        </w:numPr>
        <w:tabs>
          <w:tab w:val="left" w:pos="720"/>
        </w:tabs>
        <w:spacing w:before="240" w:after="120"/>
        <w:ind w:left="2432" w:hanging="2432"/>
        <w:rPr>
          <w:color w:val="000000" w:themeColor="text1"/>
          <w:highlight w:val="none"/>
        </w:rPr>
      </w:pPr>
      <w:bookmarkStart w:id="716" w:name="_Toc339362282"/>
      <w:bookmarkStart w:id="717" w:name="_Toc341348320"/>
      <w:bookmarkStart w:id="718" w:name="_Toc336681917"/>
      <w:bookmarkStart w:id="719" w:name="_Toc333238615"/>
      <w:bookmarkStart w:id="720" w:name="_Toc349143571"/>
      <w:bookmarkStart w:id="721" w:name="_Toc340507424"/>
      <w:bookmarkStart w:id="722" w:name="_Toc336681562"/>
      <w:bookmarkStart w:id="723" w:name="_Toc333935328"/>
      <w:bookmarkStart w:id="724" w:name="_Toc340677052"/>
      <w:bookmarkStart w:id="725" w:name="_Toc332270328"/>
      <w:bookmarkStart w:id="726" w:name="_Toc333237770"/>
      <w:bookmarkStart w:id="727" w:name="_Toc349127608"/>
      <w:bookmarkStart w:id="728" w:name="_Toc331512880"/>
      <w:bookmarkStart w:id="729" w:name="_Toc339019871"/>
      <w:bookmarkStart w:id="730" w:name="_Toc332206690"/>
      <w:bookmarkStart w:id="731" w:name="_Toc342296742"/>
      <w:bookmarkStart w:id="732" w:name="_Toc365967055"/>
      <w:bookmarkStart w:id="733" w:name="_Toc8032"/>
      <w:bookmarkStart w:id="734" w:name="_Toc345513849"/>
      <w:bookmarkStart w:id="735" w:name="_Toc350756432"/>
      <w:bookmarkStart w:id="736" w:name="_Toc333237659"/>
      <w:bookmarkStart w:id="737" w:name="_Toc339020077"/>
      <w:bookmarkStart w:id="738" w:name="_Toc340672851"/>
      <w:bookmarkStart w:id="739" w:name="_Toc366072510"/>
      <w:bookmarkStart w:id="740" w:name="_Toc333935669"/>
      <w:bookmarkStart w:id="741" w:name="_Toc337632340"/>
      <w:bookmarkStart w:id="742" w:name="_Toc339441069"/>
      <w:bookmarkStart w:id="743" w:name="_Toc339020215"/>
      <w:bookmarkStart w:id="744" w:name="_Toc350438731"/>
      <w:bookmarkStart w:id="745" w:name="_Toc331684020"/>
      <w:bookmarkStart w:id="746" w:name="_Toc374454582"/>
      <w:bookmarkStart w:id="747" w:name="_Toc5003680"/>
      <w:bookmarkStart w:id="748" w:name="_Toc339019997"/>
      <w:bookmarkStart w:id="749" w:name="_Toc342060356"/>
      <w:bookmarkStart w:id="750" w:name="_Toc330459967"/>
      <w:bookmarkStart w:id="751" w:name="_Toc365985161"/>
      <w:r>
        <w:rPr>
          <w:rFonts w:hint="eastAsia"/>
          <w:color w:val="000000" w:themeColor="text1"/>
          <w:highlight w:val="none"/>
        </w:rPr>
        <w:t>资格证明文件</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11.1  </w:t>
      </w:r>
      <w:r>
        <w:rPr>
          <w:rFonts w:hint="eastAsia" w:ascii="宋体" w:hAnsi="宋体"/>
          <w:bCs/>
          <w:color w:val="000000" w:themeColor="text1"/>
          <w:highlight w:val="none"/>
        </w:rPr>
        <w:tab/>
      </w:r>
      <w:r>
        <w:rPr>
          <w:rFonts w:hint="eastAsia" w:ascii="宋体" w:hAnsi="宋体"/>
          <w:bCs/>
          <w:color w:val="000000" w:themeColor="text1"/>
          <w:highlight w:val="none"/>
        </w:rPr>
        <w:t>投标人应按招标文件的要求，提交其有资格参加投标和中标后有履行合同能力的文件，并作为其投标文件的组成部分，包括但不限于下列文件：</w:t>
      </w:r>
    </w:p>
    <w:p>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rPr>
      </w:pPr>
      <w:r>
        <w:rPr>
          <w:rFonts w:hint="eastAsia" w:ascii="宋体" w:hAnsi="宋体"/>
          <w:bCs/>
          <w:color w:val="000000" w:themeColor="text1"/>
          <w:highlight w:val="none"/>
        </w:rPr>
        <w:t>投标人满足招标文件中列出的资格标准；</w:t>
      </w:r>
    </w:p>
    <w:p>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rPr>
      </w:pPr>
      <w:r>
        <w:rPr>
          <w:rFonts w:hint="eastAsia" w:ascii="宋体" w:hAnsi="宋体"/>
          <w:bCs/>
          <w:color w:val="000000" w:themeColor="text1"/>
          <w:highlight w:val="none"/>
        </w:rPr>
        <w:t>投标人已具备履行合同所需的财务、技术、生产和服务能力。</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11.3   资格证明文件必须真实有效，要求提供的证明材料为复印件的，必须加盖单位公章。资格条件不符合、资格证明文件不全或者资格证明文件复印件没有盖单位公章的投标人的投标将作无效投标处理。</w:t>
      </w:r>
    </w:p>
    <w:p>
      <w:pPr>
        <w:pStyle w:val="6"/>
        <w:numPr>
          <w:ilvl w:val="4"/>
          <w:numId w:val="25"/>
        </w:numPr>
        <w:tabs>
          <w:tab w:val="left" w:pos="720"/>
        </w:tabs>
        <w:spacing w:before="240" w:after="120"/>
        <w:ind w:left="2432" w:hanging="2432"/>
        <w:rPr>
          <w:color w:val="000000" w:themeColor="text1"/>
          <w:highlight w:val="none"/>
        </w:rPr>
      </w:pPr>
      <w:bookmarkStart w:id="752" w:name="_Toc333237771"/>
      <w:bookmarkStart w:id="753" w:name="_Toc350438732"/>
      <w:bookmarkStart w:id="754" w:name="_Toc341348321"/>
      <w:bookmarkStart w:id="755" w:name="_Toc331684021"/>
      <w:bookmarkStart w:id="756" w:name="_Toc333238616"/>
      <w:bookmarkStart w:id="757" w:name="_Toc349127609"/>
      <w:bookmarkStart w:id="758" w:name="_Toc340677053"/>
      <w:bookmarkStart w:id="759" w:name="_Toc350756433"/>
      <w:bookmarkStart w:id="760" w:name="_Toc342296743"/>
      <w:bookmarkStart w:id="761" w:name="_Toc333237660"/>
      <w:bookmarkStart w:id="762" w:name="_Toc339441070"/>
      <w:bookmarkStart w:id="763" w:name="_Toc332206691"/>
      <w:bookmarkStart w:id="764" w:name="_Toc349143572"/>
      <w:bookmarkStart w:id="765" w:name="_Toc366072511"/>
      <w:bookmarkStart w:id="766" w:name="_Toc333935329"/>
      <w:bookmarkStart w:id="767" w:name="_Toc336681563"/>
      <w:bookmarkStart w:id="768" w:name="_Toc374454583"/>
      <w:bookmarkStart w:id="769" w:name="_Toc345513850"/>
      <w:bookmarkStart w:id="770" w:name="_Toc339019872"/>
      <w:bookmarkStart w:id="771" w:name="_Toc5003681"/>
      <w:bookmarkStart w:id="772" w:name="_Toc330459968"/>
      <w:bookmarkStart w:id="773" w:name="_Toc365967056"/>
      <w:bookmarkStart w:id="774" w:name="_Toc332270329"/>
      <w:bookmarkStart w:id="775" w:name="_Toc340507425"/>
      <w:bookmarkStart w:id="776" w:name="_Toc342060357"/>
      <w:bookmarkStart w:id="777" w:name="_Toc339020216"/>
      <w:bookmarkStart w:id="778" w:name="_Toc339020078"/>
      <w:bookmarkStart w:id="779" w:name="_Toc333935670"/>
      <w:bookmarkStart w:id="780" w:name="_Toc340672852"/>
      <w:bookmarkStart w:id="781" w:name="_Toc331512881"/>
      <w:bookmarkStart w:id="782" w:name="_Toc7697"/>
      <w:bookmarkStart w:id="783" w:name="_Toc339019998"/>
      <w:bookmarkStart w:id="784" w:name="_Toc337632341"/>
      <w:bookmarkStart w:id="785" w:name="_Toc365985162"/>
      <w:bookmarkStart w:id="786" w:name="_Toc339362283"/>
      <w:bookmarkStart w:id="787" w:name="_Toc336681918"/>
      <w:r>
        <w:rPr>
          <w:rFonts w:hint="eastAsia"/>
          <w:color w:val="000000" w:themeColor="text1"/>
          <w:highlight w:val="none"/>
        </w:rPr>
        <w:t>货物和服务的证明文件</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 xml:space="preserve">12.1 </w:t>
      </w:r>
      <w:r>
        <w:rPr>
          <w:rFonts w:hint="eastAsia" w:ascii="宋体" w:hAnsi="宋体"/>
          <w:bCs/>
          <w:color w:val="000000" w:themeColor="text1"/>
          <w:highlight w:val="none"/>
        </w:rPr>
        <w:tab/>
      </w:r>
      <w:r>
        <w:rPr>
          <w:rFonts w:hint="eastAsia" w:ascii="宋体" w:hAnsi="宋体"/>
          <w:bCs/>
          <w:color w:val="000000" w:themeColor="text1"/>
          <w:highlight w:val="none"/>
        </w:rPr>
        <w:t>投标人应提交其拟供的合同项下的货物和服务的合格性符合招标文件规定的证明文件，并作为其投标文件的一部分。</w:t>
      </w:r>
    </w:p>
    <w:p>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12.2</w:t>
      </w:r>
      <w:r>
        <w:rPr>
          <w:rFonts w:hint="eastAsia" w:ascii="宋体" w:hAnsi="宋体"/>
          <w:bCs/>
          <w:color w:val="000000" w:themeColor="text1"/>
          <w:highlight w:val="none"/>
        </w:rPr>
        <w:tab/>
      </w:r>
      <w:r>
        <w:rPr>
          <w:rFonts w:hint="eastAsia" w:ascii="宋体" w:hAnsi="宋体"/>
          <w:bCs/>
          <w:color w:val="000000" w:themeColor="text1"/>
          <w:highlight w:val="none"/>
        </w:rPr>
        <w:t xml:space="preserve"> 证明货物和服务与招标文件的要求相一致的文件，它可以是文字资料、图纸、手册和数据，包括：</w:t>
      </w:r>
    </w:p>
    <w:p>
      <w:pPr>
        <w:numPr>
          <w:ilvl w:val="5"/>
          <w:numId w:val="25"/>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货物主要技术指标和性能的详细说明。</w:t>
      </w:r>
    </w:p>
    <w:p>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货物从采购人开始使用至招标要求中规定的周期内正常、连续地使用所必须的备件和专用工具清单，包括备件和专用工具的货源及现行价格。</w:t>
      </w:r>
    </w:p>
    <w:p>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12.3</w:t>
      </w:r>
      <w:r>
        <w:rPr>
          <w:rFonts w:hint="eastAsia" w:ascii="宋体" w:hAnsi="宋体"/>
          <w:bCs/>
          <w:color w:val="000000" w:themeColor="text1"/>
          <w:highlight w:val="none"/>
        </w:rPr>
        <w:tab/>
      </w:r>
      <w:r>
        <w:rPr>
          <w:rFonts w:hint="eastAsia" w:ascii="宋体" w:hAnsi="宋体"/>
          <w:bCs/>
          <w:color w:val="000000" w:themeColor="text1"/>
          <w:highlight w:val="none"/>
        </w:rPr>
        <w:t xml:space="preserve"> </w:t>
      </w:r>
      <w:r>
        <w:rPr>
          <w:rFonts w:hint="eastAsia"/>
          <w:color w:val="000000" w:themeColor="text1"/>
          <w:highlight w:val="none"/>
        </w:rPr>
        <w:t>投标人在阐述上述第</w:t>
      </w:r>
      <w:r>
        <w:rPr>
          <w:rFonts w:hint="eastAsia" w:ascii="宋体" w:hAnsi="宋体"/>
          <w:color w:val="000000" w:themeColor="text1"/>
          <w:highlight w:val="none"/>
        </w:rPr>
        <w:t>12.2（3）</w:t>
      </w:r>
      <w:r>
        <w:rPr>
          <w:rFonts w:hint="eastAsia"/>
          <w:color w:val="000000" w:themeColor="text1"/>
          <w:highlight w:val="none"/>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color w:val="000000" w:themeColor="text1"/>
          <w:highlight w:val="none"/>
        </w:rPr>
        <w:t>12.4   评标委员会对投标人所提供的证明货物和服务的合格性的文件进行审查，审查不合格的投标将作为无效投标处理。</w:t>
      </w:r>
    </w:p>
    <w:p>
      <w:pPr>
        <w:pStyle w:val="6"/>
        <w:numPr>
          <w:ilvl w:val="4"/>
          <w:numId w:val="25"/>
        </w:numPr>
        <w:tabs>
          <w:tab w:val="left" w:pos="720"/>
        </w:tabs>
        <w:spacing w:before="240" w:after="120"/>
        <w:ind w:left="2432" w:hanging="2432"/>
        <w:rPr>
          <w:color w:val="000000" w:themeColor="text1"/>
          <w:highlight w:val="none"/>
        </w:rPr>
      </w:pPr>
      <w:bookmarkStart w:id="788" w:name="_Toc340672853"/>
      <w:bookmarkStart w:id="789" w:name="_Toc342296744"/>
      <w:bookmarkStart w:id="790" w:name="_Toc350756434"/>
      <w:bookmarkStart w:id="791" w:name="_Toc339019873"/>
      <w:bookmarkStart w:id="792" w:name="_Toc2055"/>
      <w:bookmarkStart w:id="793" w:name="_Toc349143573"/>
      <w:bookmarkStart w:id="794" w:name="_Toc337632342"/>
      <w:bookmarkStart w:id="795" w:name="_Toc333237772"/>
      <w:bookmarkStart w:id="796" w:name="_Toc349127610"/>
      <w:bookmarkStart w:id="797" w:name="_Toc365967057"/>
      <w:bookmarkStart w:id="798" w:name="_Toc340677054"/>
      <w:bookmarkStart w:id="799" w:name="_Toc330459969"/>
      <w:bookmarkStart w:id="800" w:name="_Toc342060358"/>
      <w:bookmarkStart w:id="801" w:name="_Toc339019999"/>
      <w:bookmarkStart w:id="802" w:name="_Toc332270330"/>
      <w:bookmarkStart w:id="803" w:name="_Toc503785411"/>
      <w:bookmarkStart w:id="804" w:name="_Toc339441071"/>
      <w:bookmarkStart w:id="805" w:name="_Toc339020217"/>
      <w:bookmarkStart w:id="806" w:name="_Toc332206692"/>
      <w:bookmarkStart w:id="807" w:name="_Toc374454584"/>
      <w:bookmarkStart w:id="808" w:name="_Toc333238617"/>
      <w:bookmarkStart w:id="809" w:name="_Toc497224209"/>
      <w:bookmarkStart w:id="810" w:name="_Toc365985163"/>
      <w:bookmarkStart w:id="811" w:name="_Toc340507426"/>
      <w:bookmarkStart w:id="812" w:name="_Toc339362284"/>
      <w:bookmarkStart w:id="813" w:name="_Toc336681919"/>
      <w:bookmarkStart w:id="814" w:name="_Toc345513851"/>
      <w:bookmarkStart w:id="815" w:name="_Toc339020079"/>
      <w:bookmarkStart w:id="816" w:name="_Toc350438733"/>
      <w:bookmarkStart w:id="817" w:name="_Toc366072512"/>
      <w:bookmarkStart w:id="818" w:name="_Toc333935671"/>
      <w:bookmarkStart w:id="819" w:name="_Toc331684022"/>
      <w:bookmarkStart w:id="820" w:name="_Toc333935330"/>
      <w:bookmarkStart w:id="821" w:name="_Toc341348322"/>
      <w:bookmarkStart w:id="822" w:name="_Toc336681564"/>
      <w:bookmarkStart w:id="823" w:name="_Toc333237661"/>
      <w:bookmarkStart w:id="824" w:name="_Toc331512882"/>
      <w:r>
        <w:rPr>
          <w:rFonts w:hint="eastAsia"/>
          <w:color w:val="000000" w:themeColor="text1"/>
          <w:highlight w:val="none"/>
        </w:rPr>
        <w:t>投标报价与投标货币</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13.1</w:t>
      </w:r>
      <w:r>
        <w:rPr>
          <w:rFonts w:hint="eastAsia" w:ascii="宋体" w:hAnsi="宋体"/>
          <w:color w:val="000000" w:themeColor="text1"/>
          <w:highlight w:val="none"/>
        </w:rPr>
        <w:tab/>
      </w:r>
      <w:r>
        <w:rPr>
          <w:rFonts w:hint="eastAsia" w:ascii="宋体" w:hAnsi="宋体"/>
          <w:color w:val="000000" w:themeColor="text1"/>
          <w:highlight w:val="none"/>
        </w:rPr>
        <w:t xml:space="preserve"> 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rPr>
        <w:t>价格。</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13.2   投标报价为一次性报价，开标后不得更改。</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13.3</w:t>
      </w:r>
      <w:r>
        <w:rPr>
          <w:rFonts w:hint="eastAsia" w:ascii="宋体" w:hAnsi="宋体"/>
          <w:color w:val="000000" w:themeColor="text1"/>
          <w:highlight w:val="none"/>
        </w:rPr>
        <w:tab/>
      </w:r>
      <w:r>
        <w:rPr>
          <w:rFonts w:hint="eastAsia" w:ascii="宋体" w:hAnsi="宋体"/>
          <w:color w:val="000000" w:themeColor="text1"/>
          <w:highlight w:val="none"/>
        </w:rPr>
        <w:t>投标人对货物只允许有一个报价，任何有选择报价的投标将被拒绝。</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13.4   投标人所报出的投标价在合同执行过程中是固定不变的，不得以任何理由予以变更。</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13.5   投标价格一律用人民币填报。</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13.6   投标人在投标文件中如有任何遗漏，影响到招标文件中规定的范围、质量、性能和项目的实施或限制了采购人的权利和投标人的义务，由此产生的费用由投标人负责。</w:t>
      </w:r>
    </w:p>
    <w:p>
      <w:pPr>
        <w:pStyle w:val="6"/>
        <w:numPr>
          <w:ilvl w:val="4"/>
          <w:numId w:val="25"/>
        </w:numPr>
        <w:tabs>
          <w:tab w:val="left" w:pos="720"/>
        </w:tabs>
        <w:spacing w:before="240" w:after="120"/>
        <w:ind w:left="2432" w:hanging="2432"/>
        <w:rPr>
          <w:color w:val="000000" w:themeColor="text1"/>
          <w:highlight w:val="none"/>
        </w:rPr>
      </w:pPr>
      <w:bookmarkStart w:id="825" w:name="_Toc340507427"/>
      <w:bookmarkStart w:id="826" w:name="_Toc333238618"/>
      <w:bookmarkStart w:id="827" w:name="_Toc339020000"/>
      <w:bookmarkStart w:id="828" w:name="_Toc333237662"/>
      <w:bookmarkStart w:id="829" w:name="_Toc497224212"/>
      <w:bookmarkStart w:id="830" w:name="_Toc349143574"/>
      <w:bookmarkStart w:id="831" w:name="_Toc333935672"/>
      <w:bookmarkStart w:id="832" w:name="_Toc332270331"/>
      <w:bookmarkStart w:id="833" w:name="_Toc340672854"/>
      <w:bookmarkStart w:id="834" w:name="_Toc339441072"/>
      <w:bookmarkStart w:id="835" w:name="_Toc341348323"/>
      <w:bookmarkStart w:id="836" w:name="_Toc342060359"/>
      <w:bookmarkStart w:id="837" w:name="_Toc374454585"/>
      <w:bookmarkStart w:id="838" w:name="_Toc339362285"/>
      <w:bookmarkStart w:id="839" w:name="_Toc339020080"/>
      <w:bookmarkStart w:id="840" w:name="_Toc337632343"/>
      <w:bookmarkStart w:id="841" w:name="_Toc333237773"/>
      <w:bookmarkStart w:id="842" w:name="_Toc350438734"/>
      <w:bookmarkStart w:id="843" w:name="_Toc365967058"/>
      <w:bookmarkStart w:id="844" w:name="_Toc365985164"/>
      <w:bookmarkStart w:id="845" w:name="_Toc9017"/>
      <w:bookmarkStart w:id="846" w:name="_Toc350756435"/>
      <w:bookmarkStart w:id="847" w:name="_Toc332206693"/>
      <w:bookmarkStart w:id="848" w:name="_Toc336681565"/>
      <w:bookmarkStart w:id="849" w:name="_Toc331512883"/>
      <w:bookmarkStart w:id="850" w:name="_Toc366072513"/>
      <w:bookmarkStart w:id="851" w:name="_Toc331684023"/>
      <w:bookmarkStart w:id="852" w:name="_Toc340677055"/>
      <w:bookmarkStart w:id="853" w:name="_Toc330459970"/>
      <w:bookmarkStart w:id="854" w:name="_Toc349127611"/>
      <w:bookmarkStart w:id="855" w:name="_Toc333935331"/>
      <w:bookmarkStart w:id="856" w:name="_Toc503785414"/>
      <w:bookmarkStart w:id="857" w:name="_Toc339020218"/>
      <w:bookmarkStart w:id="858" w:name="_Toc345513852"/>
      <w:bookmarkStart w:id="859" w:name="_Toc336681920"/>
      <w:bookmarkStart w:id="860" w:name="_Toc339019874"/>
      <w:bookmarkStart w:id="861" w:name="_Toc342296745"/>
      <w:r>
        <w:rPr>
          <w:rFonts w:hint="eastAsia"/>
          <w:color w:val="000000" w:themeColor="text1"/>
          <w:highlight w:val="none"/>
        </w:rPr>
        <w:t>投标保证金</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 xml:space="preserve"> 投标保证金为投标文件的重要组成部分之一。</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color w:val="000000" w:themeColor="text1"/>
          <w:highlight w:val="none"/>
        </w:rPr>
        <w:t>14.2   投标人在投标时应按照招标文件商务要求中规定的形式和金额提交投标保证金。</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bCs/>
          <w:color w:val="000000" w:themeColor="text1"/>
          <w:highlight w:val="none"/>
        </w:rPr>
        <w:t>14.3</w:t>
      </w:r>
      <w:r>
        <w:rPr>
          <w:rFonts w:hint="eastAsia" w:ascii="宋体"/>
          <w:bCs/>
          <w:color w:val="000000" w:themeColor="text1"/>
          <w:highlight w:val="none"/>
        </w:rPr>
        <w:tab/>
      </w:r>
      <w:r>
        <w:rPr>
          <w:rFonts w:hint="eastAsia" w:ascii="宋体"/>
          <w:bCs/>
          <w:color w:val="000000" w:themeColor="text1"/>
          <w:highlight w:val="none"/>
        </w:rPr>
        <w:t>投标保证金用于保护本次招标免遭因投标人的行为而蒙受的损失。</w:t>
      </w:r>
      <w:r>
        <w:rPr>
          <w:rFonts w:hint="eastAsia" w:ascii="宋体" w:hAnsi="宋体"/>
          <w:color w:val="000000" w:themeColor="text1"/>
          <w:highlight w:val="none"/>
        </w:rPr>
        <w:t>代理采购机构在因投标人的行为受到损害时，可根据第14.7条的规定，投标人的投标保证金不予退还。</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4</w:t>
      </w:r>
      <w:r>
        <w:rPr>
          <w:rFonts w:hint="eastAsia" w:ascii="宋体"/>
          <w:bCs/>
          <w:color w:val="000000" w:themeColor="text1"/>
          <w:highlight w:val="none"/>
        </w:rPr>
        <w:tab/>
      </w:r>
      <w:r>
        <w:rPr>
          <w:rFonts w:hint="eastAsia" w:ascii="宋体" w:hAnsi="宋体"/>
          <w:bCs/>
          <w:color w:val="000000" w:themeColor="text1"/>
          <w:highlight w:val="none"/>
        </w:rPr>
        <w:t>凡未按本须知第14.2条规定随附有效投标保证金的投标</w:t>
      </w:r>
      <w:r>
        <w:rPr>
          <w:rFonts w:ascii="宋体" w:hAnsi="宋体"/>
          <w:bCs/>
          <w:color w:val="000000" w:themeColor="text1"/>
          <w:highlight w:val="none"/>
        </w:rPr>
        <w:t>,</w:t>
      </w:r>
      <w:r>
        <w:rPr>
          <w:rFonts w:hint="eastAsia" w:ascii="宋体" w:hAnsi="宋体"/>
          <w:bCs/>
          <w:color w:val="000000" w:themeColor="text1"/>
          <w:highlight w:val="none"/>
        </w:rPr>
        <w:t>将被视为非实质性响应投标作无效投标处理。</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5</w:t>
      </w:r>
      <w:r>
        <w:rPr>
          <w:rFonts w:ascii="宋体"/>
          <w:bCs/>
          <w:color w:val="000000" w:themeColor="text1"/>
          <w:highlight w:val="none"/>
        </w:rPr>
        <w:tab/>
      </w:r>
      <w:r>
        <w:rPr>
          <w:rFonts w:hint="eastAsia" w:ascii="宋体" w:hAnsi="宋体"/>
          <w:bCs/>
          <w:color w:val="000000" w:themeColor="text1"/>
          <w:highlight w:val="none"/>
        </w:rPr>
        <w:t>未中标的投标人的投标保证金，采购</w:t>
      </w:r>
      <w:r>
        <w:rPr>
          <w:rFonts w:hint="eastAsia" w:ascii="宋体" w:hAnsi="宋体"/>
          <w:bCs/>
          <w:color w:val="000000" w:themeColor="text1"/>
          <w:szCs w:val="21"/>
          <w:highlight w:val="none"/>
        </w:rPr>
        <w:t>代理</w:t>
      </w:r>
      <w:r>
        <w:rPr>
          <w:rFonts w:hint="eastAsia" w:ascii="宋体" w:hAnsi="宋体"/>
          <w:bCs/>
          <w:color w:val="000000" w:themeColor="text1"/>
          <w:highlight w:val="none"/>
        </w:rPr>
        <w:t>机构应当自中标通知书发出之日起5个工作日内无息退还。</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6</w:t>
      </w:r>
      <w:r>
        <w:rPr>
          <w:rFonts w:ascii="宋体"/>
          <w:bCs/>
          <w:color w:val="000000" w:themeColor="text1"/>
          <w:highlight w:val="none"/>
        </w:rPr>
        <w:tab/>
      </w:r>
      <w:r>
        <w:rPr>
          <w:rFonts w:hint="eastAsia" w:ascii="宋体" w:hAnsi="宋体"/>
          <w:bCs/>
          <w:color w:val="000000" w:themeColor="text1"/>
          <w:highlight w:val="none"/>
        </w:rPr>
        <w:t>中标投标人的投标保证金</w:t>
      </w:r>
      <w:r>
        <w:rPr>
          <w:rFonts w:ascii="宋体" w:hAnsi="宋体"/>
          <w:bCs/>
          <w:color w:val="000000" w:themeColor="text1"/>
          <w:highlight w:val="none"/>
        </w:rPr>
        <w:t>，</w:t>
      </w:r>
      <w:r>
        <w:rPr>
          <w:rFonts w:hint="eastAsia" w:ascii="宋体" w:hAnsi="宋体"/>
          <w:bCs/>
          <w:color w:val="000000" w:themeColor="text1"/>
          <w:highlight w:val="none"/>
        </w:rPr>
        <w:t>在中标投标人付清中标服务费、签订合同之日起5个工作日内无息退</w:t>
      </w:r>
      <w:r>
        <w:rPr>
          <w:rFonts w:hint="eastAsia" w:ascii="宋体"/>
          <w:bCs/>
          <w:color w:val="000000" w:themeColor="text1"/>
          <w:highlight w:val="none"/>
        </w:rPr>
        <w:t>还。</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7</w:t>
      </w:r>
      <w:r>
        <w:rPr>
          <w:rFonts w:ascii="宋体"/>
          <w:bCs/>
          <w:color w:val="000000" w:themeColor="text1"/>
          <w:highlight w:val="none"/>
        </w:rPr>
        <w:tab/>
      </w:r>
      <w:r>
        <w:rPr>
          <w:rFonts w:hint="eastAsia" w:ascii="宋体"/>
          <w:bCs/>
          <w:color w:val="000000" w:themeColor="text1"/>
          <w:highlight w:val="none"/>
        </w:rPr>
        <w:t>发生以下情况之一的，投标保证金将不予退还：</w:t>
      </w:r>
    </w:p>
    <w:p>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（1）投标人在招标文件中规定的投标有效期内撤回其投标文件；</w:t>
      </w:r>
    </w:p>
    <w:p>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（2）中标投标人未能按招标文件的规定签订合同；</w:t>
      </w:r>
    </w:p>
    <w:p>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（3）中标投标人未能按招标文件的有关规定交纳中标服务费；</w:t>
      </w:r>
    </w:p>
    <w:p>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（4）投标人提供虚假投标文件或虚假补充文件的。</w:t>
      </w:r>
    </w:p>
    <w:p>
      <w:pPr>
        <w:pStyle w:val="6"/>
        <w:numPr>
          <w:ilvl w:val="4"/>
          <w:numId w:val="25"/>
        </w:numPr>
        <w:tabs>
          <w:tab w:val="left" w:pos="720"/>
        </w:tabs>
        <w:spacing w:before="240" w:after="120"/>
        <w:ind w:left="2432" w:hanging="2432"/>
        <w:rPr>
          <w:color w:val="000000" w:themeColor="text1"/>
          <w:highlight w:val="none"/>
        </w:rPr>
      </w:pPr>
      <w:bookmarkStart w:id="862" w:name="_Toc350438735"/>
      <w:bookmarkStart w:id="863" w:name="_Toc333238619"/>
      <w:bookmarkStart w:id="864" w:name="_Toc339020081"/>
      <w:bookmarkStart w:id="865" w:name="_Toc342060360"/>
      <w:bookmarkStart w:id="866" w:name="_Toc349143575"/>
      <w:bookmarkStart w:id="867" w:name="_Toc349127612"/>
      <w:bookmarkStart w:id="868" w:name="_Toc497224213"/>
      <w:bookmarkStart w:id="869" w:name="_Toc333935332"/>
      <w:bookmarkStart w:id="870" w:name="_Toc336681566"/>
      <w:bookmarkStart w:id="871" w:name="_Toc345513853"/>
      <w:bookmarkStart w:id="872" w:name="_Toc340677056"/>
      <w:bookmarkStart w:id="873" w:name="_Toc333237774"/>
      <w:bookmarkStart w:id="874" w:name="_Toc503785415"/>
      <w:bookmarkStart w:id="875" w:name="_Toc350756436"/>
      <w:bookmarkStart w:id="876" w:name="_Toc330459971"/>
      <w:bookmarkStart w:id="877" w:name="_Toc331684024"/>
      <w:bookmarkStart w:id="878" w:name="_Toc341348324"/>
      <w:bookmarkStart w:id="879" w:name="_Toc333237663"/>
      <w:bookmarkStart w:id="880" w:name="_Toc339020219"/>
      <w:bookmarkStart w:id="881" w:name="_Toc365985165"/>
      <w:bookmarkStart w:id="882" w:name="_Toc333935673"/>
      <w:bookmarkStart w:id="883" w:name="_Toc331512884"/>
      <w:bookmarkStart w:id="884" w:name="_Toc340507428"/>
      <w:bookmarkStart w:id="885" w:name="_Toc339020001"/>
      <w:bookmarkStart w:id="886" w:name="_Toc339441073"/>
      <w:bookmarkStart w:id="887" w:name="_Toc332270332"/>
      <w:bookmarkStart w:id="888" w:name="_Toc339362286"/>
      <w:bookmarkStart w:id="889" w:name="_Toc366072514"/>
      <w:bookmarkStart w:id="890" w:name="_Toc365967059"/>
      <w:bookmarkStart w:id="891" w:name="_Toc337632344"/>
      <w:bookmarkStart w:id="892" w:name="_Toc336681921"/>
      <w:bookmarkStart w:id="893" w:name="_Toc340672855"/>
      <w:bookmarkStart w:id="894" w:name="_Toc339019875"/>
      <w:bookmarkStart w:id="895" w:name="_Toc25811"/>
      <w:bookmarkStart w:id="896" w:name="_Toc332206694"/>
      <w:bookmarkStart w:id="897" w:name="_Toc374454586"/>
      <w:bookmarkStart w:id="898" w:name="_Toc342296746"/>
      <w:r>
        <w:rPr>
          <w:rFonts w:hint="eastAsia"/>
          <w:color w:val="000000" w:themeColor="text1"/>
          <w:highlight w:val="none"/>
        </w:rPr>
        <w:t>投标有效期</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5</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从开标之日起，本项目的投标有效期为90天。</w:t>
      </w:r>
    </w:p>
    <w:p>
      <w:pPr>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5</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pPr>
        <w:pStyle w:val="6"/>
        <w:numPr>
          <w:ilvl w:val="4"/>
          <w:numId w:val="25"/>
        </w:numPr>
        <w:tabs>
          <w:tab w:val="left" w:pos="720"/>
        </w:tabs>
        <w:spacing w:before="240" w:after="120"/>
        <w:ind w:left="2432" w:hanging="2432"/>
        <w:rPr>
          <w:color w:val="000000" w:themeColor="text1"/>
          <w:highlight w:val="none"/>
        </w:rPr>
      </w:pPr>
      <w:bookmarkStart w:id="899" w:name="_Toc349143576"/>
      <w:bookmarkStart w:id="900" w:name="_Toc342060361"/>
      <w:bookmarkStart w:id="901" w:name="_Toc345513854"/>
      <w:bookmarkStart w:id="902" w:name="_Toc374454587"/>
      <w:bookmarkStart w:id="903" w:name="_Toc497224214"/>
      <w:bookmarkStart w:id="904" w:name="_Toc365967060"/>
      <w:bookmarkStart w:id="905" w:name="_Toc111534389"/>
      <w:bookmarkStart w:id="906" w:name="_Toc350438736"/>
      <w:bookmarkStart w:id="907" w:name="_Toc331684025"/>
      <w:bookmarkStart w:id="908" w:name="_Toc333935333"/>
      <w:bookmarkStart w:id="909" w:name="_Toc331512885"/>
      <w:bookmarkStart w:id="910" w:name="_Toc339019876"/>
      <w:bookmarkStart w:id="911" w:name="_Toc340677057"/>
      <w:bookmarkStart w:id="912" w:name="_Toc341348325"/>
      <w:bookmarkStart w:id="913" w:name="_Toc333238620"/>
      <w:bookmarkStart w:id="914" w:name="_Toc349127613"/>
      <w:bookmarkStart w:id="915" w:name="_Toc333237664"/>
      <w:bookmarkStart w:id="916" w:name="_Toc340507429"/>
      <w:bookmarkStart w:id="917" w:name="_Toc503785416"/>
      <w:bookmarkStart w:id="918" w:name="_Toc333237775"/>
      <w:bookmarkStart w:id="919" w:name="_Toc332206695"/>
      <w:bookmarkStart w:id="920" w:name="_Toc339441074"/>
      <w:bookmarkStart w:id="921" w:name="_Toc337632345"/>
      <w:bookmarkStart w:id="922" w:name="_Toc339362287"/>
      <w:bookmarkStart w:id="923" w:name="_Toc339020220"/>
      <w:bookmarkStart w:id="924" w:name="_Toc339020002"/>
      <w:bookmarkStart w:id="925" w:name="_Toc336681567"/>
      <w:bookmarkStart w:id="926" w:name="_Toc339020082"/>
      <w:bookmarkStart w:id="927" w:name="_Toc365985166"/>
      <w:bookmarkStart w:id="928" w:name="_Toc366072515"/>
      <w:bookmarkStart w:id="929" w:name="_Toc342296747"/>
      <w:bookmarkStart w:id="930" w:name="_Toc340672856"/>
      <w:bookmarkStart w:id="931" w:name="_Toc332270333"/>
      <w:bookmarkStart w:id="932" w:name="_Toc336681922"/>
      <w:bookmarkStart w:id="933" w:name="_Toc330459972"/>
      <w:bookmarkStart w:id="934" w:name="_Toc19232"/>
      <w:bookmarkStart w:id="935" w:name="_Toc333935674"/>
      <w:bookmarkStart w:id="936" w:name="_Toc350756437"/>
      <w:r>
        <w:rPr>
          <w:rFonts w:hint="eastAsia"/>
          <w:color w:val="000000" w:themeColor="text1"/>
          <w:highlight w:val="none"/>
        </w:rPr>
        <w:t>投标文件的签署及规定</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rPr>
        <w:t>只接受PDF格式的电子文件（电子文件须单独密封，在封皮上注明“（公司名称）投标电子版”并加盖公章）。</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.2</w:t>
      </w:r>
      <w:r>
        <w:rPr>
          <w:rFonts w:hint="eastAsia" w:ascii="宋体"/>
          <w:bCs/>
          <w:color w:val="000000" w:themeColor="text1"/>
          <w:highlight w:val="none"/>
        </w:rPr>
        <w:tab/>
      </w:r>
      <w:r>
        <w:rPr>
          <w:rFonts w:hint="eastAsia" w:ascii="宋体" w:hAnsi="宋体"/>
          <w:bCs/>
          <w:color w:val="000000" w:themeColor="text1"/>
          <w:highlight w:val="none"/>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pPr>
        <w:widowControl/>
        <w:tabs>
          <w:tab w:val="left" w:pos="753"/>
        </w:tabs>
        <w:adjustRightInd w:val="0"/>
        <w:snapToGrid w:val="0"/>
        <w:spacing w:line="360" w:lineRule="auto"/>
        <w:ind w:left="630" w:hanging="630" w:hangingChars="300"/>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 xml:space="preserve"> 除投标人对差错处做必要修改外，投标文件中不允许有行间插字、涂改或增删，如有修改错漏处，必须由投标文件的签署人签字并在修改错漏处加盖公章，以示确认。</w:t>
      </w:r>
    </w:p>
    <w:p>
      <w:pPr>
        <w:pStyle w:val="4"/>
        <w:numPr>
          <w:ilvl w:val="1"/>
          <w:numId w:val="0"/>
        </w:numPr>
        <w:rPr>
          <w:color w:val="000000" w:themeColor="text1"/>
          <w:sz w:val="24"/>
          <w:highlight w:val="none"/>
        </w:rPr>
      </w:pPr>
      <w:bookmarkStart w:id="937" w:name="_Toc340672857"/>
      <w:bookmarkStart w:id="938" w:name="_Toc333935675"/>
      <w:bookmarkStart w:id="939" w:name="_Toc336681568"/>
      <w:bookmarkStart w:id="940" w:name="_Toc333237776"/>
      <w:bookmarkStart w:id="941" w:name="_Toc333238621"/>
      <w:bookmarkStart w:id="942" w:name="_Toc340507430"/>
      <w:bookmarkStart w:id="943" w:name="_Toc365985167"/>
      <w:bookmarkStart w:id="944" w:name="_Toc332270334"/>
      <w:bookmarkStart w:id="945" w:name="_Toc331512886"/>
      <w:bookmarkStart w:id="946" w:name="_Toc332206696"/>
      <w:bookmarkStart w:id="947" w:name="_Toc349143577"/>
      <w:bookmarkStart w:id="948" w:name="_Toc503785417"/>
      <w:bookmarkStart w:id="949" w:name="_Toc333237665"/>
      <w:bookmarkStart w:id="950" w:name="_Toc342296748"/>
      <w:bookmarkStart w:id="951" w:name="_Toc350756438"/>
      <w:bookmarkStart w:id="952" w:name="_Toc330459973"/>
      <w:bookmarkStart w:id="953" w:name="_Toc345513855"/>
      <w:bookmarkStart w:id="954" w:name="_Toc350438737"/>
      <w:bookmarkStart w:id="955" w:name="_Toc339020083"/>
      <w:bookmarkStart w:id="956" w:name="_Toc331684026"/>
      <w:bookmarkStart w:id="957" w:name="_Toc339020221"/>
      <w:bookmarkStart w:id="958" w:name="_Toc339019877"/>
      <w:bookmarkStart w:id="959" w:name="_Toc340677058"/>
      <w:bookmarkStart w:id="960" w:name="_Toc333935334"/>
      <w:bookmarkStart w:id="961" w:name="_Toc497224215"/>
      <w:bookmarkStart w:id="962" w:name="_Toc337632346"/>
      <w:bookmarkStart w:id="963" w:name="_Toc365967061"/>
      <w:bookmarkStart w:id="964" w:name="_Toc339362288"/>
      <w:bookmarkStart w:id="965" w:name="_Toc111534390"/>
      <w:bookmarkStart w:id="966" w:name="_Toc341348326"/>
      <w:bookmarkStart w:id="967" w:name="_Toc349127614"/>
      <w:bookmarkStart w:id="968" w:name="_Toc339441075"/>
      <w:bookmarkStart w:id="969" w:name="_Toc339020003"/>
      <w:bookmarkStart w:id="970" w:name="_Toc366072516"/>
      <w:bookmarkStart w:id="971" w:name="_Toc374454588"/>
      <w:bookmarkStart w:id="972" w:name="_Toc342060362"/>
      <w:bookmarkStart w:id="973" w:name="_Toc336681923"/>
      <w:r>
        <w:rPr>
          <w:color w:val="000000" w:themeColor="text1"/>
          <w:sz w:val="24"/>
          <w:highlight w:val="none"/>
        </w:rPr>
        <w:br w:type="page"/>
      </w:r>
      <w:bookmarkStart w:id="974" w:name="_Toc10454"/>
      <w:r>
        <w:rPr>
          <w:rFonts w:hint="eastAsia"/>
          <w:color w:val="000000" w:themeColor="text1"/>
          <w:sz w:val="24"/>
          <w:highlight w:val="none"/>
        </w:rPr>
        <w:t>Ｄ投标文件的递交</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pPr>
        <w:pStyle w:val="6"/>
        <w:numPr>
          <w:ilvl w:val="4"/>
          <w:numId w:val="25"/>
        </w:numPr>
        <w:tabs>
          <w:tab w:val="left" w:pos="251"/>
          <w:tab w:val="left" w:pos="720"/>
        </w:tabs>
        <w:spacing w:before="240" w:after="120"/>
        <w:ind w:left="751" w:leftChars="1" w:hangingChars="357"/>
        <w:rPr>
          <w:rFonts w:ascii="宋体" w:hAnsi="宋体"/>
          <w:color w:val="000000" w:themeColor="text1"/>
          <w:highlight w:val="none"/>
        </w:rPr>
      </w:pPr>
      <w:bookmarkStart w:id="975" w:name="_Toc333935676"/>
      <w:bookmarkStart w:id="976" w:name="_Toc339020222"/>
      <w:bookmarkStart w:id="977" w:name="_Toc339362289"/>
      <w:bookmarkStart w:id="978" w:name="_Toc345513856"/>
      <w:bookmarkStart w:id="979" w:name="_Toc339020004"/>
      <w:bookmarkStart w:id="980" w:name="_Toc332270335"/>
      <w:bookmarkStart w:id="981" w:name="_Toc349143578"/>
      <w:bookmarkStart w:id="982" w:name="_Toc336681569"/>
      <w:bookmarkStart w:id="983" w:name="_Toc333237666"/>
      <w:bookmarkStart w:id="984" w:name="_Toc337632347"/>
      <w:bookmarkStart w:id="985" w:name="_Toc503785418"/>
      <w:bookmarkStart w:id="986" w:name="_Toc342296749"/>
      <w:bookmarkStart w:id="987" w:name="_Toc340672858"/>
      <w:bookmarkStart w:id="988" w:name="_Toc340507431"/>
      <w:bookmarkStart w:id="989" w:name="_Toc342060363"/>
      <w:bookmarkStart w:id="990" w:name="_Toc333935335"/>
      <w:bookmarkStart w:id="991" w:name="_Toc111534391"/>
      <w:bookmarkStart w:id="992" w:name="_Toc366072517"/>
      <w:bookmarkStart w:id="993" w:name="_Toc333237777"/>
      <w:bookmarkStart w:id="994" w:name="_Toc331684027"/>
      <w:bookmarkStart w:id="995" w:name="_Toc339441076"/>
      <w:bookmarkStart w:id="996" w:name="_Toc374454589"/>
      <w:bookmarkStart w:id="997" w:name="_Toc336681924"/>
      <w:bookmarkStart w:id="998" w:name="_Toc340677059"/>
      <w:bookmarkStart w:id="999" w:name="_Toc339020084"/>
      <w:bookmarkStart w:id="1000" w:name="_Toc333238622"/>
      <w:bookmarkStart w:id="1001" w:name="_Toc350438738"/>
      <w:bookmarkStart w:id="1002" w:name="_Toc365985168"/>
      <w:bookmarkStart w:id="1003" w:name="_Toc332206697"/>
      <w:bookmarkStart w:id="1004" w:name="_Toc331512887"/>
      <w:bookmarkStart w:id="1005" w:name="_Toc350756439"/>
      <w:bookmarkStart w:id="1006" w:name="_Toc339019878"/>
      <w:bookmarkStart w:id="1007" w:name="_Toc330459974"/>
      <w:bookmarkStart w:id="1008" w:name="_Toc365967062"/>
      <w:bookmarkStart w:id="1009" w:name="_Toc349127615"/>
      <w:bookmarkStart w:id="1010" w:name="_Toc341348327"/>
      <w:bookmarkStart w:id="1011" w:name="_Toc497224216"/>
      <w:r>
        <w:rPr>
          <w:rFonts w:hint="eastAsia"/>
          <w:color w:val="000000" w:themeColor="text1"/>
          <w:highlight w:val="none"/>
        </w:rPr>
        <w:t xml:space="preserve">     </w:t>
      </w:r>
      <w:bookmarkStart w:id="1012" w:name="_Toc26639"/>
      <w:r>
        <w:rPr>
          <w:rFonts w:hint="eastAsia"/>
          <w:color w:val="000000" w:themeColor="text1"/>
          <w:highlight w:val="none"/>
        </w:rPr>
        <w:t>投标文件的密封和标记</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pStyle w:val="5"/>
        <w:rPr>
          <w:color w:val="000000" w:themeColor="text1"/>
          <w:highlight w:val="none"/>
        </w:rPr>
      </w:pPr>
      <w:r>
        <w:rPr>
          <w:rFonts w:hint="eastAsia"/>
          <w:color w:val="000000" w:themeColor="text1"/>
          <w:highlight w:val="none"/>
        </w:rPr>
        <w:tab/>
      </w:r>
      <w:r>
        <w:rPr>
          <w:rFonts w:hint="eastAsia"/>
          <w:color w:val="000000" w:themeColor="text1"/>
          <w:highlight w:val="none"/>
        </w:rPr>
        <w:t xml:space="preserve">  </w:t>
      </w:r>
      <w:r>
        <w:rPr>
          <w:rFonts w:hint="eastAsia" w:ascii="黑体" w:eastAsia="黑体"/>
          <w:bCs/>
          <w:color w:val="000000" w:themeColor="text1"/>
          <w:kern w:val="2"/>
          <w:sz w:val="21"/>
          <w:szCs w:val="24"/>
          <w:highlight w:val="none"/>
        </w:rPr>
        <w:t>详见第三部份《投标人须知〈投标人须知前附表〉》。</w:t>
      </w:r>
    </w:p>
    <w:p>
      <w:pPr>
        <w:pStyle w:val="6"/>
        <w:numPr>
          <w:ilvl w:val="4"/>
          <w:numId w:val="25"/>
        </w:numPr>
        <w:tabs>
          <w:tab w:val="left" w:pos="720"/>
        </w:tabs>
        <w:spacing w:before="240" w:after="120"/>
        <w:ind w:left="2432" w:hanging="2432"/>
        <w:rPr>
          <w:color w:val="000000" w:themeColor="text1"/>
          <w:highlight w:val="none"/>
        </w:rPr>
      </w:pPr>
      <w:bookmarkStart w:id="1013" w:name="_Toc333238623"/>
      <w:bookmarkStart w:id="1014" w:name="_Toc333237667"/>
      <w:bookmarkStart w:id="1015" w:name="_Toc340677060"/>
      <w:bookmarkStart w:id="1016" w:name="_Toc503785419"/>
      <w:bookmarkStart w:id="1017" w:name="_Toc366072518"/>
      <w:bookmarkStart w:id="1018" w:name="_Toc336681925"/>
      <w:bookmarkStart w:id="1019" w:name="_Toc336681570"/>
      <w:bookmarkStart w:id="1020" w:name="_Toc111534392"/>
      <w:bookmarkStart w:id="1021" w:name="_Toc350438739"/>
      <w:bookmarkStart w:id="1022" w:name="_Toc350756440"/>
      <w:bookmarkStart w:id="1023" w:name="_Toc349127616"/>
      <w:bookmarkStart w:id="1024" w:name="_Toc341348328"/>
      <w:bookmarkStart w:id="1025" w:name="_Toc331684028"/>
      <w:bookmarkStart w:id="1026" w:name="_Toc345513857"/>
      <w:bookmarkStart w:id="1027" w:name="_Toc342060364"/>
      <w:bookmarkStart w:id="1028" w:name="_Toc339020223"/>
      <w:bookmarkStart w:id="1029" w:name="_Toc374454590"/>
      <w:bookmarkStart w:id="1030" w:name="_Toc330459975"/>
      <w:bookmarkStart w:id="1031" w:name="_Toc365967063"/>
      <w:bookmarkStart w:id="1032" w:name="_Toc340672859"/>
      <w:bookmarkStart w:id="1033" w:name="_Toc332270336"/>
      <w:bookmarkStart w:id="1034" w:name="_Toc365985169"/>
      <w:bookmarkStart w:id="1035" w:name="_Toc349143579"/>
      <w:bookmarkStart w:id="1036" w:name="_Toc497224217"/>
      <w:bookmarkStart w:id="1037" w:name="_Toc339020085"/>
      <w:bookmarkStart w:id="1038" w:name="_Toc17096"/>
      <w:bookmarkStart w:id="1039" w:name="_Toc339020005"/>
      <w:bookmarkStart w:id="1040" w:name="_Toc340507432"/>
      <w:bookmarkStart w:id="1041" w:name="_Toc333935677"/>
      <w:bookmarkStart w:id="1042" w:name="_Toc331512888"/>
      <w:bookmarkStart w:id="1043" w:name="_Toc332206698"/>
      <w:bookmarkStart w:id="1044" w:name="_Toc342296750"/>
      <w:bookmarkStart w:id="1045" w:name="_Toc339441077"/>
      <w:bookmarkStart w:id="1046" w:name="_Toc339019879"/>
      <w:bookmarkStart w:id="1047" w:name="_Toc337632348"/>
      <w:bookmarkStart w:id="1048" w:name="_Toc333935336"/>
      <w:bookmarkStart w:id="1049" w:name="_Toc333237778"/>
      <w:bookmarkStart w:id="1050" w:name="_Toc339362290"/>
      <w:r>
        <w:rPr>
          <w:rFonts w:hint="eastAsia"/>
          <w:color w:val="000000" w:themeColor="text1"/>
          <w:highlight w:val="none"/>
        </w:rPr>
        <w:t>递交投标文件的时间、地点及截止时间</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18.1</w:t>
      </w:r>
      <w:r>
        <w:rPr>
          <w:rFonts w:hint="eastAsia" w:ascii="宋体" w:hAnsi="宋体"/>
          <w:bCs/>
          <w:color w:val="000000" w:themeColor="text1"/>
          <w:highlight w:val="none"/>
        </w:rPr>
        <w:tab/>
      </w:r>
      <w:r>
        <w:rPr>
          <w:rFonts w:hint="eastAsia" w:ascii="宋体" w:hAnsi="宋体"/>
          <w:bCs/>
          <w:color w:val="000000" w:themeColor="text1"/>
          <w:highlight w:val="none"/>
        </w:rPr>
        <w:t xml:space="preserve"> 递交投标文件的地点与开标仪式的地点为同一地点；投标截止时间与开标时间为同一时间。</w:t>
      </w:r>
    </w:p>
    <w:p>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18.2</w:t>
      </w:r>
      <w:r>
        <w:rPr>
          <w:rFonts w:hint="eastAsia" w:ascii="宋体" w:hAnsi="宋体"/>
          <w:bCs/>
          <w:color w:val="000000" w:themeColor="text1"/>
          <w:highlight w:val="none"/>
        </w:rPr>
        <w:tab/>
      </w:r>
      <w:r>
        <w:rPr>
          <w:rFonts w:hint="eastAsia" w:ascii="宋体" w:hAnsi="宋体"/>
          <w:bCs/>
          <w:color w:val="000000" w:themeColor="text1"/>
          <w:highlight w:val="none"/>
        </w:rPr>
        <w:t>投标文件需由专人送交。投标人须将密封和标记后的投标文件，按照招标文件中注明的开标地址于投标截止时间之前送交代理采购机构。</w:t>
      </w:r>
    </w:p>
    <w:p>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bookmarkStart w:id="1051" w:name="_Toc341348329"/>
      <w:bookmarkStart w:id="1052" w:name="_Toc339020086"/>
      <w:bookmarkStart w:id="1053" w:name="_Toc349127617"/>
      <w:bookmarkStart w:id="1054" w:name="_Toc339020006"/>
      <w:bookmarkStart w:id="1055" w:name="_Toc333238624"/>
      <w:bookmarkStart w:id="1056" w:name="_Toc331512889"/>
      <w:bookmarkStart w:id="1057" w:name="_Toc333935678"/>
      <w:bookmarkStart w:id="1058" w:name="_Toc503785420"/>
      <w:bookmarkStart w:id="1059" w:name="_Toc349143580"/>
      <w:bookmarkStart w:id="1060" w:name="_Toc339020224"/>
      <w:bookmarkStart w:id="1061" w:name="_Toc333935337"/>
      <w:bookmarkStart w:id="1062" w:name="_Toc336681571"/>
      <w:bookmarkStart w:id="1063" w:name="_Toc365967064"/>
      <w:bookmarkStart w:id="1064" w:name="_Toc365985170"/>
      <w:bookmarkStart w:id="1065" w:name="_Toc337632349"/>
      <w:bookmarkStart w:id="1066" w:name="_Toc374454591"/>
      <w:bookmarkStart w:id="1067" w:name="_Toc336681926"/>
      <w:bookmarkStart w:id="1068" w:name="_Toc340677061"/>
      <w:bookmarkStart w:id="1069" w:name="_Toc342060365"/>
      <w:bookmarkStart w:id="1070" w:name="_Toc350756441"/>
      <w:bookmarkStart w:id="1071" w:name="_Toc340672860"/>
      <w:bookmarkStart w:id="1072" w:name="_Toc366072519"/>
      <w:bookmarkStart w:id="1073" w:name="_Toc333237668"/>
      <w:bookmarkStart w:id="1074" w:name="_Toc350438740"/>
      <w:bookmarkStart w:id="1075" w:name="_Toc340507433"/>
      <w:bookmarkStart w:id="1076" w:name="_Toc330459976"/>
      <w:bookmarkStart w:id="1077" w:name="_Toc339441078"/>
      <w:bookmarkStart w:id="1078" w:name="_Toc339362291"/>
      <w:bookmarkStart w:id="1079" w:name="_Toc345513858"/>
      <w:bookmarkStart w:id="1080" w:name="_Toc332270337"/>
      <w:bookmarkStart w:id="1081" w:name="_Toc497224218"/>
      <w:bookmarkStart w:id="1082" w:name="_Toc342296751"/>
      <w:bookmarkStart w:id="1083" w:name="_Toc332206699"/>
      <w:bookmarkStart w:id="1084" w:name="_Toc331684029"/>
      <w:bookmarkStart w:id="1085" w:name="_Toc339019880"/>
      <w:bookmarkStart w:id="1086" w:name="_Toc333237779"/>
      <w:r>
        <w:rPr>
          <w:rFonts w:hint="eastAsia" w:ascii="宋体" w:hAnsi="宋体"/>
          <w:bCs/>
          <w:color w:val="000000" w:themeColor="text1"/>
          <w:highlight w:val="none"/>
        </w:rPr>
        <w:t>18.3</w:t>
      </w:r>
      <w:r>
        <w:rPr>
          <w:rFonts w:hint="eastAsia" w:ascii="宋体" w:hAnsi="宋体"/>
          <w:bCs/>
          <w:color w:val="000000" w:themeColor="text1"/>
          <w:highlight w:val="none"/>
        </w:rPr>
        <w:tab/>
      </w:r>
      <w:r>
        <w:rPr>
          <w:rFonts w:hint="eastAsia" w:ascii="宋体" w:hAnsi="宋体"/>
          <w:bCs/>
          <w:color w:val="000000" w:themeColor="text1"/>
          <w:highlight w:val="none"/>
        </w:rPr>
        <w:t xml:space="preserve"> 代理采购机构于投标截止时间前30分钟开始接收投标文件，并于招标文件“第一部分投标邀请函”规定的开标时间、开标地点公开开标。</w:t>
      </w:r>
    </w:p>
    <w:p>
      <w:pPr>
        <w:pStyle w:val="6"/>
        <w:numPr>
          <w:ilvl w:val="4"/>
          <w:numId w:val="25"/>
        </w:numPr>
        <w:tabs>
          <w:tab w:val="left" w:pos="720"/>
        </w:tabs>
        <w:spacing w:before="240" w:after="120"/>
        <w:ind w:left="2432" w:hanging="2432"/>
        <w:rPr>
          <w:color w:val="000000" w:themeColor="text1"/>
          <w:highlight w:val="none"/>
        </w:rPr>
      </w:pPr>
      <w:bookmarkStart w:id="1087" w:name="_Toc17698"/>
      <w:r>
        <w:rPr>
          <w:rFonts w:hint="eastAsia"/>
          <w:color w:val="000000" w:themeColor="text1"/>
          <w:highlight w:val="none"/>
        </w:rPr>
        <w:t>迟交的投标文件</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hint="eastAsia" w:ascii="宋体"/>
          <w:bCs/>
          <w:color w:val="000000" w:themeColor="text1"/>
          <w:highlight w:val="none"/>
        </w:rPr>
        <w:t>19</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代理采购机构将拒绝在投标截止时间后递交的任何投标文件。</w:t>
      </w:r>
    </w:p>
    <w:p>
      <w:pPr>
        <w:pStyle w:val="6"/>
        <w:numPr>
          <w:ilvl w:val="4"/>
          <w:numId w:val="25"/>
        </w:numPr>
        <w:tabs>
          <w:tab w:val="left" w:pos="720"/>
        </w:tabs>
        <w:spacing w:before="240" w:after="120"/>
        <w:ind w:left="2432" w:hanging="2432"/>
        <w:rPr>
          <w:color w:val="000000" w:themeColor="text1"/>
          <w:highlight w:val="none"/>
        </w:rPr>
      </w:pPr>
      <w:bookmarkStart w:id="1088" w:name="_Toc497224219"/>
      <w:bookmarkStart w:id="1089" w:name="_Toc503785421"/>
      <w:bookmarkStart w:id="1090" w:name="_Toc340677062"/>
      <w:bookmarkStart w:id="1091" w:name="_Toc340507434"/>
      <w:bookmarkStart w:id="1092" w:name="_Toc330459977"/>
      <w:bookmarkStart w:id="1093" w:name="_Toc350438741"/>
      <w:bookmarkStart w:id="1094" w:name="_Toc345513859"/>
      <w:bookmarkStart w:id="1095" w:name="_Toc13169"/>
      <w:bookmarkStart w:id="1096" w:name="_Toc349127618"/>
      <w:bookmarkStart w:id="1097" w:name="_Toc339019881"/>
      <w:bookmarkStart w:id="1098" w:name="_Toc336681572"/>
      <w:bookmarkStart w:id="1099" w:name="_Toc339020007"/>
      <w:bookmarkStart w:id="1100" w:name="_Toc336681927"/>
      <w:bookmarkStart w:id="1101" w:name="_Toc342296752"/>
      <w:bookmarkStart w:id="1102" w:name="_Toc339020225"/>
      <w:bookmarkStart w:id="1103" w:name="_Toc340672861"/>
      <w:bookmarkStart w:id="1104" w:name="_Toc333238625"/>
      <w:bookmarkStart w:id="1105" w:name="_Toc333935679"/>
      <w:bookmarkStart w:id="1106" w:name="_Toc332270338"/>
      <w:bookmarkStart w:id="1107" w:name="_Toc342060366"/>
      <w:bookmarkStart w:id="1108" w:name="_Toc365967065"/>
      <w:bookmarkStart w:id="1109" w:name="_Toc339362292"/>
      <w:bookmarkStart w:id="1110" w:name="_Toc341348330"/>
      <w:bookmarkStart w:id="1111" w:name="_Toc333237780"/>
      <w:bookmarkStart w:id="1112" w:name="_Toc333237669"/>
      <w:bookmarkStart w:id="1113" w:name="_Toc374454592"/>
      <w:bookmarkStart w:id="1114" w:name="_Toc339020087"/>
      <w:bookmarkStart w:id="1115" w:name="_Toc339441079"/>
      <w:bookmarkStart w:id="1116" w:name="_Toc365985171"/>
      <w:bookmarkStart w:id="1117" w:name="_Toc350756442"/>
      <w:bookmarkStart w:id="1118" w:name="_Toc366072520"/>
      <w:bookmarkStart w:id="1119" w:name="_Toc333935338"/>
      <w:bookmarkStart w:id="1120" w:name="_Toc337632350"/>
      <w:bookmarkStart w:id="1121" w:name="_Toc331684030"/>
      <w:bookmarkStart w:id="1122" w:name="_Toc332206700"/>
      <w:bookmarkStart w:id="1123" w:name="_Toc349143581"/>
      <w:bookmarkStart w:id="1124" w:name="_Toc331512890"/>
      <w:r>
        <w:rPr>
          <w:rFonts w:hint="eastAsia"/>
          <w:color w:val="000000" w:themeColor="text1"/>
          <w:highlight w:val="none"/>
        </w:rPr>
        <w:t>投标文件的修改和撤</w:t>
      </w:r>
      <w:bookmarkEnd w:id="1088"/>
      <w:bookmarkEnd w:id="1089"/>
      <w:r>
        <w:rPr>
          <w:rFonts w:hint="eastAsia"/>
          <w:color w:val="000000" w:themeColor="text1"/>
          <w:highlight w:val="none"/>
        </w:rPr>
        <w:t>回</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 xml:space="preserve"> 投标人在</w:t>
      </w:r>
      <w:r>
        <w:rPr>
          <w:rFonts w:hint="eastAsia" w:ascii="宋体"/>
          <w:bCs/>
          <w:color w:val="000000" w:themeColor="text1"/>
          <w:highlight w:val="none"/>
          <w:lang w:val="en-US" w:eastAsia="zh-CN"/>
        </w:rPr>
        <w:t>投标</w:t>
      </w:r>
      <w:r>
        <w:rPr>
          <w:rFonts w:hint="eastAsia" w:ascii="宋体"/>
          <w:bCs/>
          <w:color w:val="000000" w:themeColor="text1"/>
          <w:highlight w:val="none"/>
        </w:rPr>
        <w:t>截止时间前，可以修改或撤回其投标文件。但必须在规定的</w:t>
      </w:r>
      <w:r>
        <w:rPr>
          <w:rFonts w:hint="eastAsia" w:ascii="宋体"/>
          <w:bCs/>
          <w:color w:val="000000" w:themeColor="text1"/>
          <w:highlight w:val="none"/>
          <w:lang w:val="en-US" w:eastAsia="zh-CN"/>
        </w:rPr>
        <w:t>投标</w:t>
      </w:r>
      <w:r>
        <w:rPr>
          <w:rFonts w:hint="eastAsia" w:ascii="宋体"/>
          <w:bCs/>
          <w:color w:val="000000" w:themeColor="text1"/>
          <w:highlight w:val="none"/>
        </w:rPr>
        <w:t>截止时间之前以书面通知到代理采购机构，该通知须有投标人法定代表人（负责人）或其授权代表签字。</w:t>
      </w:r>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 xml:space="preserve"> 投标人对投标文件修改的书面材料或撤销的通知应注明“修改投标文件”或“撤销投标”字样。</w:t>
      </w:r>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在投标截止时间之后，投标人不得对其投标文件做任何修改。</w:t>
      </w:r>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.4</w:t>
      </w:r>
      <w:r>
        <w:rPr>
          <w:rFonts w:hint="eastAsia" w:ascii="宋体"/>
          <w:bCs/>
          <w:color w:val="000000" w:themeColor="text1"/>
          <w:highlight w:val="none"/>
        </w:rPr>
        <w:tab/>
      </w:r>
      <w:r>
        <w:rPr>
          <w:rFonts w:hint="eastAsia" w:ascii="宋体"/>
          <w:bCs/>
          <w:color w:val="000000" w:themeColor="text1"/>
          <w:highlight w:val="none"/>
        </w:rPr>
        <w:t>从投标截止时间至投标文件有效期期满之前，投标人不得撤回其投标文件，否则代理采购机构将按规定不予退还投标保证金。</w:t>
      </w:r>
    </w:p>
    <w:p>
      <w:pPr>
        <w:pStyle w:val="4"/>
        <w:numPr>
          <w:ilvl w:val="1"/>
          <w:numId w:val="0"/>
        </w:numPr>
        <w:rPr>
          <w:color w:val="000000" w:themeColor="text1"/>
          <w:sz w:val="24"/>
          <w:highlight w:val="none"/>
        </w:rPr>
      </w:pPr>
      <w:bookmarkStart w:id="1125" w:name="_Toc339019882"/>
      <w:bookmarkStart w:id="1126" w:name="_Toc374454593"/>
      <w:bookmarkStart w:id="1127" w:name="_Toc350438742"/>
      <w:bookmarkStart w:id="1128" w:name="_Toc339020008"/>
      <w:bookmarkStart w:id="1129" w:name="_Toc365967066"/>
      <w:bookmarkStart w:id="1130" w:name="_Toc331684031"/>
      <w:bookmarkStart w:id="1131" w:name="_Toc333935339"/>
      <w:bookmarkStart w:id="1132" w:name="_Toc366072521"/>
      <w:bookmarkStart w:id="1133" w:name="_Toc503785422"/>
      <w:bookmarkStart w:id="1134" w:name="_Toc342296753"/>
      <w:bookmarkStart w:id="1135" w:name="_Toc350756443"/>
      <w:bookmarkStart w:id="1136" w:name="_Toc341348331"/>
      <w:bookmarkStart w:id="1137" w:name="_Toc333238626"/>
      <w:bookmarkStart w:id="1138" w:name="_Toc331512891"/>
      <w:bookmarkStart w:id="1139" w:name="_Toc365985172"/>
      <w:bookmarkStart w:id="1140" w:name="_Toc339020088"/>
      <w:bookmarkStart w:id="1141" w:name="_Toc330459978"/>
      <w:bookmarkStart w:id="1142" w:name="_Toc345513860"/>
      <w:bookmarkStart w:id="1143" w:name="_Toc337632351"/>
      <w:bookmarkStart w:id="1144" w:name="_Toc339362293"/>
      <w:bookmarkStart w:id="1145" w:name="_Toc333237670"/>
      <w:bookmarkStart w:id="1146" w:name="_Toc340677063"/>
      <w:bookmarkStart w:id="1147" w:name="_Toc349143582"/>
      <w:bookmarkStart w:id="1148" w:name="_Toc333935680"/>
      <w:bookmarkStart w:id="1149" w:name="_Toc340507435"/>
      <w:bookmarkStart w:id="1150" w:name="_Toc336681573"/>
      <w:bookmarkStart w:id="1151" w:name="_Toc349127619"/>
      <w:bookmarkStart w:id="1152" w:name="_Toc342060367"/>
      <w:bookmarkStart w:id="1153" w:name="_Toc497224220"/>
      <w:bookmarkStart w:id="1154" w:name="_Toc340672862"/>
      <w:bookmarkStart w:id="1155" w:name="_Toc332206701"/>
      <w:bookmarkStart w:id="1156" w:name="_Toc339441080"/>
      <w:bookmarkStart w:id="1157" w:name="_Toc333237781"/>
      <w:bookmarkStart w:id="1158" w:name="_Toc332270339"/>
      <w:bookmarkStart w:id="1159" w:name="_Toc339020226"/>
      <w:bookmarkStart w:id="1160" w:name="_Toc336681928"/>
      <w:r>
        <w:rPr>
          <w:color w:val="000000" w:themeColor="text1"/>
          <w:sz w:val="24"/>
          <w:highlight w:val="none"/>
        </w:rPr>
        <w:br w:type="page"/>
      </w:r>
      <w:bookmarkStart w:id="1161" w:name="_Toc16797"/>
      <w:r>
        <w:rPr>
          <w:rFonts w:hint="eastAsia"/>
          <w:color w:val="000000" w:themeColor="text1"/>
          <w:sz w:val="24"/>
          <w:highlight w:val="none"/>
        </w:rPr>
        <w:t>Ｅ开标和评标</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pPr>
        <w:pStyle w:val="6"/>
        <w:numPr>
          <w:ilvl w:val="4"/>
          <w:numId w:val="25"/>
        </w:numPr>
        <w:tabs>
          <w:tab w:val="left" w:pos="720"/>
        </w:tabs>
        <w:spacing w:before="240" w:after="120"/>
        <w:ind w:left="2432" w:hanging="2432"/>
        <w:rPr>
          <w:color w:val="000000" w:themeColor="text1"/>
          <w:highlight w:val="none"/>
        </w:rPr>
      </w:pPr>
      <w:bookmarkStart w:id="1162" w:name="_Toc341348332"/>
      <w:bookmarkStart w:id="1163" w:name="_Toc365985173"/>
      <w:bookmarkStart w:id="1164" w:name="_Toc330459979"/>
      <w:bookmarkStart w:id="1165" w:name="_Toc350756444"/>
      <w:bookmarkStart w:id="1166" w:name="_Toc349127620"/>
      <w:bookmarkStart w:id="1167" w:name="_Toc350438743"/>
      <w:bookmarkStart w:id="1168" w:name="_Toc336681929"/>
      <w:bookmarkStart w:id="1169" w:name="_Toc340507436"/>
      <w:bookmarkStart w:id="1170" w:name="_Toc339020227"/>
      <w:bookmarkStart w:id="1171" w:name="_Toc374454594"/>
      <w:bookmarkStart w:id="1172" w:name="_Toc339020009"/>
      <w:bookmarkStart w:id="1173" w:name="_Toc336681574"/>
      <w:bookmarkStart w:id="1174" w:name="_Toc331512892"/>
      <w:bookmarkStart w:id="1175" w:name="_Toc349143583"/>
      <w:bookmarkStart w:id="1176" w:name="_Toc342296754"/>
      <w:bookmarkStart w:id="1177" w:name="_Toc339362294"/>
      <w:bookmarkStart w:id="1178" w:name="_Toc333237782"/>
      <w:bookmarkStart w:id="1179" w:name="_Toc8250"/>
      <w:bookmarkStart w:id="1180" w:name="_Toc332270340"/>
      <w:bookmarkStart w:id="1181" w:name="_Toc366072522"/>
      <w:bookmarkStart w:id="1182" w:name="_Toc333238627"/>
      <w:bookmarkStart w:id="1183" w:name="_Toc331684032"/>
      <w:bookmarkStart w:id="1184" w:name="_Toc497224221"/>
      <w:bookmarkStart w:id="1185" w:name="_Toc342060368"/>
      <w:bookmarkStart w:id="1186" w:name="_Toc339020089"/>
      <w:bookmarkStart w:id="1187" w:name="_Toc333935340"/>
      <w:bookmarkStart w:id="1188" w:name="_Toc503785423"/>
      <w:bookmarkStart w:id="1189" w:name="_Toc345513861"/>
      <w:bookmarkStart w:id="1190" w:name="_Toc339019883"/>
      <w:bookmarkStart w:id="1191" w:name="_Toc339441081"/>
      <w:bookmarkStart w:id="1192" w:name="_Toc337632352"/>
      <w:bookmarkStart w:id="1193" w:name="_Toc332206702"/>
      <w:bookmarkStart w:id="1194" w:name="_Toc365967067"/>
      <w:bookmarkStart w:id="1195" w:name="_Toc340677064"/>
      <w:bookmarkStart w:id="1196" w:name="_Toc340672863"/>
      <w:bookmarkStart w:id="1197" w:name="_Toc333237671"/>
      <w:bookmarkStart w:id="1198" w:name="_Toc333935681"/>
      <w:r>
        <w:rPr>
          <w:rFonts w:hint="eastAsia"/>
          <w:color w:val="000000" w:themeColor="text1"/>
          <w:highlight w:val="none"/>
        </w:rPr>
        <w:t>开标</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1</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代理采购机构在招标文件中规定的时间和地点公开开标。开标会由代理采购机构主持。投标人代表均需按时参加开标会。参加开标的投标人代表应签名报到以证明其出席。</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1</w:t>
      </w:r>
      <w:r>
        <w:rPr>
          <w:rFonts w:ascii="宋体" w:hAnsi="宋体"/>
          <w:bCs/>
          <w:color w:val="000000" w:themeColor="text1"/>
          <w:highlight w:val="none"/>
        </w:rPr>
        <w:t>.2</w:t>
      </w:r>
      <w:r>
        <w:rPr>
          <w:rFonts w:hint="eastAsia" w:ascii="宋体" w:hAnsi="宋体"/>
          <w:bCs/>
          <w:color w:val="000000" w:themeColor="text1"/>
          <w:highlight w:val="none"/>
        </w:rPr>
        <w:t xml:space="preserve"> </w:t>
      </w:r>
      <w:r>
        <w:rPr>
          <w:rFonts w:hint="eastAsia" w:ascii="宋体" w:hAnsi="宋体"/>
          <w:bCs/>
          <w:color w:val="000000" w:themeColor="text1"/>
          <w:highlight w:val="none"/>
        </w:rPr>
        <w:tab/>
      </w:r>
      <w:r>
        <w:rPr>
          <w:rFonts w:hint="eastAsia" w:ascii="宋体" w:hAnsi="宋体"/>
          <w:bCs/>
          <w:color w:val="000000" w:themeColor="text1"/>
          <w:highlight w:val="none"/>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21.3   在投标截止之前收到的所有投标文件，开标时都应当众拆封并宣读。在开标时没有当众拆封和宣读的投标文件在评标时将不予考虑。提交了可接受的“撤回”通知的投标文件将不予拆封。</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21.4</w:t>
      </w:r>
      <w:r>
        <w:rPr>
          <w:rFonts w:hint="eastAsia" w:ascii="宋体" w:hAnsi="宋体"/>
          <w:bCs/>
          <w:color w:val="000000" w:themeColor="text1"/>
          <w:highlight w:val="none"/>
        </w:rPr>
        <w:tab/>
      </w:r>
      <w:r>
        <w:rPr>
          <w:rFonts w:hint="eastAsia" w:ascii="宋体" w:hAnsi="宋体"/>
          <w:bCs/>
          <w:color w:val="000000" w:themeColor="text1"/>
          <w:highlight w:val="none"/>
        </w:rPr>
        <w:t xml:space="preserve"> 唱标结束后，代理采购机构将做唱标记录，并按规定在唱标记录上签字。</w:t>
      </w:r>
    </w:p>
    <w:p>
      <w:pPr>
        <w:pStyle w:val="6"/>
        <w:numPr>
          <w:ilvl w:val="4"/>
          <w:numId w:val="25"/>
        </w:numPr>
        <w:tabs>
          <w:tab w:val="left" w:pos="720"/>
        </w:tabs>
        <w:spacing w:before="240" w:after="120"/>
        <w:ind w:left="752" w:hanging="751" w:hangingChars="358"/>
        <w:rPr>
          <w:rFonts w:ascii="宋体" w:hAnsi="宋体"/>
          <w:color w:val="000000" w:themeColor="text1"/>
          <w:highlight w:val="none"/>
        </w:rPr>
      </w:pPr>
      <w:bookmarkStart w:id="1199" w:name="_Toc332270341"/>
      <w:bookmarkStart w:id="1200" w:name="_Toc332206703"/>
      <w:bookmarkStart w:id="1201" w:name="_Toc365967068"/>
      <w:bookmarkStart w:id="1202" w:name="_Toc336681575"/>
      <w:bookmarkStart w:id="1203" w:name="_Toc339441082"/>
      <w:bookmarkStart w:id="1204" w:name="_Toc337632353"/>
      <w:bookmarkStart w:id="1205" w:name="_Toc330459980"/>
      <w:bookmarkStart w:id="1206" w:name="_Toc333237783"/>
      <w:bookmarkStart w:id="1207" w:name="_Toc345513862"/>
      <w:bookmarkStart w:id="1208" w:name="_Toc333238628"/>
      <w:bookmarkStart w:id="1209" w:name="_Toc333237672"/>
      <w:bookmarkStart w:id="1210" w:name="_Toc342060369"/>
      <w:bookmarkStart w:id="1211" w:name="_Toc339020090"/>
      <w:bookmarkStart w:id="1212" w:name="_Toc333935682"/>
      <w:bookmarkStart w:id="1213" w:name="_Toc339019884"/>
      <w:bookmarkStart w:id="1214" w:name="_Toc339020228"/>
      <w:bookmarkStart w:id="1215" w:name="_Toc366072523"/>
      <w:bookmarkStart w:id="1216" w:name="_Toc365985174"/>
      <w:bookmarkStart w:id="1217" w:name="_Toc374454595"/>
      <w:bookmarkStart w:id="1218" w:name="_Toc342296755"/>
      <w:bookmarkStart w:id="1219" w:name="_Toc339362295"/>
      <w:bookmarkStart w:id="1220" w:name="_Toc331512893"/>
      <w:bookmarkStart w:id="1221" w:name="_Toc339020010"/>
      <w:bookmarkStart w:id="1222" w:name="_Toc27570"/>
      <w:bookmarkStart w:id="1223" w:name="_Toc350438744"/>
      <w:bookmarkStart w:id="1224" w:name="_Toc340507437"/>
      <w:bookmarkStart w:id="1225" w:name="_Toc336681930"/>
      <w:bookmarkStart w:id="1226" w:name="_Toc503785424"/>
      <w:bookmarkStart w:id="1227" w:name="_Toc341348333"/>
      <w:bookmarkStart w:id="1228" w:name="_Toc349143584"/>
      <w:bookmarkStart w:id="1229" w:name="_Toc340677065"/>
      <w:bookmarkStart w:id="1230" w:name="_Toc497224222"/>
      <w:bookmarkStart w:id="1231" w:name="_Toc340672864"/>
      <w:bookmarkStart w:id="1232" w:name="_Toc350756445"/>
      <w:bookmarkStart w:id="1233" w:name="_Toc331684033"/>
      <w:bookmarkStart w:id="1234" w:name="_Toc349127621"/>
      <w:bookmarkStart w:id="1235" w:name="_Toc333935341"/>
      <w:r>
        <w:rPr>
          <w:rFonts w:hint="eastAsia"/>
          <w:color w:val="000000" w:themeColor="text1"/>
          <w:highlight w:val="none"/>
        </w:rPr>
        <w:t>评标委员会</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pPr>
        <w:pStyle w:val="5"/>
        <w:rPr>
          <w:color w:val="000000" w:themeColor="text1"/>
          <w:highlight w:val="none"/>
        </w:rPr>
      </w:pPr>
      <w:r>
        <w:rPr>
          <w:rFonts w:hint="eastAsia" w:ascii="黑体" w:eastAsia="黑体"/>
          <w:bCs/>
          <w:color w:val="000000" w:themeColor="text1"/>
          <w:kern w:val="2"/>
          <w:sz w:val="21"/>
          <w:szCs w:val="24"/>
          <w:highlight w:val="none"/>
        </w:rPr>
        <w:t>详见第三部份《投标人须知〈投标人须知前附表〉》。</w:t>
      </w:r>
    </w:p>
    <w:p>
      <w:pPr>
        <w:pStyle w:val="6"/>
        <w:numPr>
          <w:ilvl w:val="4"/>
          <w:numId w:val="25"/>
        </w:numPr>
        <w:tabs>
          <w:tab w:val="left" w:pos="720"/>
        </w:tabs>
        <w:spacing w:before="240" w:after="120"/>
        <w:ind w:left="2432" w:hanging="2432"/>
        <w:rPr>
          <w:color w:val="000000" w:themeColor="text1"/>
          <w:highlight w:val="none"/>
        </w:rPr>
      </w:pPr>
      <w:bookmarkStart w:id="1236" w:name="_Toc331512894"/>
      <w:bookmarkStart w:id="1237" w:name="_Toc332206704"/>
      <w:bookmarkStart w:id="1238" w:name="_Toc340507438"/>
      <w:bookmarkStart w:id="1239" w:name="_Toc503785425"/>
      <w:bookmarkStart w:id="1240" w:name="_Toc339020091"/>
      <w:bookmarkStart w:id="1241" w:name="_Toc339020229"/>
      <w:bookmarkStart w:id="1242" w:name="_Toc345513863"/>
      <w:bookmarkStart w:id="1243" w:name="_Toc337632354"/>
      <w:bookmarkStart w:id="1244" w:name="_Toc339020011"/>
      <w:bookmarkStart w:id="1245" w:name="_Toc366072524"/>
      <w:bookmarkStart w:id="1246" w:name="_Toc340672865"/>
      <w:bookmarkStart w:id="1247" w:name="_Toc330459981"/>
      <w:bookmarkStart w:id="1248" w:name="_Toc331684034"/>
      <w:bookmarkStart w:id="1249" w:name="_Toc342060370"/>
      <w:bookmarkStart w:id="1250" w:name="_Toc332270342"/>
      <w:bookmarkStart w:id="1251" w:name="_Toc336681576"/>
      <w:bookmarkStart w:id="1252" w:name="_Toc333238629"/>
      <w:bookmarkStart w:id="1253" w:name="_Toc339362296"/>
      <w:bookmarkStart w:id="1254" w:name="_Toc333935683"/>
      <w:bookmarkStart w:id="1255" w:name="_Toc349143585"/>
      <w:bookmarkStart w:id="1256" w:name="_Toc342296756"/>
      <w:bookmarkStart w:id="1257" w:name="_Toc350438745"/>
      <w:bookmarkStart w:id="1258" w:name="_Toc339441083"/>
      <w:bookmarkStart w:id="1259" w:name="_Toc340677066"/>
      <w:bookmarkStart w:id="1260" w:name="_Toc339019885"/>
      <w:bookmarkStart w:id="1261" w:name="_Toc365967069"/>
      <w:bookmarkStart w:id="1262" w:name="_Toc333935342"/>
      <w:bookmarkStart w:id="1263" w:name="_Toc350756446"/>
      <w:bookmarkStart w:id="1264" w:name="_Toc349127622"/>
      <w:bookmarkStart w:id="1265" w:name="_Toc497224223"/>
      <w:bookmarkStart w:id="1266" w:name="_Toc374454596"/>
      <w:bookmarkStart w:id="1267" w:name="_Toc333237673"/>
      <w:bookmarkStart w:id="1268" w:name="_Toc336681931"/>
      <w:bookmarkStart w:id="1269" w:name="_Toc341348334"/>
      <w:bookmarkStart w:id="1270" w:name="_Toc365985175"/>
      <w:bookmarkStart w:id="1271" w:name="_Toc333237784"/>
      <w:bookmarkStart w:id="1272" w:name="_Toc2900"/>
      <w:r>
        <w:rPr>
          <w:rFonts w:hint="eastAsia"/>
          <w:color w:val="000000" w:themeColor="text1"/>
          <w:highlight w:val="none"/>
        </w:rPr>
        <w:t>对投标文件的初审和响应性的确定</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开标后，评标委员会将组织审查投标文件是否完整，文件签署是否合格，证明文件是否齐全等。</w:t>
      </w:r>
    </w:p>
    <w:p>
      <w:pPr>
        <w:widowControl/>
        <w:tabs>
          <w:tab w:val="left" w:pos="567"/>
        </w:tabs>
        <w:adjustRightInd w:val="0"/>
        <w:snapToGrid w:val="0"/>
        <w:spacing w:line="360" w:lineRule="auto"/>
        <w:ind w:left="752" w:hanging="751" w:hangingChars="358"/>
        <w:jc w:val="left"/>
        <w:rPr>
          <w:rFonts w:ascii="宋体"/>
          <w:bCs/>
          <w:color w:val="000000" w:themeColor="text1"/>
          <w:highlight w:val="none"/>
        </w:rPr>
      </w:pPr>
      <w:r>
        <w:rPr>
          <w:rFonts w:hint="eastAsia" w:ascii="宋体"/>
          <w:bCs/>
          <w:color w:val="000000" w:themeColor="text1"/>
          <w:highlight w:val="none"/>
        </w:rPr>
        <w:t xml:space="preserve">23.2   </w:t>
      </w:r>
      <w:r>
        <w:rPr>
          <w:rFonts w:hint="eastAsia" w:ascii="宋体" w:hAnsi="宋体"/>
          <w:color w:val="000000" w:themeColor="text1"/>
          <w:highlight w:val="none"/>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评标委员会将确定每一投标是否对招标文件的要求做出了实质性的响应，而没有重大偏离。实质性响应的投标是指投标符合招标文件的所有条款、条件和规定且没有重大偏离或保留。重大偏离或保留</w:t>
      </w:r>
      <w:r>
        <w:rPr>
          <w:rFonts w:hint="eastAsia" w:ascii="宋体"/>
          <w:bCs/>
          <w:color w:val="000000" w:themeColor="text1"/>
          <w:highlight w:val="none"/>
          <w:lang w:val="en-US" w:eastAsia="zh-CN"/>
        </w:rPr>
        <w:t>是</w:t>
      </w:r>
      <w:r>
        <w:rPr>
          <w:rFonts w:hint="eastAsia" w:ascii="宋体"/>
          <w:bCs/>
          <w:color w:val="000000" w:themeColor="text1"/>
          <w:highlight w:val="none"/>
        </w:rPr>
        <w:t>指影响到招标文件规定的供货范围、质量和性能，或限制了买方的权力和投标人的义务的规定，而纠正这些偏离将影响到其它提交实质性响应投标的投标人的公平竞争地位。</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4</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评标委员会将拒绝被确定为非实质性响应的投标，投标人不能通过修正或撤销不符之处而使其投标成为实质性响应的投标。</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 xml:space="preserve">5 </w:t>
      </w:r>
      <w:r>
        <w:rPr>
          <w:rFonts w:hint="eastAsia" w:ascii="宋体"/>
          <w:bCs/>
          <w:color w:val="000000" w:themeColor="text1"/>
          <w:highlight w:val="none"/>
        </w:rPr>
        <w:tab/>
      </w:r>
      <w:r>
        <w:rPr>
          <w:rFonts w:hint="eastAsia" w:ascii="宋体" w:hAnsi="宋体"/>
          <w:bCs/>
          <w:color w:val="000000" w:themeColor="text1"/>
          <w:highlight w:val="none"/>
        </w:rPr>
        <w:t>如果发现下列情况之一的，其投标将被拒绝而作无效投标处理：</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资格审查结果为不合格的；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投标人未提交投标保证金或投标保证金金额不足或无效的；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投标函</w:t>
      </w:r>
      <w:r>
        <w:rPr>
          <w:rFonts w:ascii="宋体" w:hAnsi="宋体"/>
          <w:bCs/>
          <w:color w:val="000000" w:themeColor="text1"/>
          <w:highlight w:val="none"/>
        </w:rPr>
        <w:t>未加盖</w:t>
      </w:r>
      <w:r>
        <w:rPr>
          <w:rFonts w:hint="eastAsia" w:ascii="宋体" w:hAnsi="宋体"/>
          <w:bCs/>
          <w:color w:val="000000" w:themeColor="text1"/>
          <w:highlight w:val="none"/>
        </w:rPr>
        <w:t>投标人</w:t>
      </w:r>
      <w:r>
        <w:rPr>
          <w:rFonts w:ascii="宋体" w:hAnsi="宋体"/>
          <w:bCs/>
          <w:color w:val="000000" w:themeColor="text1"/>
          <w:highlight w:val="none"/>
        </w:rPr>
        <w:t>公章</w:t>
      </w:r>
      <w:r>
        <w:rPr>
          <w:rFonts w:hint="eastAsia" w:ascii="宋体" w:hAnsi="宋体"/>
          <w:bCs/>
          <w:color w:val="000000" w:themeColor="text1"/>
          <w:highlight w:val="none"/>
        </w:rPr>
        <w:t>或</w:t>
      </w:r>
      <w:r>
        <w:rPr>
          <w:rFonts w:ascii="宋体" w:hAnsi="宋体"/>
          <w:bCs/>
          <w:color w:val="000000" w:themeColor="text1"/>
          <w:highlight w:val="none"/>
        </w:rPr>
        <w:t>未有</w:t>
      </w:r>
      <w:r>
        <w:rPr>
          <w:rFonts w:hint="eastAsia" w:ascii="宋体" w:hAnsi="宋体"/>
          <w:bCs/>
          <w:color w:val="000000" w:themeColor="text1"/>
          <w:highlight w:val="none"/>
        </w:rPr>
        <w:t>法定代表人（负责人）</w:t>
      </w:r>
      <w:r>
        <w:rPr>
          <w:rFonts w:ascii="宋体" w:hAnsi="宋体"/>
          <w:bCs/>
          <w:color w:val="000000" w:themeColor="text1"/>
          <w:highlight w:val="none"/>
        </w:rPr>
        <w:t>或者被授权人签名的；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未按招标文件规定格式填写或者字迹模糊不清的；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投标报价超出最高投标报价（预算价）上限的；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 xml:space="preserve">投标文件载明的招标项目完工期（服务期）超过招标文件规定的期限，或服务期不满足招标文件规定要求的； </w:t>
      </w:r>
    </w:p>
    <w:p>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投标有效期不足的；</w:t>
      </w:r>
    </w:p>
    <w:p>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投标文件附有采购人或代理采购机构不能接受的条件的；</w:t>
      </w:r>
    </w:p>
    <w:p>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招标文件规定的其他实质性要求的；</w:t>
      </w:r>
    </w:p>
    <w:p>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法律、法规规定的其他废标条款。</w:t>
      </w:r>
    </w:p>
    <w:p>
      <w:pPr>
        <w:pStyle w:val="6"/>
        <w:numPr>
          <w:ilvl w:val="4"/>
          <w:numId w:val="25"/>
        </w:numPr>
        <w:tabs>
          <w:tab w:val="left" w:pos="720"/>
        </w:tabs>
        <w:spacing w:before="240" w:after="120"/>
        <w:ind w:left="2432" w:hanging="2432"/>
        <w:rPr>
          <w:color w:val="000000" w:themeColor="text1"/>
          <w:highlight w:val="none"/>
        </w:rPr>
      </w:pPr>
      <w:bookmarkStart w:id="1273" w:name="_Toc339020012"/>
      <w:bookmarkStart w:id="1274" w:name="_Toc339362297"/>
      <w:bookmarkStart w:id="1275" w:name="_Toc340677067"/>
      <w:bookmarkStart w:id="1276" w:name="_Toc341348335"/>
      <w:bookmarkStart w:id="1277" w:name="_Toc333935343"/>
      <w:bookmarkStart w:id="1278" w:name="_Toc339019886"/>
      <w:bookmarkStart w:id="1279" w:name="_Toc332206705"/>
      <w:bookmarkStart w:id="1280" w:name="_Toc339020092"/>
      <w:bookmarkStart w:id="1281" w:name="_Toc349143586"/>
      <w:bookmarkStart w:id="1282" w:name="_Toc340507439"/>
      <w:bookmarkStart w:id="1283" w:name="_Toc336681577"/>
      <w:bookmarkStart w:id="1284" w:name="_Toc365967070"/>
      <w:bookmarkStart w:id="1285" w:name="_Toc336681932"/>
      <w:bookmarkStart w:id="1286" w:name="_Toc345513864"/>
      <w:bookmarkStart w:id="1287" w:name="_Toc339441084"/>
      <w:bookmarkStart w:id="1288" w:name="_Toc337632355"/>
      <w:bookmarkStart w:id="1289" w:name="_Toc350756447"/>
      <w:bookmarkStart w:id="1290" w:name="_Toc349127623"/>
      <w:bookmarkStart w:id="1291" w:name="_Toc16005"/>
      <w:bookmarkStart w:id="1292" w:name="_Toc339020230"/>
      <w:bookmarkStart w:id="1293" w:name="_Toc333237785"/>
      <w:bookmarkStart w:id="1294" w:name="_Toc333237674"/>
      <w:bookmarkStart w:id="1295" w:name="_Toc342060371"/>
      <w:bookmarkStart w:id="1296" w:name="_Toc340672866"/>
      <w:bookmarkStart w:id="1297" w:name="_Toc366072525"/>
      <w:bookmarkStart w:id="1298" w:name="_Toc342296757"/>
      <w:bookmarkStart w:id="1299" w:name="_Toc365985176"/>
      <w:bookmarkStart w:id="1300" w:name="_Toc333238630"/>
      <w:bookmarkStart w:id="1301" w:name="_Toc331512895"/>
      <w:bookmarkStart w:id="1302" w:name="_Toc374454597"/>
      <w:bookmarkStart w:id="1303" w:name="_Toc333935684"/>
      <w:bookmarkStart w:id="1304" w:name="_Toc350438746"/>
      <w:bookmarkStart w:id="1305" w:name="_Toc331684035"/>
      <w:bookmarkStart w:id="1306" w:name="_Toc330459982"/>
      <w:bookmarkStart w:id="1307" w:name="_Toc332270343"/>
      <w:r>
        <w:rPr>
          <w:rFonts w:hint="eastAsia"/>
          <w:color w:val="000000" w:themeColor="text1"/>
          <w:highlight w:val="none"/>
        </w:rPr>
        <w:t>投标报价的审核</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pPr>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 xml:space="preserve">24.1 </w:t>
      </w:r>
      <w:r>
        <w:rPr>
          <w:rFonts w:hint="eastAsia" w:ascii="宋体" w:hAnsi="宋体"/>
          <w:bCs/>
          <w:color w:val="000000" w:themeColor="text1"/>
          <w:highlight w:val="none"/>
        </w:rPr>
        <w:tab/>
      </w:r>
      <w:r>
        <w:rPr>
          <w:rFonts w:hint="eastAsia" w:ascii="宋体" w:hAnsi="宋体"/>
          <w:bCs/>
          <w:color w:val="000000" w:themeColor="text1"/>
          <w:highlight w:val="none"/>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pPr>
        <w:spacing w:line="360" w:lineRule="auto"/>
        <w:ind w:left="1233" w:hanging="1232" w:hangingChars="587"/>
        <w:jc w:val="left"/>
        <w:rPr>
          <w:rFonts w:ascii="宋体" w:hAnsi="宋体"/>
          <w:bCs/>
          <w:color w:val="000000" w:themeColor="text1"/>
          <w:highlight w:val="none"/>
        </w:rPr>
      </w:pPr>
      <w:r>
        <w:rPr>
          <w:rFonts w:hint="eastAsia" w:ascii="宋体" w:hAnsi="宋体"/>
          <w:bCs/>
          <w:color w:val="000000" w:themeColor="text1"/>
          <w:highlight w:val="none"/>
        </w:rPr>
        <w:t xml:space="preserve">24.2  </w:t>
      </w:r>
      <w:r>
        <w:rPr>
          <w:rFonts w:ascii="宋体" w:hAnsi="宋体"/>
          <w:bCs/>
          <w:color w:val="000000" w:themeColor="text1"/>
          <w:highlight w:val="none"/>
        </w:rPr>
        <w:t>（1）</w:t>
      </w:r>
      <w:r>
        <w:rPr>
          <w:rFonts w:hint="eastAsia" w:ascii="宋体" w:hAnsi="宋体"/>
          <w:bCs/>
          <w:color w:val="000000" w:themeColor="text1"/>
          <w:highlight w:val="none"/>
        </w:rPr>
        <w:t>投标文件中开标一览表(报价表)内容与投标文件中相应内容不一致的，以开标一览表(报价表)为准;</w:t>
      </w:r>
    </w:p>
    <w:p>
      <w:pPr>
        <w:spacing w:line="360" w:lineRule="auto"/>
        <w:ind w:firstLine="707" w:firstLineChars="337"/>
        <w:jc w:val="left"/>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大写金额和小写金额不一致的，以大写金额为准;</w:t>
      </w:r>
    </w:p>
    <w:p>
      <w:pPr>
        <w:spacing w:line="360" w:lineRule="auto"/>
        <w:ind w:firstLine="735" w:firstLineChars="350"/>
        <w:jc w:val="left"/>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单价金额小数点或者百分比有明显错位的，以开标一览表的总价为准，并修改单价;</w:t>
      </w:r>
    </w:p>
    <w:p>
      <w:pPr>
        <w:spacing w:line="360" w:lineRule="auto"/>
        <w:ind w:firstLine="707" w:firstLineChars="337"/>
        <w:jc w:val="left"/>
        <w:rPr>
          <w:rFonts w:ascii="宋体" w:hAnsi="宋体"/>
          <w:bCs/>
          <w:color w:val="000000" w:themeColor="text1"/>
          <w:highlight w:val="none"/>
        </w:rPr>
      </w:pPr>
      <w:r>
        <w:rPr>
          <w:rFonts w:ascii="宋体" w:hAnsi="宋体"/>
          <w:bCs/>
          <w:color w:val="000000" w:themeColor="text1"/>
          <w:highlight w:val="none"/>
        </w:rPr>
        <w:t>（4）</w:t>
      </w:r>
      <w:r>
        <w:rPr>
          <w:rFonts w:hint="eastAsia" w:ascii="宋体" w:hAnsi="宋体"/>
          <w:bCs/>
          <w:color w:val="000000" w:themeColor="text1"/>
          <w:highlight w:val="none"/>
        </w:rPr>
        <w:t>总价金额与按单价汇总金额不一致的，以单价金额计算结果为准。</w:t>
      </w:r>
    </w:p>
    <w:p>
      <w:pPr>
        <w:tabs>
          <w:tab w:val="left" w:pos="753"/>
        </w:tabs>
        <w:adjustRightInd w:val="0"/>
        <w:snapToGrid w:val="0"/>
        <w:spacing w:line="360" w:lineRule="auto"/>
        <w:ind w:left="1276" w:leftChars="351" w:hanging="539" w:hangingChars="257"/>
        <w:rPr>
          <w:rFonts w:ascii="宋体" w:hAnsi="宋体"/>
          <w:bCs/>
          <w:color w:val="000000" w:themeColor="text1"/>
          <w:highlight w:val="none"/>
        </w:rPr>
      </w:pPr>
      <w:r>
        <w:rPr>
          <w:rFonts w:ascii="宋体" w:hAnsi="宋体"/>
          <w:bCs/>
          <w:color w:val="000000" w:themeColor="text1"/>
          <w:highlight w:val="none"/>
        </w:rPr>
        <w:t>（5）</w:t>
      </w:r>
      <w:r>
        <w:rPr>
          <w:rFonts w:hint="eastAsia" w:ascii="宋体" w:hAnsi="宋体"/>
          <w:bCs/>
          <w:color w:val="000000" w:themeColor="text1"/>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6"/>
        <w:numPr>
          <w:ilvl w:val="4"/>
          <w:numId w:val="25"/>
        </w:numPr>
        <w:tabs>
          <w:tab w:val="left" w:pos="720"/>
        </w:tabs>
        <w:spacing w:before="240" w:after="120"/>
        <w:ind w:left="2432" w:hanging="2432"/>
        <w:rPr>
          <w:color w:val="000000" w:themeColor="text1"/>
          <w:highlight w:val="none"/>
        </w:rPr>
      </w:pPr>
      <w:bookmarkStart w:id="1308" w:name="_Toc331512896"/>
      <w:bookmarkStart w:id="1309" w:name="_Toc339020231"/>
      <w:bookmarkStart w:id="1310" w:name="_Toc333237675"/>
      <w:bookmarkStart w:id="1311" w:name="_Toc340677068"/>
      <w:bookmarkStart w:id="1312" w:name="_Toc497224224"/>
      <w:bookmarkStart w:id="1313" w:name="_Toc350438747"/>
      <w:bookmarkStart w:id="1314" w:name="_Toc26140"/>
      <w:bookmarkStart w:id="1315" w:name="_Toc345513865"/>
      <w:bookmarkStart w:id="1316" w:name="_Toc342296758"/>
      <w:bookmarkStart w:id="1317" w:name="_Toc337632356"/>
      <w:bookmarkStart w:id="1318" w:name="_Toc333935685"/>
      <w:bookmarkStart w:id="1319" w:name="_Toc349127624"/>
      <w:bookmarkStart w:id="1320" w:name="_Toc339019887"/>
      <w:bookmarkStart w:id="1321" w:name="_Toc341348336"/>
      <w:bookmarkStart w:id="1322" w:name="_Toc366072526"/>
      <w:bookmarkStart w:id="1323" w:name="_Toc339020013"/>
      <w:bookmarkStart w:id="1324" w:name="_Toc330459983"/>
      <w:bookmarkStart w:id="1325" w:name="_Toc374454598"/>
      <w:bookmarkStart w:id="1326" w:name="_Toc365985177"/>
      <w:bookmarkStart w:id="1327" w:name="_Toc339020093"/>
      <w:bookmarkStart w:id="1328" w:name="_Toc339441085"/>
      <w:bookmarkStart w:id="1329" w:name="_Toc336681578"/>
      <w:bookmarkStart w:id="1330" w:name="_Toc339362298"/>
      <w:bookmarkStart w:id="1331" w:name="_Toc331684036"/>
      <w:bookmarkStart w:id="1332" w:name="_Toc349143587"/>
      <w:bookmarkStart w:id="1333" w:name="_Toc503785426"/>
      <w:bookmarkStart w:id="1334" w:name="_Toc332270344"/>
      <w:bookmarkStart w:id="1335" w:name="_Toc340672867"/>
      <w:bookmarkStart w:id="1336" w:name="_Toc332206706"/>
      <w:bookmarkStart w:id="1337" w:name="_Toc340507440"/>
      <w:bookmarkStart w:id="1338" w:name="_Toc333935344"/>
      <w:bookmarkStart w:id="1339" w:name="_Toc342060372"/>
      <w:bookmarkStart w:id="1340" w:name="_Toc336681933"/>
      <w:bookmarkStart w:id="1341" w:name="_Toc365967071"/>
      <w:bookmarkStart w:id="1342" w:name="_Toc333237786"/>
      <w:bookmarkStart w:id="1343" w:name="_Toc350756448"/>
      <w:bookmarkStart w:id="1344" w:name="_Toc333238631"/>
      <w:r>
        <w:rPr>
          <w:rFonts w:hint="eastAsia"/>
          <w:color w:val="000000" w:themeColor="text1"/>
          <w:highlight w:val="none"/>
        </w:rPr>
        <w:t>询标及投标文件的澄清</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5.</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为了有助于对投标文件进行审查、评估和比较，评标委员会有权向投标人质疑，请投标人澄清其投标内容。投标人有责任按照代理采购机构通知的时间、地点指派专人进行答疑和澄清。</w:t>
      </w:r>
    </w:p>
    <w:p>
      <w:pPr>
        <w:widowControl/>
        <w:tabs>
          <w:tab w:val="left" w:pos="753"/>
        </w:tabs>
        <w:adjustRightInd w:val="0"/>
        <w:snapToGrid w:val="0"/>
        <w:spacing w:line="360" w:lineRule="auto"/>
        <w:ind w:left="752" w:hanging="751" w:hangingChars="358"/>
        <w:rPr>
          <w:rFonts w:ascii="宋体"/>
          <w:color w:val="000000" w:themeColor="text1"/>
          <w:highlight w:val="none"/>
        </w:rPr>
      </w:pPr>
      <w:r>
        <w:rPr>
          <w:rFonts w:ascii="宋体"/>
          <w:color w:val="000000" w:themeColor="text1"/>
          <w:highlight w:val="none"/>
        </w:rPr>
        <w:t>2</w:t>
      </w:r>
      <w:r>
        <w:rPr>
          <w:rFonts w:hint="eastAsia" w:ascii="宋体"/>
          <w:color w:val="000000" w:themeColor="text1"/>
          <w:highlight w:val="none"/>
        </w:rPr>
        <w:t>5</w:t>
      </w:r>
      <w:r>
        <w:rPr>
          <w:rFonts w:ascii="宋体"/>
          <w:color w:val="000000" w:themeColor="text1"/>
          <w:highlight w:val="none"/>
        </w:rPr>
        <w:t>.2</w:t>
      </w:r>
      <w:r>
        <w:rPr>
          <w:rFonts w:hint="eastAsia" w:ascii="宋体"/>
          <w:color w:val="000000" w:themeColor="text1"/>
          <w:highlight w:val="none"/>
        </w:rPr>
        <w:t xml:space="preserve"> </w:t>
      </w:r>
      <w:r>
        <w:rPr>
          <w:rFonts w:hint="eastAsia" w:ascii="宋体"/>
          <w:color w:val="000000" w:themeColor="text1"/>
          <w:highlight w:val="none"/>
        </w:rPr>
        <w:tab/>
      </w:r>
      <w:r>
        <w:rPr>
          <w:rFonts w:hint="eastAsia" w:ascii="宋体"/>
          <w:color w:val="000000" w:themeColor="text1"/>
          <w:highlight w:val="none"/>
        </w:rPr>
        <w:t>重要澄清的答复应是书面的，但不得对投标内容进行实质性修改。</w:t>
      </w:r>
    </w:p>
    <w:p>
      <w:pPr>
        <w:widowControl/>
        <w:tabs>
          <w:tab w:val="left" w:pos="753"/>
        </w:tabs>
        <w:adjustRightInd w:val="0"/>
        <w:snapToGrid w:val="0"/>
        <w:spacing w:line="360" w:lineRule="auto"/>
        <w:ind w:left="752" w:hanging="751" w:hangingChars="358"/>
        <w:rPr>
          <w:color w:val="000000" w:themeColor="text1"/>
          <w:highlight w:val="none"/>
        </w:rPr>
      </w:pPr>
      <w:r>
        <w:rPr>
          <w:rFonts w:hint="eastAsia" w:ascii="宋体" w:hAnsi="宋体"/>
          <w:color w:val="000000" w:themeColor="text1"/>
          <w:highlight w:val="none"/>
        </w:rPr>
        <w:t>25.3</w:t>
      </w:r>
      <w:r>
        <w:rPr>
          <w:rFonts w:hint="eastAsia"/>
          <w:color w:val="000000" w:themeColor="text1"/>
          <w:highlight w:val="none"/>
        </w:rPr>
        <w:tab/>
      </w:r>
      <w:r>
        <w:rPr>
          <w:rFonts w:hint="eastAsia" w:cs="Arial Unicode MS"/>
          <w:color w:val="000000" w:themeColor="text1"/>
          <w:highlight w:val="none"/>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pPr>
        <w:pStyle w:val="6"/>
        <w:numPr>
          <w:ilvl w:val="4"/>
          <w:numId w:val="25"/>
        </w:numPr>
        <w:tabs>
          <w:tab w:val="left" w:pos="720"/>
        </w:tabs>
        <w:spacing w:before="240" w:after="120"/>
        <w:ind w:left="2432" w:hanging="2432"/>
        <w:rPr>
          <w:color w:val="000000" w:themeColor="text1"/>
          <w:highlight w:val="none"/>
        </w:rPr>
      </w:pPr>
      <w:bookmarkStart w:id="1345" w:name="_Toc342296759"/>
      <w:bookmarkStart w:id="1346" w:name="_Toc339020232"/>
      <w:bookmarkStart w:id="1347" w:name="_Toc345513866"/>
      <w:bookmarkStart w:id="1348" w:name="_Toc339019888"/>
      <w:bookmarkStart w:id="1349" w:name="_Toc342060373"/>
      <w:bookmarkStart w:id="1350" w:name="_Toc339362299"/>
      <w:bookmarkStart w:id="1351" w:name="_Toc340677069"/>
      <w:bookmarkStart w:id="1352" w:name="_Toc349127625"/>
      <w:bookmarkStart w:id="1353" w:name="_Toc333237676"/>
      <w:bookmarkStart w:id="1354" w:name="_Toc333238632"/>
      <w:bookmarkStart w:id="1355" w:name="_Toc366072527"/>
      <w:bookmarkStart w:id="1356" w:name="_Toc365985178"/>
      <w:bookmarkStart w:id="1357" w:name="_Toc333935345"/>
      <w:bookmarkStart w:id="1358" w:name="_Toc365967072"/>
      <w:bookmarkStart w:id="1359" w:name="_Toc339020094"/>
      <w:bookmarkStart w:id="1360" w:name="_Toc374454599"/>
      <w:bookmarkStart w:id="1361" w:name="_Toc349143588"/>
      <w:bookmarkStart w:id="1362" w:name="_Toc341348337"/>
      <w:bookmarkStart w:id="1363" w:name="_Toc336681934"/>
      <w:bookmarkStart w:id="1364" w:name="_Toc350438748"/>
      <w:bookmarkStart w:id="1365" w:name="_Toc340507441"/>
      <w:bookmarkStart w:id="1366" w:name="_Toc337632357"/>
      <w:bookmarkStart w:id="1367" w:name="_Toc333237787"/>
      <w:bookmarkStart w:id="1368" w:name="_Toc331512897"/>
      <w:bookmarkStart w:id="1369" w:name="_Toc331684037"/>
      <w:bookmarkStart w:id="1370" w:name="_Toc332206707"/>
      <w:bookmarkStart w:id="1371" w:name="_Toc333935686"/>
      <w:bookmarkStart w:id="1372" w:name="_Toc350756449"/>
      <w:bookmarkStart w:id="1373" w:name="_Toc339441086"/>
      <w:bookmarkStart w:id="1374" w:name="_Toc339020014"/>
      <w:bookmarkStart w:id="1375" w:name="_Toc340672868"/>
      <w:bookmarkStart w:id="1376" w:name="_Toc330459984"/>
      <w:bookmarkStart w:id="1377" w:name="_Toc1414"/>
      <w:bookmarkStart w:id="1378" w:name="_Toc336681579"/>
      <w:bookmarkStart w:id="1379" w:name="_Toc332270345"/>
      <w:r>
        <w:rPr>
          <w:rFonts w:hint="eastAsia"/>
          <w:color w:val="000000" w:themeColor="text1"/>
          <w:highlight w:val="none"/>
        </w:rPr>
        <w:t>评标原则</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pPr>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6</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依据有关法律法规，确定评标标准和方法，维护招标采购当事人的合法权益。</w:t>
      </w:r>
    </w:p>
    <w:p>
      <w:pPr>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26.2</w:t>
      </w:r>
      <w:r>
        <w:rPr>
          <w:rFonts w:hint="eastAsia" w:ascii="宋体"/>
          <w:bCs/>
          <w:color w:val="000000" w:themeColor="text1"/>
          <w:highlight w:val="none"/>
        </w:rPr>
        <w:tab/>
      </w:r>
      <w:r>
        <w:rPr>
          <w:rFonts w:hint="eastAsia" w:ascii="宋体"/>
          <w:bCs/>
          <w:color w:val="000000" w:themeColor="text1"/>
          <w:highlight w:val="none"/>
        </w:rPr>
        <w:t>坚持公平、公正、科学和择优原则。</w:t>
      </w:r>
    </w:p>
    <w:p>
      <w:pPr>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26.3</w:t>
      </w:r>
      <w:r>
        <w:rPr>
          <w:rFonts w:hint="eastAsia" w:ascii="宋体"/>
          <w:bCs/>
          <w:color w:val="000000" w:themeColor="text1"/>
          <w:highlight w:val="none"/>
        </w:rPr>
        <w:tab/>
      </w:r>
      <w:r>
        <w:rPr>
          <w:rFonts w:hint="eastAsia" w:ascii="宋体"/>
          <w:bCs/>
          <w:color w:val="000000" w:themeColor="text1"/>
          <w:highlight w:val="none"/>
        </w:rPr>
        <w:t>实行科学评估、集体决策。</w:t>
      </w:r>
    </w:p>
    <w:p>
      <w:pPr>
        <w:pStyle w:val="6"/>
        <w:numPr>
          <w:ilvl w:val="4"/>
          <w:numId w:val="25"/>
        </w:numPr>
        <w:tabs>
          <w:tab w:val="left" w:pos="720"/>
        </w:tabs>
        <w:spacing w:before="240" w:after="120"/>
        <w:ind w:left="2432" w:hanging="2432"/>
        <w:rPr>
          <w:color w:val="000000" w:themeColor="text1"/>
          <w:highlight w:val="none"/>
        </w:rPr>
      </w:pPr>
      <w:bookmarkStart w:id="1380" w:name="_Toc336681580"/>
      <w:bookmarkStart w:id="1381" w:name="_Toc340677070"/>
      <w:bookmarkStart w:id="1382" w:name="_Toc342060374"/>
      <w:bookmarkStart w:id="1383" w:name="_Toc336681935"/>
      <w:bookmarkStart w:id="1384" w:name="_Toc337632358"/>
      <w:bookmarkStart w:id="1385" w:name="_Toc339020233"/>
      <w:bookmarkStart w:id="1386" w:name="_Toc339019889"/>
      <w:bookmarkStart w:id="1387" w:name="_Toc349127626"/>
      <w:bookmarkStart w:id="1388" w:name="_Toc6057"/>
      <w:bookmarkStart w:id="1389" w:name="_Toc341348338"/>
      <w:bookmarkStart w:id="1390" w:name="_Toc365967073"/>
      <w:bookmarkStart w:id="1391" w:name="_Toc339441087"/>
      <w:bookmarkStart w:id="1392" w:name="_Toc342296760"/>
      <w:bookmarkStart w:id="1393" w:name="_Toc333935346"/>
      <w:bookmarkStart w:id="1394" w:name="_Toc374454600"/>
      <w:bookmarkStart w:id="1395" w:name="_Toc333237788"/>
      <w:bookmarkStart w:id="1396" w:name="_Toc340507442"/>
      <w:bookmarkStart w:id="1397" w:name="_Toc339362300"/>
      <w:bookmarkStart w:id="1398" w:name="_Toc331512898"/>
      <w:bookmarkStart w:id="1399" w:name="_Toc333237677"/>
      <w:bookmarkStart w:id="1400" w:name="_Toc331684038"/>
      <w:bookmarkStart w:id="1401" w:name="_Toc350438749"/>
      <w:bookmarkStart w:id="1402" w:name="_Toc332206708"/>
      <w:bookmarkStart w:id="1403" w:name="_Toc349143589"/>
      <w:bookmarkStart w:id="1404" w:name="_Toc330459985"/>
      <w:bookmarkStart w:id="1405" w:name="_Toc339020095"/>
      <w:bookmarkStart w:id="1406" w:name="_Toc365985179"/>
      <w:bookmarkStart w:id="1407" w:name="_Toc366072528"/>
      <w:bookmarkStart w:id="1408" w:name="_Toc350756450"/>
      <w:bookmarkStart w:id="1409" w:name="_Toc345513867"/>
      <w:bookmarkStart w:id="1410" w:name="_Toc333238633"/>
      <w:bookmarkStart w:id="1411" w:name="_Toc333935687"/>
      <w:bookmarkStart w:id="1412" w:name="_Toc340672869"/>
      <w:bookmarkStart w:id="1413" w:name="_Toc339020015"/>
      <w:bookmarkStart w:id="1414" w:name="_Toc332270346"/>
      <w:r>
        <w:rPr>
          <w:rFonts w:hint="eastAsia"/>
          <w:color w:val="000000" w:themeColor="text1"/>
          <w:highlight w:val="none"/>
        </w:rPr>
        <w:t>评标标准和办法</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pPr>
        <w:pStyle w:val="23"/>
        <w:tabs>
          <w:tab w:val="left" w:pos="753"/>
        </w:tabs>
        <w:adjustRightInd w:val="0"/>
        <w:snapToGrid w:val="0"/>
        <w:spacing w:line="360" w:lineRule="auto"/>
        <w:ind w:left="751" w:leftChars="1" w:hanging="749" w:hangingChars="357"/>
        <w:rPr>
          <w:rFonts w:hAnsi="宋体"/>
          <w:bCs/>
          <w:color w:val="000000" w:themeColor="text1"/>
          <w:highlight w:val="none"/>
        </w:rPr>
      </w:pPr>
      <w:r>
        <w:rPr>
          <w:rFonts w:hint="eastAsia" w:hAnsi="宋体"/>
          <w:bCs/>
          <w:color w:val="000000" w:themeColor="text1"/>
          <w:highlight w:val="none"/>
        </w:rPr>
        <w:t>27.1</w:t>
      </w:r>
      <w:r>
        <w:rPr>
          <w:rFonts w:hint="eastAsia" w:hAnsi="宋体"/>
          <w:bCs/>
          <w:color w:val="000000" w:themeColor="text1"/>
          <w:highlight w:val="none"/>
        </w:rPr>
        <w:tab/>
      </w:r>
      <w:r>
        <w:rPr>
          <w:rFonts w:hint="eastAsia" w:hAnsi="宋体"/>
          <w:bCs/>
          <w:color w:val="000000" w:themeColor="text1"/>
          <w:highlight w:val="none"/>
        </w:rPr>
        <w:t xml:space="preserve">评标委员会将综合分析投标人的各项指标，而不以单项指标的优劣评选出中标单位。对所有投标人的投标评估，都采用相同的程序和标准，评标严格按照招标文件的要求和条件进行。 </w:t>
      </w:r>
    </w:p>
    <w:p>
      <w:pPr>
        <w:pStyle w:val="23"/>
        <w:widowControl/>
        <w:tabs>
          <w:tab w:val="left" w:pos="753"/>
        </w:tabs>
        <w:adjustRightInd w:val="0"/>
        <w:snapToGrid w:val="0"/>
        <w:spacing w:line="360" w:lineRule="auto"/>
        <w:ind w:left="752" w:hanging="751" w:hangingChars="358"/>
        <w:rPr>
          <w:rFonts w:hAnsi="宋体"/>
          <w:color w:val="000000" w:themeColor="text1"/>
          <w:highlight w:val="none"/>
        </w:rPr>
      </w:pPr>
      <w:r>
        <w:rPr>
          <w:rFonts w:hint="eastAsia" w:hAnsi="宋体"/>
          <w:bCs/>
          <w:color w:val="000000" w:themeColor="text1"/>
          <w:highlight w:val="none"/>
        </w:rPr>
        <w:t>27</w:t>
      </w:r>
      <w:r>
        <w:rPr>
          <w:rFonts w:hAnsi="宋体"/>
          <w:bCs/>
          <w:color w:val="000000" w:themeColor="text1"/>
          <w:highlight w:val="none"/>
        </w:rPr>
        <w:t>.2</w:t>
      </w:r>
      <w:r>
        <w:rPr>
          <w:rFonts w:hint="eastAsia" w:hAnsi="宋体"/>
          <w:bCs/>
          <w:color w:val="000000" w:themeColor="text1"/>
          <w:highlight w:val="none"/>
        </w:rPr>
        <w:tab/>
      </w:r>
      <w:bookmarkStart w:id="1415" w:name="_Toc497707712"/>
      <w:bookmarkStart w:id="1416" w:name="_Toc500953375"/>
      <w:bookmarkStart w:id="1417" w:name="_Toc500861023"/>
      <w:r>
        <w:rPr>
          <w:rFonts w:hint="eastAsia" w:hAnsi="宋体"/>
          <w:bCs/>
          <w:color w:val="000000" w:themeColor="text1"/>
          <w:highlight w:val="none"/>
        </w:rPr>
        <w:t>采用计分法（综合评价法）来确定各投标人的排名。其操作程序为：</w:t>
      </w:r>
      <w:r>
        <w:rPr>
          <w:rFonts w:hint="eastAsia" w:hAnsi="宋体"/>
          <w:b/>
          <w:color w:val="000000" w:themeColor="text1"/>
          <w:highlight w:val="none"/>
        </w:rPr>
        <w:t>详见H评标细则。</w:t>
      </w:r>
    </w:p>
    <w:p>
      <w:pPr>
        <w:pStyle w:val="6"/>
        <w:numPr>
          <w:ilvl w:val="4"/>
          <w:numId w:val="25"/>
        </w:numPr>
        <w:tabs>
          <w:tab w:val="left" w:pos="720"/>
        </w:tabs>
        <w:spacing w:before="240" w:after="120"/>
        <w:ind w:left="2432" w:hanging="2432"/>
        <w:rPr>
          <w:color w:val="000000" w:themeColor="text1"/>
          <w:highlight w:val="none"/>
        </w:rPr>
      </w:pPr>
      <w:bookmarkStart w:id="1418" w:name="_Toc327367761"/>
      <w:bookmarkStart w:id="1419" w:name="_Toc366072529"/>
      <w:bookmarkStart w:id="1420" w:name="_Toc14159"/>
      <w:bookmarkStart w:id="1421" w:name="_Toc327368025"/>
      <w:bookmarkStart w:id="1422" w:name="_Toc336681581"/>
      <w:bookmarkStart w:id="1423" w:name="_Toc330459986"/>
      <w:bookmarkStart w:id="1424" w:name="_Toc339362301"/>
      <w:bookmarkStart w:id="1425" w:name="_Toc337632359"/>
      <w:bookmarkStart w:id="1426" w:name="_Toc340507443"/>
      <w:bookmarkStart w:id="1427" w:name="_Toc333237678"/>
      <w:bookmarkStart w:id="1428" w:name="_Toc331684039"/>
      <w:bookmarkStart w:id="1429" w:name="_Toc332270347"/>
      <w:bookmarkStart w:id="1430" w:name="_Toc333237789"/>
      <w:bookmarkStart w:id="1431" w:name="_Toc336681936"/>
      <w:bookmarkStart w:id="1432" w:name="_Toc339020096"/>
      <w:bookmarkStart w:id="1433" w:name="_Toc339019890"/>
      <w:bookmarkStart w:id="1434" w:name="_Toc342296761"/>
      <w:bookmarkStart w:id="1435" w:name="_Toc340672870"/>
      <w:bookmarkStart w:id="1436" w:name="_Toc333238634"/>
      <w:bookmarkStart w:id="1437" w:name="_Toc333935347"/>
      <w:bookmarkStart w:id="1438" w:name="_Toc333935688"/>
      <w:bookmarkStart w:id="1439" w:name="_Toc345513902"/>
      <w:bookmarkStart w:id="1440" w:name="_Toc339441088"/>
      <w:bookmarkStart w:id="1441" w:name="_Toc342060375"/>
      <w:bookmarkStart w:id="1442" w:name="_Toc339020234"/>
      <w:bookmarkStart w:id="1443" w:name="_Toc331512899"/>
      <w:bookmarkStart w:id="1444" w:name="_Toc339020016"/>
      <w:bookmarkStart w:id="1445" w:name="_Toc340677071"/>
      <w:bookmarkStart w:id="1446" w:name="_Toc332206709"/>
      <w:bookmarkStart w:id="1447" w:name="_Toc341348339"/>
      <w:r>
        <w:rPr>
          <w:rFonts w:hint="eastAsia"/>
          <w:color w:val="000000" w:themeColor="text1"/>
          <w:highlight w:val="none"/>
        </w:rPr>
        <w:t>评标注意事项</w:t>
      </w:r>
      <w:bookmarkEnd w:id="1418"/>
      <w:bookmarkEnd w:id="1419"/>
      <w:bookmarkEnd w:id="1420"/>
      <w:bookmarkEnd w:id="1421"/>
    </w:p>
    <w:bookmarkEnd w:id="35"/>
    <w:bookmarkEnd w:id="1415"/>
    <w:bookmarkEnd w:id="1416"/>
    <w:bookmarkEnd w:id="1417"/>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bookmarkStart w:id="1448" w:name="_Toc500861027"/>
      <w:bookmarkStart w:id="1449" w:name="_Toc6727972"/>
      <w:bookmarkStart w:id="1450" w:name="_Toc26066260"/>
      <w:bookmarkStart w:id="1451" w:name="_Toc491658680"/>
      <w:bookmarkStart w:id="1452" w:name="_Toc6397151"/>
      <w:r>
        <w:rPr>
          <w:rFonts w:hint="eastAsia" w:ascii="宋体" w:hAnsi="宋体"/>
          <w:bCs/>
          <w:color w:val="000000" w:themeColor="text1"/>
          <w:highlight w:val="none"/>
        </w:rPr>
        <w:t>28.1</w:t>
      </w:r>
      <w:r>
        <w:rPr>
          <w:rFonts w:hint="eastAsia" w:ascii="宋体" w:hAnsi="宋体"/>
          <w:bCs/>
          <w:color w:val="000000" w:themeColor="text1"/>
          <w:highlight w:val="none"/>
        </w:rPr>
        <w:tab/>
      </w:r>
      <w:r>
        <w:rPr>
          <w:rFonts w:hint="eastAsia" w:ascii="宋体" w:hAnsi="宋体"/>
          <w:bCs/>
          <w:color w:val="000000" w:themeColor="text1"/>
          <w:highlight w:val="none"/>
        </w:rPr>
        <w:t>评标是招标工作的重要环节，评标工作在评标委员会内独立进行。评标委员会将公正、平等地对待所有投标人。</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28.2 </w:t>
      </w:r>
      <w:r>
        <w:rPr>
          <w:rFonts w:hint="eastAsia" w:ascii="宋体" w:hAnsi="宋体"/>
          <w:bCs/>
          <w:color w:val="000000" w:themeColor="text1"/>
          <w:highlight w:val="none"/>
        </w:rPr>
        <w:tab/>
      </w:r>
      <w:r>
        <w:rPr>
          <w:rFonts w:hint="eastAsia" w:ascii="宋体" w:hAnsi="宋体"/>
          <w:bCs/>
          <w:color w:val="000000" w:themeColor="text1"/>
          <w:highlight w:val="none"/>
        </w:rPr>
        <w:t>在开标、评标期间，投标人不得向评委询问评标情况，不得进行旨在影响评标结果的活动。</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28.3</w:t>
      </w:r>
      <w:r>
        <w:rPr>
          <w:rFonts w:hint="eastAsia" w:ascii="宋体" w:hAnsi="宋体"/>
          <w:bCs/>
          <w:color w:val="000000" w:themeColor="text1"/>
          <w:highlight w:val="none"/>
        </w:rPr>
        <w:tab/>
      </w:r>
      <w:r>
        <w:rPr>
          <w:rFonts w:hint="eastAsia" w:ascii="宋体" w:hAnsi="宋体"/>
          <w:bCs/>
          <w:color w:val="000000" w:themeColor="text1"/>
          <w:highlight w:val="none"/>
        </w:rPr>
        <w:t>在招标工作结束后，评标委员会成员和参与评标的有关工作人员不得透露与评标有关的情况。</w:t>
      </w:r>
    </w:p>
    <w:p>
      <w:pPr>
        <w:pStyle w:val="6"/>
        <w:numPr>
          <w:ilvl w:val="4"/>
          <w:numId w:val="25"/>
        </w:numPr>
        <w:tabs>
          <w:tab w:val="left" w:pos="720"/>
        </w:tabs>
        <w:spacing w:before="240" w:after="120"/>
        <w:ind w:left="2432" w:hanging="2432"/>
        <w:rPr>
          <w:color w:val="000000" w:themeColor="text1"/>
          <w:highlight w:val="none"/>
        </w:rPr>
      </w:pPr>
      <w:bookmarkStart w:id="1453" w:name="_Toc333935689"/>
      <w:bookmarkStart w:id="1454" w:name="_Toc339362302"/>
      <w:bookmarkStart w:id="1455" w:name="_Toc337632360"/>
      <w:bookmarkStart w:id="1456" w:name="_Toc330459987"/>
      <w:bookmarkStart w:id="1457" w:name="_Toc333237790"/>
      <w:bookmarkStart w:id="1458" w:name="_Toc340672871"/>
      <w:bookmarkStart w:id="1459" w:name="_Toc333238635"/>
      <w:bookmarkStart w:id="1460" w:name="_Toc331512900"/>
      <w:bookmarkStart w:id="1461" w:name="_Toc339441089"/>
      <w:bookmarkStart w:id="1462" w:name="_Toc349127628"/>
      <w:bookmarkStart w:id="1463" w:name="_Toc350438751"/>
      <w:bookmarkStart w:id="1464" w:name="_Toc339020097"/>
      <w:bookmarkStart w:id="1465" w:name="_Toc332270348"/>
      <w:bookmarkStart w:id="1466" w:name="_Toc8349"/>
      <w:bookmarkStart w:id="1467" w:name="_Toc350756452"/>
      <w:bookmarkStart w:id="1468" w:name="_Toc340677072"/>
      <w:bookmarkStart w:id="1469" w:name="_Toc332206710"/>
      <w:bookmarkStart w:id="1470" w:name="_Toc374454602"/>
      <w:bookmarkStart w:id="1471" w:name="_Toc339020017"/>
      <w:bookmarkStart w:id="1472" w:name="_Toc333237679"/>
      <w:bookmarkStart w:id="1473" w:name="_Toc365985180"/>
      <w:bookmarkStart w:id="1474" w:name="_Toc336681582"/>
      <w:bookmarkStart w:id="1475" w:name="_Toc331684040"/>
      <w:bookmarkStart w:id="1476" w:name="_Toc365967074"/>
      <w:bookmarkStart w:id="1477" w:name="_Toc366072530"/>
      <w:bookmarkStart w:id="1478" w:name="_Toc345513903"/>
      <w:bookmarkStart w:id="1479" w:name="_Toc340507444"/>
      <w:bookmarkStart w:id="1480" w:name="_Toc339020235"/>
      <w:bookmarkStart w:id="1481" w:name="_Toc339019891"/>
      <w:bookmarkStart w:id="1482" w:name="_Toc342060376"/>
      <w:bookmarkStart w:id="1483" w:name="_Toc349143591"/>
      <w:bookmarkStart w:id="1484" w:name="_Toc342296762"/>
      <w:bookmarkStart w:id="1485" w:name="_Toc333935348"/>
      <w:bookmarkStart w:id="1486" w:name="_Toc341348340"/>
      <w:bookmarkStart w:id="1487" w:name="_Toc336681937"/>
      <w:r>
        <w:rPr>
          <w:rFonts w:hint="eastAsia"/>
          <w:color w:val="000000" w:themeColor="text1"/>
          <w:highlight w:val="none"/>
        </w:rPr>
        <w:t>接受和拒绝投标的权利</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29</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评标委员会经评审认为所有投标都不符合招标文件要求的，或所有投标报价均超过预算价且采购人无法支付的，有权否决所有投标。</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29.2</w:t>
      </w:r>
      <w:r>
        <w:rPr>
          <w:rFonts w:hint="eastAsia" w:ascii="宋体" w:hAnsi="宋体"/>
          <w:bCs/>
          <w:color w:val="000000" w:themeColor="text1"/>
          <w:highlight w:val="none"/>
        </w:rPr>
        <w:tab/>
      </w:r>
      <w:r>
        <w:rPr>
          <w:rFonts w:hint="eastAsia" w:ascii="宋体" w:hAnsi="宋体"/>
          <w:bCs/>
          <w:color w:val="000000" w:themeColor="text1"/>
          <w:highlight w:val="none"/>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pPr>
        <w:pStyle w:val="6"/>
        <w:numPr>
          <w:ilvl w:val="4"/>
          <w:numId w:val="25"/>
        </w:numPr>
        <w:tabs>
          <w:tab w:val="left" w:pos="720"/>
        </w:tabs>
        <w:spacing w:before="240" w:after="120"/>
        <w:ind w:left="2432" w:hanging="2432"/>
        <w:rPr>
          <w:color w:val="000000" w:themeColor="text1"/>
          <w:highlight w:val="none"/>
        </w:rPr>
      </w:pPr>
      <w:bookmarkStart w:id="1488" w:name="_Toc27811"/>
      <w:bookmarkStart w:id="1489" w:name="_Toc374454603"/>
      <w:bookmarkStart w:id="1490" w:name="_Toc366072531"/>
      <w:r>
        <w:rPr>
          <w:rFonts w:hint="eastAsia"/>
          <w:color w:val="000000" w:themeColor="text1"/>
          <w:highlight w:val="none"/>
        </w:rPr>
        <w:t>发布中标结果公告和发放中标通知书</w:t>
      </w:r>
      <w:bookmarkEnd w:id="1488"/>
      <w:bookmarkEnd w:id="1489"/>
      <w:bookmarkEnd w:id="1490"/>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bookmarkStart w:id="1491" w:name="_Toc366072532"/>
      <w:r>
        <w:rPr>
          <w:rFonts w:hint="eastAsia" w:ascii="宋体" w:hAnsi="宋体"/>
          <w:color w:val="000000" w:themeColor="text1"/>
          <w:szCs w:val="21"/>
          <w:highlight w:val="none"/>
        </w:rPr>
        <w:t>30.1   采购人或其授权的评标委员会应按照评标报告中推荐的中标候选投标人排名顺序确定中标投标人。</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30.2   中标投标人确认后，中标结果将于指定媒体上公告(</w:t>
      </w:r>
      <w:r>
        <w:rPr>
          <w:rFonts w:hint="eastAsia" w:ascii="黑体" w:eastAsia="黑体"/>
          <w:bCs/>
          <w:color w:val="000000" w:themeColor="text1"/>
          <w:highlight w:val="none"/>
        </w:rPr>
        <w:t>详见第三部份《投标人须知〈投标人须知前附表〉》</w:t>
      </w:r>
      <w:r>
        <w:rPr>
          <w:rFonts w:hint="eastAsia" w:ascii="宋体" w:hAnsi="宋体"/>
          <w:color w:val="000000" w:themeColor="text1"/>
          <w:highlight w:val="none"/>
        </w:rPr>
        <w:t>)</w:t>
      </w:r>
      <w:r>
        <w:rPr>
          <w:rFonts w:hint="eastAsia" w:ascii="宋体" w:hAnsi="宋体"/>
          <w:color w:val="000000" w:themeColor="text1"/>
          <w:szCs w:val="21"/>
          <w:highlight w:val="none"/>
        </w:rPr>
        <w:t>。发布中标结果公告的同时，代理采购机构向中标投标人发出中标通知书。</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30.3   未中标投标人，代理采购机构不再以其它方式另行通知。</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30.4   中标通知书发出后，采购人改变中标结果，或者中标投标人放弃中标，应当承担相应的法律责任。</w:t>
      </w:r>
    </w:p>
    <w:p>
      <w:pPr>
        <w:pStyle w:val="6"/>
        <w:numPr>
          <w:ilvl w:val="4"/>
          <w:numId w:val="25"/>
        </w:numPr>
        <w:tabs>
          <w:tab w:val="left" w:pos="720"/>
        </w:tabs>
        <w:spacing w:before="240" w:after="120"/>
        <w:ind w:left="2432" w:hanging="2432"/>
        <w:rPr>
          <w:color w:val="000000" w:themeColor="text1"/>
          <w:highlight w:val="none"/>
        </w:rPr>
      </w:pPr>
      <w:bookmarkStart w:id="1492" w:name="_Toc3763"/>
      <w:bookmarkStart w:id="1493" w:name="_Toc374454604"/>
      <w:r>
        <w:rPr>
          <w:rFonts w:hint="eastAsia"/>
          <w:color w:val="000000" w:themeColor="text1"/>
          <w:highlight w:val="none"/>
        </w:rPr>
        <w:t>投标人对中标结果的质疑、投诉</w:t>
      </w:r>
      <w:bookmarkEnd w:id="1491"/>
      <w:bookmarkEnd w:id="1492"/>
      <w:bookmarkEnd w:id="1493"/>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bookmarkStart w:id="1494" w:name="_Toc349127631"/>
      <w:bookmarkStart w:id="1495" w:name="_Toc339019894"/>
      <w:bookmarkStart w:id="1496" w:name="_Toc337632363"/>
      <w:bookmarkStart w:id="1497" w:name="_Toc342060379"/>
      <w:bookmarkStart w:id="1498" w:name="_Toc333237793"/>
      <w:bookmarkStart w:id="1499" w:name="_Toc365967077"/>
      <w:bookmarkStart w:id="1500" w:name="_Toc350438754"/>
      <w:bookmarkStart w:id="1501" w:name="_Toc339362305"/>
      <w:bookmarkStart w:id="1502" w:name="_Toc339020020"/>
      <w:bookmarkStart w:id="1503" w:name="_Toc341348343"/>
      <w:bookmarkStart w:id="1504" w:name="_Toc349143594"/>
      <w:bookmarkStart w:id="1505" w:name="_Toc331684043"/>
      <w:bookmarkStart w:id="1506" w:name="_Toc332206713"/>
      <w:bookmarkStart w:id="1507" w:name="_Toc333935351"/>
      <w:bookmarkStart w:id="1508" w:name="_Toc333237682"/>
      <w:bookmarkStart w:id="1509" w:name="_Toc340677075"/>
      <w:bookmarkStart w:id="1510" w:name="_Toc340672874"/>
      <w:bookmarkStart w:id="1511" w:name="_Toc340507447"/>
      <w:bookmarkStart w:id="1512" w:name="_Toc333935692"/>
      <w:bookmarkStart w:id="1513" w:name="_Toc339441092"/>
      <w:bookmarkStart w:id="1514" w:name="_Toc332270351"/>
      <w:bookmarkStart w:id="1515" w:name="_Toc345513906"/>
      <w:bookmarkStart w:id="1516" w:name="_Toc339020238"/>
      <w:bookmarkStart w:id="1517" w:name="_Toc336681585"/>
      <w:bookmarkStart w:id="1518" w:name="_Toc365985183"/>
      <w:bookmarkStart w:id="1519" w:name="_Toc336681940"/>
      <w:bookmarkStart w:id="1520" w:name="_Toc342296765"/>
      <w:bookmarkStart w:id="1521" w:name="_Toc350756455"/>
      <w:bookmarkStart w:id="1522" w:name="_Toc339020100"/>
      <w:bookmarkStart w:id="1523" w:name="_Toc333238638"/>
      <w:bookmarkStart w:id="1524" w:name="_Toc330459990"/>
      <w:bookmarkStart w:id="1525" w:name="_Toc331512903"/>
      <w:r>
        <w:rPr>
          <w:rFonts w:hint="eastAsia" w:ascii="宋体" w:hAnsi="宋体"/>
          <w:color w:val="000000" w:themeColor="text1"/>
          <w:szCs w:val="21"/>
          <w:highlight w:val="none"/>
        </w:rPr>
        <w:t>31.1</w:t>
      </w:r>
      <w:r>
        <w:rPr>
          <w:rFonts w:hint="eastAsia" w:ascii="宋体" w:hAnsi="宋体"/>
          <w:color w:val="000000" w:themeColor="text1"/>
          <w:szCs w:val="21"/>
          <w:highlight w:val="none"/>
        </w:rPr>
        <w:tab/>
      </w:r>
      <w:r>
        <w:rPr>
          <w:rFonts w:hint="eastAsia" w:ascii="宋体" w:hAnsi="宋体"/>
          <w:color w:val="000000" w:themeColor="text1"/>
          <w:szCs w:val="21"/>
          <w:highlight w:val="none"/>
        </w:rPr>
        <w:t>投标人对中标公告有异议的，应当在中标结果公告发布之日起七个工作日内，以书面形式向采购人或代理采购机构提出质疑。</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31.2   采购人或代理采购机构应当在收到投标投标人书面质疑后七个工作日内，对质疑内容作出答复。</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31.3   投标人对采购人或代理采购机构的答复不满意或者采购人、代理采购机构未在规定时间内答复的，可以在答复期满后十五个工作日内按有关规定，向同级人民政府财政部门投诉。</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31.4   财政部门应当在收到投诉后三十个工作日内，对投诉事项作出处理决定。</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31.5   投标人须对质疑或投诉内容的真实性承担责任。</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31.6   质疑函应当署名。质疑投标人为自然人的，应当由本人签字；质疑投标人为法人或其他组织的，应由法定代表人（负责人）或者主要负责人签字并盖公章。</w:t>
      </w:r>
    </w:p>
    <w:p>
      <w:pPr>
        <w:pStyle w:val="4"/>
        <w:numPr>
          <w:ilvl w:val="1"/>
          <w:numId w:val="0"/>
        </w:numPr>
        <w:rPr>
          <w:color w:val="000000" w:themeColor="text1"/>
          <w:sz w:val="24"/>
          <w:highlight w:val="none"/>
        </w:rPr>
      </w:pPr>
      <w:bookmarkStart w:id="1526" w:name="_Toc374454605"/>
      <w:bookmarkStart w:id="1527" w:name="_Toc366072533"/>
      <w:r>
        <w:rPr>
          <w:color w:val="000000" w:themeColor="text1"/>
          <w:sz w:val="24"/>
          <w:highlight w:val="none"/>
        </w:rPr>
        <w:br w:type="page"/>
      </w:r>
      <w:bookmarkStart w:id="1528" w:name="_Toc31817"/>
      <w:r>
        <w:rPr>
          <w:rFonts w:hint="eastAsia"/>
          <w:color w:val="000000" w:themeColor="text1"/>
          <w:sz w:val="24"/>
          <w:highlight w:val="none"/>
        </w:rPr>
        <w:t>Ｆ  授予合同</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pPr>
        <w:pStyle w:val="6"/>
        <w:numPr>
          <w:ilvl w:val="4"/>
          <w:numId w:val="25"/>
        </w:numPr>
        <w:tabs>
          <w:tab w:val="left" w:pos="720"/>
        </w:tabs>
        <w:spacing w:before="240" w:after="120"/>
        <w:ind w:left="2432" w:hanging="2432"/>
        <w:rPr>
          <w:color w:val="000000" w:themeColor="text1"/>
          <w:highlight w:val="none"/>
        </w:rPr>
      </w:pPr>
      <w:bookmarkStart w:id="1529" w:name="_Toc468606048"/>
      <w:bookmarkStart w:id="1530" w:name="_Toc365985184"/>
      <w:bookmarkStart w:id="1531" w:name="_Toc349143595"/>
      <w:bookmarkStart w:id="1532" w:name="_Toc340677076"/>
      <w:bookmarkStart w:id="1533" w:name="_Toc17833"/>
      <w:bookmarkStart w:id="1534" w:name="_Toc500861016"/>
      <w:bookmarkStart w:id="1535" w:name="_Toc333237794"/>
      <w:bookmarkStart w:id="1536" w:name="_Toc366072534"/>
      <w:bookmarkStart w:id="1537" w:name="_Toc350438755"/>
      <w:bookmarkStart w:id="1538" w:name="_Toc468157555"/>
      <w:bookmarkStart w:id="1539" w:name="_Toc345513907"/>
      <w:bookmarkStart w:id="1540" w:name="_Toc340672875"/>
      <w:bookmarkStart w:id="1541" w:name="_Toc374454606"/>
      <w:bookmarkStart w:id="1542" w:name="_Toc331512904"/>
      <w:bookmarkStart w:id="1543" w:name="_Toc331684044"/>
      <w:bookmarkStart w:id="1544" w:name="_Toc333935352"/>
      <w:bookmarkStart w:id="1545" w:name="_Toc365967078"/>
      <w:bookmarkStart w:id="1546" w:name="_Toc339020101"/>
      <w:bookmarkStart w:id="1547" w:name="_Toc333238639"/>
      <w:bookmarkStart w:id="1548" w:name="_Toc336681586"/>
      <w:bookmarkStart w:id="1549" w:name="_Toc333935693"/>
      <w:bookmarkStart w:id="1550" w:name="_Toc480021072"/>
      <w:bookmarkStart w:id="1551" w:name="_Toc350756456"/>
      <w:bookmarkStart w:id="1552" w:name="_Toc332270352"/>
      <w:bookmarkStart w:id="1553" w:name="_Toc342060380"/>
      <w:bookmarkStart w:id="1554" w:name="_Toc330459991"/>
      <w:bookmarkStart w:id="1555" w:name="_Toc491658670"/>
      <w:bookmarkStart w:id="1556" w:name="_Toc339441093"/>
      <w:bookmarkStart w:id="1557" w:name="_Toc480010727"/>
      <w:bookmarkStart w:id="1558" w:name="_Toc339019895"/>
      <w:bookmarkStart w:id="1559" w:name="_Toc339020239"/>
      <w:bookmarkStart w:id="1560" w:name="_Toc467236759"/>
      <w:bookmarkStart w:id="1561" w:name="_Toc332206714"/>
      <w:bookmarkStart w:id="1562" w:name="_Toc339020021"/>
      <w:bookmarkStart w:id="1563" w:name="_Toc342296766"/>
      <w:bookmarkStart w:id="1564" w:name="_Toc349127632"/>
      <w:bookmarkStart w:id="1565" w:name="_Toc479991601"/>
      <w:bookmarkStart w:id="1566" w:name="_Toc467987842"/>
      <w:bookmarkStart w:id="1567" w:name="_Toc480020276"/>
      <w:bookmarkStart w:id="1568" w:name="_Toc341348344"/>
      <w:bookmarkStart w:id="1569" w:name="_Toc333237683"/>
      <w:bookmarkStart w:id="1570" w:name="_Toc336681941"/>
      <w:bookmarkStart w:id="1571" w:name="_Toc340507448"/>
      <w:bookmarkStart w:id="1572" w:name="_Toc339362306"/>
      <w:bookmarkStart w:id="1573" w:name="_Toc337632364"/>
      <w:bookmarkStart w:id="1574" w:name="_Toc454701400"/>
      <w:bookmarkStart w:id="1575" w:name="_Toc458262633"/>
      <w:r>
        <w:rPr>
          <w:rFonts w:hint="eastAsia"/>
          <w:color w:val="000000" w:themeColor="text1"/>
          <w:highlight w:val="none"/>
        </w:rPr>
        <w:t>合同授予标准</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pPr>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2</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 xml:space="preserve"> 按第30条规定，采购人将把合同授予此次招标的中标投标人。</w:t>
      </w:r>
    </w:p>
    <w:bookmarkEnd w:id="1574"/>
    <w:bookmarkEnd w:id="1575"/>
    <w:p>
      <w:pPr>
        <w:pStyle w:val="6"/>
        <w:numPr>
          <w:ilvl w:val="4"/>
          <w:numId w:val="25"/>
        </w:numPr>
        <w:tabs>
          <w:tab w:val="left" w:pos="720"/>
        </w:tabs>
        <w:spacing w:before="240" w:after="120"/>
        <w:ind w:left="2432" w:hanging="2432"/>
        <w:rPr>
          <w:color w:val="000000" w:themeColor="text1"/>
          <w:highlight w:val="none"/>
        </w:rPr>
      </w:pPr>
      <w:bookmarkStart w:id="1576" w:name="_Toc366072535"/>
      <w:bookmarkStart w:id="1577" w:name="_Toc491658674"/>
      <w:bookmarkStart w:id="1578" w:name="_Toc467987846"/>
      <w:bookmarkStart w:id="1579" w:name="_Toc337632365"/>
      <w:bookmarkStart w:id="1580" w:name="_Toc365967079"/>
      <w:bookmarkStart w:id="1581" w:name="_Toc339441094"/>
      <w:bookmarkStart w:id="1582" w:name="_Toc500861020"/>
      <w:bookmarkStart w:id="1583" w:name="_Toc333935353"/>
      <w:bookmarkStart w:id="1584" w:name="_Toc331684045"/>
      <w:bookmarkStart w:id="1585" w:name="_Toc332270353"/>
      <w:bookmarkStart w:id="1586" w:name="_Toc350756457"/>
      <w:bookmarkStart w:id="1587" w:name="_Toc454701402"/>
      <w:bookmarkStart w:id="1588" w:name="_Toc333237795"/>
      <w:bookmarkStart w:id="1589" w:name="_Toc480020280"/>
      <w:bookmarkStart w:id="1590" w:name="_Toc365985185"/>
      <w:bookmarkStart w:id="1591" w:name="_Toc480021076"/>
      <w:bookmarkStart w:id="1592" w:name="_Toc479991605"/>
      <w:bookmarkStart w:id="1593" w:name="_Toc339020240"/>
      <w:bookmarkStart w:id="1594" w:name="_Toc467236763"/>
      <w:bookmarkStart w:id="1595" w:name="_Toc350438756"/>
      <w:bookmarkStart w:id="1596" w:name="_Toc342060381"/>
      <w:bookmarkStart w:id="1597" w:name="_Toc458262635"/>
      <w:bookmarkStart w:id="1598" w:name="_Toc333238640"/>
      <w:bookmarkStart w:id="1599" w:name="_Toc341348345"/>
      <w:bookmarkStart w:id="1600" w:name="_Toc480010731"/>
      <w:bookmarkStart w:id="1601" w:name="_Toc339019896"/>
      <w:bookmarkStart w:id="1602" w:name="_Toc339020102"/>
      <w:bookmarkStart w:id="1603" w:name="_Toc339362307"/>
      <w:bookmarkStart w:id="1604" w:name="_Toc336681942"/>
      <w:bookmarkStart w:id="1605" w:name="_Toc340507449"/>
      <w:bookmarkStart w:id="1606" w:name="_Toc468157559"/>
      <w:bookmarkStart w:id="1607" w:name="_Toc340677077"/>
      <w:bookmarkStart w:id="1608" w:name="_Toc349127633"/>
      <w:bookmarkStart w:id="1609" w:name="_Toc336681587"/>
      <w:bookmarkStart w:id="1610" w:name="_Toc342296767"/>
      <w:bookmarkStart w:id="1611" w:name="_Toc349143596"/>
      <w:bookmarkStart w:id="1612" w:name="_Toc340672876"/>
      <w:bookmarkStart w:id="1613" w:name="_Toc333935694"/>
      <w:bookmarkStart w:id="1614" w:name="_Toc468606052"/>
      <w:bookmarkStart w:id="1615" w:name="_Toc345513908"/>
      <w:bookmarkStart w:id="1616" w:name="_Toc339020022"/>
      <w:bookmarkStart w:id="1617" w:name="_Toc330459992"/>
      <w:bookmarkStart w:id="1618" w:name="_Toc374454607"/>
      <w:bookmarkStart w:id="1619" w:name="_Toc333237684"/>
      <w:bookmarkStart w:id="1620" w:name="_Toc332206715"/>
      <w:bookmarkStart w:id="1621" w:name="_Toc331512905"/>
      <w:bookmarkStart w:id="1622" w:name="_Toc19153"/>
      <w:r>
        <w:rPr>
          <w:rFonts w:hint="eastAsia"/>
          <w:color w:val="000000" w:themeColor="text1"/>
          <w:highlight w:val="none"/>
        </w:rPr>
        <w:t>签订合同</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pPr>
        <w:widowControl/>
        <w:tabs>
          <w:tab w:val="left" w:pos="753"/>
        </w:tabs>
        <w:adjustRightInd w:val="0"/>
        <w:snapToGrid w:val="0"/>
        <w:spacing w:line="360" w:lineRule="auto"/>
        <w:ind w:left="753" w:hanging="753"/>
        <w:rPr>
          <w:rFonts w:ascii="宋体" w:hAnsi="宋体"/>
          <w:bCs/>
          <w:color w:val="000000" w:themeColor="text1"/>
          <w:highlight w:val="none"/>
        </w:rPr>
      </w:pPr>
      <w:bookmarkStart w:id="1623" w:name="_Toc370309169"/>
      <w:bookmarkStart w:id="1624" w:name="_Toc374454608"/>
      <w:bookmarkStart w:id="1625" w:name="_Toc374093632"/>
      <w:bookmarkStart w:id="1626" w:name="_Toc366072536"/>
      <w:bookmarkStart w:id="1627" w:name="_Toc367095382"/>
      <w:bookmarkStart w:id="1628" w:name="_Toc366681897"/>
      <w:bookmarkStart w:id="1629" w:name="_Toc373401413"/>
      <w:bookmarkStart w:id="1630" w:name="_Toc372209289"/>
      <w:bookmarkStart w:id="1631" w:name="_Toc378261823"/>
      <w:bookmarkStart w:id="1632" w:name="_Toc379896705"/>
      <w:bookmarkStart w:id="1633" w:name="_Toc370983962"/>
      <w:bookmarkStart w:id="1634" w:name="_Toc369700990"/>
      <w:bookmarkStart w:id="1635" w:name="_Toc383069738"/>
      <w:bookmarkStart w:id="1636" w:name="_Toc377129068"/>
      <w:bookmarkStart w:id="1637" w:name="_Toc339362308"/>
      <w:bookmarkStart w:id="1638" w:name="_Toc345513909"/>
      <w:bookmarkStart w:id="1639" w:name="_Toc333237685"/>
      <w:bookmarkStart w:id="1640" w:name="_Toc342296768"/>
      <w:bookmarkStart w:id="1641" w:name="_Toc365967080"/>
      <w:bookmarkStart w:id="1642" w:name="_Toc339019897"/>
      <w:bookmarkStart w:id="1643" w:name="_Toc342060382"/>
      <w:bookmarkStart w:id="1644" w:name="_Toc340507450"/>
      <w:bookmarkStart w:id="1645" w:name="_Toc339020023"/>
      <w:bookmarkStart w:id="1646" w:name="_Toc331684046"/>
      <w:bookmarkStart w:id="1647" w:name="_Toc340677078"/>
      <w:bookmarkStart w:id="1648" w:name="_Toc333935354"/>
      <w:bookmarkStart w:id="1649" w:name="_Toc332270354"/>
      <w:bookmarkStart w:id="1650" w:name="_Toc337632366"/>
      <w:bookmarkStart w:id="1651" w:name="_Toc333238641"/>
      <w:bookmarkStart w:id="1652" w:name="_Toc340672877"/>
      <w:bookmarkStart w:id="1653" w:name="_Toc339020241"/>
      <w:bookmarkStart w:id="1654" w:name="_Toc350438757"/>
      <w:bookmarkStart w:id="1655" w:name="_Toc341348346"/>
      <w:bookmarkStart w:id="1656" w:name="_Toc339441095"/>
      <w:bookmarkStart w:id="1657" w:name="_Toc333935695"/>
      <w:bookmarkStart w:id="1658" w:name="_Toc333237796"/>
      <w:bookmarkStart w:id="1659" w:name="_Toc339020103"/>
      <w:bookmarkStart w:id="1660" w:name="_Toc349143597"/>
      <w:bookmarkStart w:id="1661" w:name="_Toc336681943"/>
      <w:bookmarkStart w:id="1662" w:name="_Toc332206716"/>
      <w:bookmarkStart w:id="1663" w:name="_Toc350756458"/>
      <w:bookmarkStart w:id="1664" w:name="_Toc336681588"/>
      <w:bookmarkStart w:id="1665" w:name="_Toc349127634"/>
      <w:bookmarkStart w:id="1666" w:name="_Toc365985186"/>
      <w:bookmarkStart w:id="1667" w:name="_Toc331512906"/>
      <w:bookmarkStart w:id="1668" w:name="_Toc330459993"/>
      <w:r>
        <w:rPr>
          <w:rFonts w:ascii="宋体" w:hAnsi="宋体"/>
          <w:bCs/>
          <w:color w:val="000000" w:themeColor="text1"/>
          <w:highlight w:val="none"/>
        </w:rPr>
        <w:t>3</w:t>
      </w:r>
      <w:r>
        <w:rPr>
          <w:rFonts w:hint="eastAsia" w:ascii="宋体" w:hAnsi="宋体"/>
          <w:bCs/>
          <w:color w:val="000000" w:themeColor="text1"/>
          <w:highlight w:val="none"/>
        </w:rPr>
        <w:t>3</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pPr>
        <w:widowControl/>
        <w:tabs>
          <w:tab w:val="left" w:pos="753"/>
        </w:tabs>
        <w:adjustRightInd w:val="0"/>
        <w:snapToGrid w:val="0"/>
        <w:spacing w:line="360" w:lineRule="auto"/>
        <w:ind w:left="753" w:hanging="753"/>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3</w:t>
      </w:r>
      <w:r>
        <w:rPr>
          <w:rFonts w:ascii="宋体" w:hAnsi="宋体"/>
          <w:bCs/>
          <w:color w:val="000000" w:themeColor="text1"/>
          <w:highlight w:val="none"/>
        </w:rPr>
        <w:t>.2</w:t>
      </w:r>
      <w:r>
        <w:rPr>
          <w:rFonts w:hint="eastAsia" w:ascii="宋体" w:hAnsi="宋体"/>
          <w:bCs/>
          <w:color w:val="000000" w:themeColor="text1"/>
          <w:highlight w:val="none"/>
        </w:rPr>
        <w:t xml:space="preserve"> </w:t>
      </w:r>
      <w:r>
        <w:rPr>
          <w:rFonts w:hint="eastAsia" w:ascii="宋体" w:hAnsi="宋体"/>
          <w:bCs/>
          <w:color w:val="000000" w:themeColor="text1"/>
          <w:highlight w:val="none"/>
        </w:rPr>
        <w:tab/>
      </w:r>
      <w:r>
        <w:rPr>
          <w:rFonts w:hint="eastAsia" w:ascii="宋体" w:hAnsi="宋体"/>
          <w:bCs/>
          <w:color w:val="000000" w:themeColor="text1"/>
          <w:highlight w:val="none"/>
        </w:rPr>
        <w:t>采购人应当自采购合同签订之日起七个工作日内，按照有关规定将采购合同副本</w:t>
      </w:r>
      <w:r>
        <w:rPr>
          <w:rFonts w:hint="eastAsia" w:ascii="宋体" w:hAnsi="宋体"/>
          <w:bCs/>
          <w:color w:val="000000" w:themeColor="text1"/>
          <w:highlight w:val="none"/>
          <w:lang w:val="en-US" w:eastAsia="zh-CN"/>
        </w:rPr>
        <w:t>送</w:t>
      </w:r>
      <w:r>
        <w:rPr>
          <w:rFonts w:hint="eastAsia" w:ascii="宋体" w:hAnsi="宋体"/>
          <w:bCs/>
          <w:color w:val="000000" w:themeColor="text1"/>
          <w:highlight w:val="none"/>
        </w:rPr>
        <w:t>代理采购机构备案。</w:t>
      </w:r>
    </w:p>
    <w:p>
      <w:pPr>
        <w:widowControl/>
        <w:tabs>
          <w:tab w:val="left" w:pos="753"/>
        </w:tabs>
        <w:adjustRightInd w:val="0"/>
        <w:snapToGrid w:val="0"/>
        <w:spacing w:line="360" w:lineRule="auto"/>
        <w:ind w:left="753" w:hanging="753"/>
        <w:rPr>
          <w:rFonts w:ascii="宋体" w:hAnsi="宋体"/>
          <w:bCs/>
          <w:color w:val="000000" w:themeColor="text1"/>
          <w:highlight w:val="none"/>
        </w:rPr>
      </w:pPr>
      <w:r>
        <w:rPr>
          <w:rFonts w:hint="eastAsia" w:ascii="宋体" w:hAnsi="宋体" w:cs="Arial"/>
          <w:color w:val="000000" w:themeColor="text1"/>
          <w:szCs w:val="21"/>
          <w:highlight w:val="none"/>
        </w:rPr>
        <w:t xml:space="preserve">33.3   </w:t>
      </w:r>
      <w:r>
        <w:rPr>
          <w:rFonts w:ascii="宋体" w:hAnsi="宋体"/>
          <w:bCs/>
          <w:color w:val="000000" w:themeColor="text1"/>
          <w:highlight w:val="none"/>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rPr>
        <w:t>。</w:t>
      </w: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Pr>
        <w:pStyle w:val="4"/>
        <w:numPr>
          <w:ilvl w:val="1"/>
          <w:numId w:val="0"/>
        </w:numPr>
        <w:rPr>
          <w:color w:val="000000" w:themeColor="text1"/>
          <w:sz w:val="24"/>
          <w:highlight w:val="none"/>
        </w:rPr>
      </w:pPr>
      <w:bookmarkStart w:id="1669" w:name="_Toc430771059"/>
      <w:bookmarkStart w:id="1670" w:name="_Toc4204"/>
      <w:bookmarkStart w:id="1671" w:name="_Toc432682726"/>
      <w:bookmarkStart w:id="1672" w:name="_Toc500861024"/>
      <w:bookmarkStart w:id="1673" w:name="_Toc480010734"/>
      <w:bookmarkStart w:id="1674" w:name="_Toc480020283"/>
      <w:bookmarkStart w:id="1675" w:name="_Toc467987849"/>
      <w:bookmarkStart w:id="1676" w:name="_Toc480021079"/>
      <w:bookmarkStart w:id="1677" w:name="_Toc468606055"/>
      <w:bookmarkStart w:id="1678" w:name="_Toc479991608"/>
      <w:bookmarkStart w:id="1679" w:name="_Toc491658677"/>
      <w:bookmarkStart w:id="1680" w:name="_Toc467236766"/>
      <w:bookmarkStart w:id="1681" w:name="_Toc468157562"/>
      <w:r>
        <w:rPr>
          <w:color w:val="000000" w:themeColor="text1"/>
          <w:sz w:val="24"/>
          <w:highlight w:val="none"/>
        </w:rPr>
        <w:t>G</w:t>
      </w:r>
      <w:r>
        <w:rPr>
          <w:rFonts w:hint="eastAsia"/>
          <w:color w:val="000000" w:themeColor="text1"/>
          <w:sz w:val="24"/>
          <w:highlight w:val="none"/>
        </w:rPr>
        <w:t>、政府采购政策</w:t>
      </w:r>
      <w:bookmarkEnd w:id="1669"/>
      <w:bookmarkEnd w:id="1670"/>
      <w:bookmarkEnd w:id="1671"/>
    </w:p>
    <w:p>
      <w:pPr>
        <w:spacing w:line="360" w:lineRule="auto"/>
        <w:ind w:left="735" w:hanging="735" w:hangingChars="350"/>
        <w:rPr>
          <w:rFonts w:hint="eastAsia" w:ascii="宋体" w:hAnsi="宋体" w:eastAsia="宋体" w:cs="宋体"/>
          <w:color w:val="000000" w:themeColor="text1"/>
          <w:highlight w:val="none"/>
        </w:rPr>
      </w:pPr>
      <w:bookmarkStart w:id="1682" w:name="_Toc430185803"/>
      <w:bookmarkStart w:id="1683" w:name="_Toc430771060"/>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4</w:t>
      </w:r>
      <w:r>
        <w:rPr>
          <w:rFonts w:hint="eastAsia" w:ascii="宋体" w:hAnsi="宋体" w:eastAsia="宋体" w:cs="宋体"/>
          <w:color w:val="000000" w:themeColor="text1"/>
          <w:highlight w:val="none"/>
        </w:rPr>
        <w:t xml:space="preserve">     </w:t>
      </w:r>
      <w:bookmarkStart w:id="1684" w:name="_Hlk499217741"/>
      <w:r>
        <w:rPr>
          <w:rFonts w:hint="eastAsia" w:ascii="宋体" w:hAnsi="宋体" w:eastAsia="宋体" w:cs="宋体"/>
          <w:color w:val="000000" w:themeColor="text1"/>
          <w:highlight w:val="none"/>
        </w:rPr>
        <w:t>若没有明示采购进口产品的，则视为采购产品为非进口产品（进口产品指中国海关验放进入中国境内且产自关境外的产品）。</w:t>
      </w:r>
      <w:bookmarkEnd w:id="1682"/>
      <w:bookmarkEnd w:id="1683"/>
      <w:bookmarkEnd w:id="1684"/>
    </w:p>
    <w:p>
      <w:pPr>
        <w:spacing w:line="360" w:lineRule="auto"/>
        <w:ind w:left="735" w:hanging="735" w:hangingChars="350"/>
        <w:rPr>
          <w:rFonts w:hint="eastAsia" w:ascii="宋体" w:hAnsi="宋体" w:eastAsia="宋体" w:cs="宋体"/>
          <w:color w:val="000000" w:themeColor="text1"/>
          <w:highlight w:val="none"/>
        </w:rPr>
      </w:pPr>
      <w:bookmarkStart w:id="1685" w:name="_Toc430771061"/>
      <w:bookmarkStart w:id="1686" w:name="_Toc430185804"/>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5</w:t>
      </w:r>
      <w:r>
        <w:rPr>
          <w:rFonts w:hint="eastAsia" w:ascii="宋体" w:hAnsi="宋体" w:eastAsia="宋体" w:cs="宋体"/>
          <w:color w:val="000000" w:themeColor="text1"/>
          <w:highlight w:val="none"/>
        </w:rPr>
        <w:t xml:space="preserve">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685"/>
      <w:bookmarkEnd w:id="1686"/>
    </w:p>
    <w:p>
      <w:pPr>
        <w:spacing w:line="360" w:lineRule="auto"/>
        <w:ind w:left="735" w:hanging="735" w:hangingChars="350"/>
        <w:rPr>
          <w:rFonts w:hint="eastAsia" w:ascii="宋体" w:hAnsi="宋体" w:eastAsia="宋体" w:cs="宋体"/>
          <w:color w:val="000000" w:themeColor="text1"/>
          <w:highlight w:val="none"/>
        </w:rPr>
      </w:pPr>
      <w:bookmarkStart w:id="1687" w:name="_Toc430185805"/>
      <w:bookmarkStart w:id="1688" w:name="_Toc430771062"/>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6</w:t>
      </w:r>
      <w:r>
        <w:rPr>
          <w:rFonts w:hint="eastAsia" w:ascii="宋体" w:hAnsi="宋体" w:eastAsia="宋体" w:cs="宋体"/>
          <w:color w:val="000000" w:themeColor="text1"/>
          <w:highlight w:val="none"/>
        </w:rPr>
        <w:t xml:space="preserve">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"http://www.ccgp.gov.cn"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http://www.ccgp.gov.cn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/）、国家环境保护总局网（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"http://www.ccgp.gov.cn"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http://www.sepa.gov.cn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/）、中国绿色采购网（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"http://www.cgpn.cn"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http://www.cgpn.cn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/）上发布。</w:t>
      </w:r>
      <w:bookmarkEnd w:id="1687"/>
      <w:bookmarkEnd w:id="1688"/>
    </w:p>
    <w:p>
      <w:pPr>
        <w:spacing w:line="360" w:lineRule="auto"/>
        <w:ind w:left="735" w:hanging="735" w:hangingChars="350"/>
        <w:rPr>
          <w:rFonts w:hint="eastAsia" w:ascii="宋体" w:hAnsi="宋体" w:eastAsia="宋体" w:cs="宋体"/>
          <w:color w:val="000000" w:themeColor="text1"/>
          <w:highlight w:val="none"/>
        </w:rPr>
      </w:pPr>
      <w:bookmarkStart w:id="1689" w:name="_Toc430771063"/>
      <w:bookmarkStart w:id="1690" w:name="_Toc430185806"/>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7</w:t>
      </w:r>
      <w:r>
        <w:rPr>
          <w:rFonts w:hint="eastAsia" w:ascii="宋体" w:hAnsi="宋体" w:eastAsia="宋体" w:cs="宋体"/>
          <w:color w:val="000000" w:themeColor="text1"/>
          <w:highlight w:val="none"/>
        </w:rPr>
        <w:t xml:space="preserve">     根据《关于印发《政府采购促进中小企业发展管理方法》的通知》（财库[2020]46号）的规定，投标人投标时需注意：</w:t>
      </w:r>
      <w:bookmarkEnd w:id="1689"/>
      <w:bookmarkEnd w:id="1690"/>
    </w:p>
    <w:p>
      <w:pPr>
        <w:spacing w:line="360" w:lineRule="auto"/>
        <w:ind w:left="735" w:hanging="735" w:hangingChars="350"/>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rPr>
        <w:t xml:space="preserve">.1   </w:t>
      </w:r>
      <w:r>
        <w:rPr>
          <w:rFonts w:hint="eastAsia" w:ascii="宋体" w:hAnsi="宋体" w:cs="宋体"/>
          <w:bCs/>
          <w:color w:val="000000" w:themeColor="text1"/>
          <w:highlight w:val="none"/>
          <w:lang w:eastAsia="zh-CN"/>
        </w:rPr>
        <w:t>中小</w:t>
      </w:r>
      <w:r>
        <w:rPr>
          <w:rFonts w:hint="eastAsia" w:ascii="宋体" w:hAnsi="宋体" w:eastAsia="宋体" w:cs="宋体"/>
          <w:bCs/>
          <w:color w:val="000000" w:themeColor="text1"/>
          <w:highlight w:val="none"/>
        </w:rPr>
        <w:t>企业（含</w:t>
      </w:r>
      <w:r>
        <w:rPr>
          <w:rFonts w:hint="eastAsia" w:ascii="宋体" w:hAnsi="宋体" w:cs="宋体"/>
          <w:bCs/>
          <w:color w:val="000000" w:themeColor="text1"/>
          <w:highlight w:val="none"/>
          <w:lang w:eastAsia="zh-CN"/>
        </w:rPr>
        <w:t>中型、</w:t>
      </w:r>
      <w:r>
        <w:rPr>
          <w:rFonts w:hint="eastAsia" w:ascii="宋体" w:hAnsi="宋体" w:eastAsia="宋体" w:cs="宋体"/>
          <w:bCs/>
          <w:color w:val="000000" w:themeColor="text1"/>
          <w:highlight w:val="none"/>
        </w:rPr>
        <w:t>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pPr>
        <w:spacing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rPr>
        <w:t>.2   参加政府采购活动的</w:t>
      </w:r>
      <w:r>
        <w:rPr>
          <w:rFonts w:hint="eastAsia" w:ascii="宋体" w:hAnsi="宋体" w:cs="宋体"/>
          <w:bCs/>
          <w:color w:val="000000" w:themeColor="text1"/>
          <w:highlight w:val="none"/>
          <w:lang w:eastAsia="zh-CN"/>
        </w:rPr>
        <w:t>中小</w:t>
      </w:r>
      <w:r>
        <w:rPr>
          <w:rFonts w:hint="eastAsia" w:ascii="宋体" w:hAnsi="宋体" w:eastAsia="宋体" w:cs="宋体"/>
          <w:bCs/>
          <w:color w:val="000000" w:themeColor="text1"/>
          <w:highlight w:val="none"/>
        </w:rPr>
        <w:t>企业投标时需提供《中小企业声明函》。否则不予认可。</w:t>
      </w:r>
    </w:p>
    <w:p>
      <w:pPr>
        <w:spacing w:line="360" w:lineRule="auto"/>
        <w:ind w:left="735" w:hanging="735" w:hangingChars="350"/>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rPr>
        <w:t>.3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提供由省级以上监狱管理局、戒毒管理局(含新疆生产建设兵团)出具的属于监狱企业的证明文件，不再提供《中小企业声明函》。</w:t>
      </w:r>
    </w:p>
    <w:p>
      <w:pPr>
        <w:spacing w:line="360" w:lineRule="auto"/>
        <w:ind w:left="735" w:hanging="735" w:hangingChars="350"/>
        <w:rPr>
          <w:rFonts w:hint="default"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lang w:val="en-US" w:eastAsia="zh-CN"/>
        </w:rPr>
        <w:t>.4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pPr>
        <w:spacing w:line="360" w:lineRule="auto"/>
        <w:ind w:left="735" w:hanging="735" w:hangingChars="350"/>
        <w:rPr>
          <w:rFonts w:hint="eastAsia" w:ascii="宋体" w:hAnsi="宋体" w:eastAsia="宋体" w:cs="宋体"/>
          <w:bCs/>
          <w:color w:val="000000" w:themeColor="text1"/>
          <w:highlight w:val="none"/>
        </w:rPr>
      </w:pPr>
      <w:r>
        <w:rPr>
          <w:rFonts w:hint="eastAsia" w:ascii="宋体" w:hAnsi="宋体" w:eastAsia="宋体" w:cs="宋体"/>
          <w:bCs/>
          <w:color w:val="000000" w:themeColor="text1"/>
          <w:kern w:val="2"/>
          <w:sz w:val="21"/>
          <w:szCs w:val="24"/>
          <w:highlight w:val="none"/>
          <w:lang w:val="en-US" w:eastAsia="zh-CN" w:bidi="ar-SA"/>
        </w:rPr>
        <w:t>3</w:t>
      </w:r>
      <w:r>
        <w:rPr>
          <w:rFonts w:hint="eastAsia" w:ascii="宋体" w:hAnsi="宋体" w:cs="宋体"/>
          <w:bCs/>
          <w:color w:val="000000" w:themeColor="text1"/>
          <w:kern w:val="2"/>
          <w:sz w:val="21"/>
          <w:szCs w:val="24"/>
          <w:highlight w:val="none"/>
          <w:lang w:val="en-US" w:eastAsia="zh-CN" w:bidi="ar-SA"/>
        </w:rPr>
        <w:t>7</w:t>
      </w:r>
      <w:r>
        <w:rPr>
          <w:rFonts w:hint="eastAsia" w:ascii="宋体" w:hAnsi="宋体" w:eastAsia="宋体" w:cs="宋体"/>
          <w:bCs/>
          <w:color w:val="000000" w:themeColor="text1"/>
          <w:kern w:val="2"/>
          <w:sz w:val="21"/>
          <w:szCs w:val="24"/>
          <w:highlight w:val="none"/>
          <w:lang w:val="en-US" w:eastAsia="zh-CN" w:bidi="ar-SA"/>
        </w:rPr>
        <w:t>.</w:t>
      </w:r>
      <w:r>
        <w:rPr>
          <w:rFonts w:hint="eastAsia" w:ascii="宋体" w:hAnsi="宋体" w:cs="宋体"/>
          <w:bCs/>
          <w:color w:val="000000" w:themeColor="text1"/>
          <w:kern w:val="2"/>
          <w:sz w:val="21"/>
          <w:szCs w:val="24"/>
          <w:highlight w:val="none"/>
          <w:lang w:val="en-US" w:eastAsia="zh-CN" w:bidi="ar-SA"/>
        </w:rPr>
        <w:t>5</w:t>
      </w:r>
      <w:r>
        <w:rPr>
          <w:rFonts w:hint="eastAsia" w:ascii="宋体" w:hAnsi="宋体" w:eastAsia="宋体" w:cs="宋体"/>
          <w:bCs/>
          <w:color w:val="000000" w:themeColor="text1"/>
          <w:kern w:val="2"/>
          <w:sz w:val="21"/>
          <w:szCs w:val="24"/>
          <w:highlight w:val="none"/>
          <w:lang w:val="en-US" w:eastAsia="zh-CN" w:bidi="ar-SA"/>
        </w:rPr>
        <w:t xml:space="preserve">   对于非专门面向小微型企业采购的项目，依照《政府采购促进中小企业发展暂行办法》的</w:t>
      </w:r>
      <w:r>
        <w:rPr>
          <w:rFonts w:hint="eastAsia" w:ascii="宋体" w:hAnsi="宋体" w:eastAsia="宋体" w:cs="宋体"/>
          <w:bCs/>
          <w:color w:val="000000" w:themeColor="text1"/>
          <w:highlight w:val="none"/>
        </w:rPr>
        <w:t>规定，凡符合要求的有效投标人，按照以下比例给予相应的价格扣除：</w:t>
      </w:r>
    </w:p>
    <w:tbl>
      <w:tblPr>
        <w:tblStyle w:val="46"/>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对小型和微型企业产品的价格扣除</w:t>
            </w:r>
            <w:r>
              <w:rPr>
                <w:rFonts w:hint="eastAsia" w:ascii="宋体" w:hAnsi="宋体" w:cs="宋体"/>
                <w:color w:val="000000" w:themeColor="text1"/>
                <w:szCs w:val="21"/>
                <w:highlight w:val="none"/>
                <w:u w:val="single"/>
                <w:lang w:val="en-US" w:eastAsia="zh-CN"/>
              </w:rPr>
              <w:t>10</w:t>
            </w:r>
            <w:r>
              <w:rPr>
                <w:rFonts w:hint="eastAsia" w:ascii="宋体" w:hAnsi="宋体" w:eastAsia="宋体" w:cs="宋体"/>
                <w:color w:val="000000" w:themeColor="text1"/>
                <w:szCs w:val="21"/>
                <w:highlight w:val="none"/>
                <w:u w:val="single"/>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评标价=总投标报价-小型和微型企业产品的价格×</w:t>
            </w:r>
            <w:r>
              <w:rPr>
                <w:rFonts w:hint="eastAsia" w:ascii="宋体" w:hAnsi="宋体" w:cs="宋体"/>
                <w:color w:val="000000" w:themeColor="text1"/>
                <w:szCs w:val="21"/>
                <w:highlight w:val="none"/>
                <w:u w:val="single"/>
                <w:lang w:val="en-US" w:eastAsia="zh-CN"/>
              </w:rPr>
              <w:t>10</w:t>
            </w:r>
            <w:r>
              <w:rPr>
                <w:rFonts w:hint="eastAsia" w:ascii="宋体" w:hAnsi="宋体" w:eastAsia="宋体" w:cs="宋体"/>
                <w:color w:val="000000" w:themeColor="text1"/>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对小型和微型企业产品的价格扣除</w:t>
            </w:r>
            <w:r>
              <w:rPr>
                <w:rFonts w:hint="eastAsia" w:ascii="宋体" w:hAnsi="宋体" w:cs="宋体"/>
                <w:color w:val="000000" w:themeColor="text1"/>
                <w:szCs w:val="21"/>
                <w:highlight w:val="none"/>
                <w:u w:val="single"/>
                <w:lang w:val="en-US" w:eastAsia="zh-CN"/>
              </w:rPr>
              <w:t>10</w:t>
            </w:r>
            <w:r>
              <w:rPr>
                <w:rFonts w:hint="eastAsia" w:ascii="宋体" w:hAnsi="宋体" w:eastAsia="宋体" w:cs="宋体"/>
                <w:color w:val="000000" w:themeColor="text1"/>
                <w:szCs w:val="21"/>
                <w:highlight w:val="none"/>
                <w:u w:val="single"/>
              </w:rPr>
              <w:t>%</w:t>
            </w:r>
            <w:r>
              <w:rPr>
                <w:rFonts w:hint="eastAsia" w:ascii="宋体" w:hAnsi="宋体" w:eastAsia="宋体" w:cs="宋体"/>
                <w:color w:val="000000" w:themeColor="text1"/>
                <w:szCs w:val="21"/>
                <w:highlight w:val="none"/>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对联合体总金额扣除</w:t>
            </w:r>
            <w:r>
              <w:rPr>
                <w:rFonts w:hint="eastAsia" w:ascii="宋体" w:hAnsi="宋体" w:cs="宋体"/>
                <w:color w:val="000000" w:themeColor="text1"/>
                <w:szCs w:val="21"/>
                <w:highlight w:val="none"/>
                <w:u w:val="single"/>
                <w:lang w:val="en-US" w:eastAsia="zh-CN"/>
              </w:rPr>
              <w:t>4</w:t>
            </w:r>
            <w:r>
              <w:rPr>
                <w:rFonts w:hint="eastAsia" w:ascii="宋体" w:hAnsi="宋体" w:eastAsia="宋体" w:cs="宋体"/>
                <w:color w:val="000000" w:themeColor="text1"/>
                <w:szCs w:val="21"/>
                <w:highlight w:val="none"/>
                <w:u w:val="single"/>
              </w:rPr>
              <w:t>%</w:t>
            </w:r>
          </w:p>
        </w:tc>
        <w:tc>
          <w:tcPr>
            <w:tcW w:w="274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评标价=总投标报价×（</w:t>
            </w:r>
            <w:r>
              <w:rPr>
                <w:rFonts w:hint="eastAsia" w:ascii="宋体" w:hAnsi="宋体" w:eastAsia="宋体" w:cs="宋体"/>
                <w:color w:val="000000" w:themeColor="text1"/>
                <w:szCs w:val="21"/>
                <w:highlight w:val="none"/>
                <w:u w:val="single"/>
              </w:rPr>
              <w:t>1-</w:t>
            </w:r>
            <w:r>
              <w:rPr>
                <w:rFonts w:hint="eastAsia" w:ascii="宋体" w:hAnsi="宋体" w:cs="宋体"/>
                <w:color w:val="000000" w:themeColor="text1"/>
                <w:szCs w:val="21"/>
                <w:highlight w:val="none"/>
                <w:u w:val="single"/>
                <w:lang w:val="en-US" w:eastAsia="zh-CN"/>
              </w:rPr>
              <w:t>4</w:t>
            </w:r>
            <w:r>
              <w:rPr>
                <w:rFonts w:hint="eastAsia" w:ascii="宋体" w:hAnsi="宋体" w:eastAsia="宋体" w:cs="宋体"/>
                <w:color w:val="000000" w:themeColor="text1"/>
                <w:szCs w:val="21"/>
                <w:highlight w:val="none"/>
                <w:u w:val="single"/>
              </w:rPr>
              <w:t>%</w:t>
            </w:r>
            <w:r>
              <w:rPr>
                <w:rFonts w:hint="eastAsia" w:ascii="宋体" w:hAnsi="宋体" w:eastAsia="宋体" w:cs="宋体"/>
                <w:color w:val="000000" w:themeColor="text1"/>
                <w:szCs w:val="21"/>
                <w:highlight w:val="none"/>
              </w:rPr>
              <w:t>）</w:t>
            </w:r>
          </w:p>
        </w:tc>
      </w:tr>
    </w:tbl>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spacing w:line="360" w:lineRule="auto"/>
        <w:ind w:left="735" w:hanging="735" w:hangingChars="350"/>
        <w:rPr>
          <w:rFonts w:hint="eastAsia" w:ascii="宋体" w:hAnsi="宋体" w:eastAsia="宋体" w:cs="宋体"/>
          <w:bCs/>
          <w:color w:val="000000" w:themeColor="text1"/>
          <w:highlight w:val="none"/>
          <w:lang w:val="en-US" w:eastAsia="zh-CN"/>
        </w:rPr>
      </w:pPr>
      <w:r>
        <w:rPr>
          <w:rFonts w:hint="eastAsia" w:ascii="宋体"/>
          <w:color w:val="000000" w:themeColor="text1"/>
          <w:szCs w:val="21"/>
          <w:highlight w:val="none"/>
          <w:lang w:val="en-US" w:eastAsia="zh-CN"/>
        </w:rPr>
        <w:t xml:space="preserve">38    </w:t>
      </w:r>
      <w:r>
        <w:rPr>
          <w:rFonts w:hint="eastAsia" w:ascii="宋体" w:hAnsi="宋体" w:eastAsia="宋体" w:cs="宋体"/>
          <w:bCs/>
          <w:color w:val="000000" w:themeColor="text1"/>
          <w:highlight w:val="none"/>
          <w:lang w:val="en-US" w:eastAsia="zh-CN"/>
        </w:rPr>
        <w:t>根据财库〔2021〕19号 《关于运用政府采购政策支持乡村产业振兴的通知》各级预算单位应当</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按照不低于10%的比例预留年度食堂食材采购份额，通过脱贫地区农副产品网络销售平台（原贫</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困地区农副产品网络销售平台）采购脱贫地区农副产品。脱贫地区农副产品是指在832个脱贫县</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域内注册的企业、农民专业合作社、家庭农场等出产的农副产品。确因地域、相关政策限制等特</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殊原因难以完成10%预留份额任务的预算单位，可由中央主管预算单位或省级财政部门报经财政</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部(国库司)审核同意后，适当放宽预留比例要求。</w:t>
      </w:r>
    </w:p>
    <w:p>
      <w:pPr>
        <w:spacing w:line="360" w:lineRule="auto"/>
        <w:ind w:left="735" w:hanging="735" w:hangingChars="350"/>
        <w:rPr>
          <w:rFonts w:hint="default" w:ascii="宋体" w:hAnsi="宋体" w:eastAsia="宋体" w:cs="宋体"/>
          <w:bCs/>
          <w:color w:val="000000" w:themeColor="text1"/>
          <w:highlight w:val="none"/>
          <w:lang w:val="en-US" w:eastAsia="zh-CN"/>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pStyle w:val="4"/>
        <w:numPr>
          <w:ilvl w:val="1"/>
          <w:numId w:val="0"/>
        </w:numPr>
        <w:rPr>
          <w:color w:val="000000" w:themeColor="text1"/>
          <w:sz w:val="24"/>
          <w:highlight w:val="none"/>
        </w:rPr>
      </w:pPr>
      <w:bookmarkStart w:id="1691" w:name="_Toc5521"/>
      <w:r>
        <w:rPr>
          <w:rFonts w:hint="eastAsia"/>
          <w:color w:val="000000" w:themeColor="text1"/>
          <w:sz w:val="24"/>
          <w:highlight w:val="none"/>
        </w:rPr>
        <w:t>H、评标细则</w:t>
      </w:r>
      <w:bookmarkEnd w:id="1691"/>
    </w:p>
    <w:p>
      <w:pPr>
        <w:pStyle w:val="23"/>
        <w:widowControl/>
        <w:tabs>
          <w:tab w:val="left" w:pos="753"/>
        </w:tabs>
        <w:adjustRightInd w:val="0"/>
        <w:snapToGrid w:val="0"/>
        <w:spacing w:line="360" w:lineRule="auto"/>
        <w:ind w:left="752" w:hanging="751" w:hangingChars="358"/>
        <w:rPr>
          <w:rFonts w:hAnsi="宋体"/>
          <w:bCs/>
          <w:color w:val="000000" w:themeColor="text1"/>
          <w:highlight w:val="none"/>
        </w:rPr>
      </w:pPr>
      <w:r>
        <w:rPr>
          <w:rFonts w:hint="eastAsia" w:hAnsi="宋体"/>
          <w:bCs/>
          <w:color w:val="000000" w:themeColor="text1"/>
          <w:highlight w:val="none"/>
        </w:rPr>
        <w:t>采用计分法（综合评价法）来确定各投标人的排名。其操作程序为：</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根据招标文件和评标原则，按下表（评价指标和权重表）所列评价指标和各评价指标的权重进行评标。</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color w:val="000000" w:themeColor="text1"/>
          <w:sz w:val="21"/>
          <w:highlight w:val="none"/>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rPr>
        <w:t>经济价格标得分＝(评标基准价/投标报价)×价格指标权重×100。</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由评委独立地根据各项指标的评价标准，结合每个投标人的实际情况，分别就投标报价以外的各项指标对每个投标人独立打分。</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技术部分和商务部分得分结果为全部评委评价指标评分的算术平均值。</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将所有评价指标所得实际评价分数相加，即为该投标人的综合得分。</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评标委员会将推荐综合得分最高的投标人为该项目的中标候选人。</w:t>
      </w:r>
    </w:p>
    <w:p>
      <w:pPr>
        <w:rPr>
          <w:color w:val="000000" w:themeColor="text1"/>
          <w:highlight w:val="none"/>
        </w:rPr>
      </w:pPr>
      <w:r>
        <w:rPr>
          <w:rFonts w:hint="eastAsia"/>
          <w:color w:val="000000" w:themeColor="text1"/>
          <w:highlight w:val="none"/>
        </w:rPr>
        <w:t>评价指标及权重：</w:t>
      </w:r>
    </w:p>
    <w:p>
      <w:pPr>
        <w:rPr>
          <w:color w:val="000000" w:themeColor="text1"/>
          <w:highlight w:val="none"/>
        </w:rPr>
      </w:pPr>
    </w:p>
    <w:tbl>
      <w:tblPr>
        <w:tblStyle w:val="46"/>
        <w:tblW w:w="8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70"/>
        <w:gridCol w:w="2173"/>
        <w:gridCol w:w="2226"/>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评分项目</w:t>
            </w:r>
          </w:p>
        </w:tc>
        <w:tc>
          <w:tcPr>
            <w:tcW w:w="21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技术评分</w:t>
            </w:r>
          </w:p>
        </w:tc>
        <w:tc>
          <w:tcPr>
            <w:tcW w:w="22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商务评分</w:t>
            </w:r>
          </w:p>
        </w:tc>
        <w:tc>
          <w:tcPr>
            <w:tcW w:w="19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价格评分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分值</w:t>
            </w:r>
          </w:p>
        </w:tc>
        <w:tc>
          <w:tcPr>
            <w:tcW w:w="21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rFonts w:hint="eastAsia" w:ascii="宋体" w:hAnsi="宋体" w:cs="宋体"/>
                <w:color w:val="000000" w:themeColor="text1"/>
                <w:sz w:val="21"/>
                <w:szCs w:val="21"/>
                <w:highlight w:val="none"/>
                <w:lang w:val="en-US" w:eastAsia="zh-CN"/>
              </w:rPr>
              <w:t>50</w:t>
            </w:r>
            <w:r>
              <w:rPr>
                <w:rFonts w:hint="eastAsia" w:ascii="宋体" w:hAnsi="宋体" w:cs="宋体"/>
                <w:color w:val="000000" w:themeColor="text1"/>
                <w:sz w:val="21"/>
                <w:szCs w:val="21"/>
                <w:highlight w:val="none"/>
              </w:rPr>
              <w:t>分</w:t>
            </w:r>
          </w:p>
        </w:tc>
        <w:tc>
          <w:tcPr>
            <w:tcW w:w="22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rFonts w:hint="eastAsia" w:ascii="宋体" w:hAnsi="宋体" w:cs="宋体"/>
                <w:color w:val="000000" w:themeColor="text1"/>
                <w:sz w:val="21"/>
                <w:szCs w:val="21"/>
                <w:highlight w:val="none"/>
                <w:lang w:val="en-US" w:eastAsia="zh-CN"/>
              </w:rPr>
              <w:t>40</w:t>
            </w:r>
            <w:r>
              <w:rPr>
                <w:rFonts w:hint="eastAsia" w:ascii="宋体" w:hAnsi="宋体" w:cs="宋体"/>
                <w:color w:val="000000" w:themeColor="text1"/>
                <w:sz w:val="21"/>
                <w:szCs w:val="21"/>
                <w:highlight w:val="none"/>
              </w:rPr>
              <w:t>分</w:t>
            </w:r>
          </w:p>
        </w:tc>
        <w:tc>
          <w:tcPr>
            <w:tcW w:w="19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rFonts w:hint="eastAsia" w:ascii="宋体" w:hAnsi="宋体" w:cs="宋体"/>
                <w:color w:val="000000" w:themeColor="text1"/>
                <w:sz w:val="21"/>
                <w:szCs w:val="21"/>
                <w:highlight w:val="none"/>
                <w:lang w:val="en-US" w:eastAsia="zh-CN"/>
              </w:rPr>
              <w:t>10</w:t>
            </w:r>
            <w:r>
              <w:rPr>
                <w:rFonts w:hint="eastAsia" w:ascii="宋体" w:hAnsi="宋体" w:cs="宋体"/>
                <w:color w:val="000000" w:themeColor="text1"/>
                <w:sz w:val="21"/>
                <w:szCs w:val="21"/>
                <w:highlight w:val="none"/>
              </w:rPr>
              <w:t>分</w:t>
            </w:r>
          </w:p>
        </w:tc>
      </w:tr>
    </w:tbl>
    <w:p>
      <w:pPr>
        <w:rPr>
          <w:color w:val="000000" w:themeColor="text1"/>
          <w:highlight w:val="none"/>
        </w:rPr>
      </w:pPr>
    </w:p>
    <w:p>
      <w:pPr>
        <w:rPr>
          <w:color w:val="000000" w:themeColor="text1"/>
          <w:highlight w:val="none"/>
        </w:rPr>
      </w:pPr>
      <w:r>
        <w:rPr>
          <w:rFonts w:hint="eastAsia"/>
          <w:color w:val="000000" w:themeColor="text1"/>
          <w:highlight w:val="none"/>
        </w:rPr>
        <w:t>技术评分细则：</w:t>
      </w:r>
    </w:p>
    <w:tbl>
      <w:tblPr>
        <w:tblStyle w:val="46"/>
        <w:tblW w:w="9419" w:type="dxa"/>
        <w:jc w:val="center"/>
        <w:shd w:val="clear" w:color="auto" w:fill="FFFFFF"/>
        <w:tblLayout w:type="fixed"/>
        <w:tblCellMar>
          <w:top w:w="0" w:type="dxa"/>
          <w:left w:w="0" w:type="dxa"/>
          <w:bottom w:w="0" w:type="dxa"/>
          <w:right w:w="0" w:type="dxa"/>
        </w:tblCellMar>
      </w:tblPr>
      <w:tblGrid>
        <w:gridCol w:w="913"/>
        <w:gridCol w:w="1390"/>
        <w:gridCol w:w="1100"/>
        <w:gridCol w:w="6016"/>
      </w:tblGrid>
      <w:tr>
        <w:tblPrEx>
          <w:shd w:val="clear" w:color="auto" w:fill="FFFFFF"/>
          <w:tblCellMar>
            <w:top w:w="0" w:type="dxa"/>
            <w:left w:w="0" w:type="dxa"/>
            <w:bottom w:w="0" w:type="dxa"/>
            <w:right w:w="0" w:type="dxa"/>
          </w:tblCellMar>
        </w:tblPrEx>
        <w:trPr>
          <w:cantSplit/>
          <w:trHeight w:val="46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评审内容</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分值</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评审标准</w:t>
            </w:r>
          </w:p>
        </w:tc>
      </w:tr>
      <w:tr>
        <w:tblPrEx>
          <w:tblCellMar>
            <w:top w:w="0" w:type="dxa"/>
            <w:left w:w="0" w:type="dxa"/>
            <w:bottom w:w="0" w:type="dxa"/>
            <w:right w:w="0" w:type="dxa"/>
          </w:tblCellMar>
        </w:tblPrEx>
        <w:trPr>
          <w:cantSplit/>
          <w:trHeight w:val="1298"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rPr>
            </w:pPr>
            <w:r>
              <w:rPr>
                <w:rFonts w:hint="eastAsia" w:ascii="宋体" w:hAnsi="宋体" w:eastAsia="宋体"/>
                <w:color w:val="000000" w:themeColor="text1"/>
                <w:szCs w:val="21"/>
                <w:highlight w:val="none"/>
              </w:rPr>
              <w:t>整体服务方案</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highlight w:val="none"/>
                <w:lang w:val="en-US" w:eastAsia="zh-CN"/>
              </w:rPr>
              <w:t>15</w:t>
            </w:r>
            <w:r>
              <w:rPr>
                <w:rFonts w:hint="eastAsia" w:ascii="宋体" w:hAnsi="宋体" w:eastAsia="宋体" w:cs="宋体"/>
                <w:color w:val="000000" w:themeColor="text1"/>
                <w:highlight w:val="none"/>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276" w:lineRule="auto"/>
              <w:rPr>
                <w:rFonts w:ascii="宋体" w:hAnsi="宋体" w:eastAsia="宋体"/>
                <w:color w:val="000000" w:themeColor="text1"/>
                <w:szCs w:val="21"/>
                <w:highlight w:val="none"/>
              </w:rPr>
            </w:pPr>
            <w:r>
              <w:rPr>
                <w:rFonts w:hint="eastAsia" w:ascii="宋体" w:hAnsi="宋体" w:eastAsia="宋体" w:cs="宋体"/>
                <w:color w:val="000000" w:themeColor="text1"/>
                <w:kern w:val="0"/>
                <w:szCs w:val="21"/>
                <w:highlight w:val="none"/>
              </w:rPr>
              <w:t>根据投标人提供的整体服务方案（包括对项目需求的理解、项目的准备、组织实施等）进行综合评审：</w:t>
            </w:r>
          </w:p>
          <w:p>
            <w:pPr>
              <w:spacing w:line="276" w:lineRule="auto"/>
              <w:rPr>
                <w:rFonts w:ascii="宋体" w:hAnsi="宋体" w:eastAsia="宋体"/>
                <w:color w:val="000000" w:themeColor="text1"/>
                <w:szCs w:val="21"/>
                <w:highlight w:val="none"/>
              </w:rPr>
            </w:pPr>
            <w:r>
              <w:rPr>
                <w:rFonts w:hint="eastAsia" w:ascii="宋体" w:hAnsi="宋体" w:eastAsia="宋体"/>
                <w:color w:val="000000" w:themeColor="text1"/>
                <w:szCs w:val="21"/>
                <w:highlight w:val="none"/>
              </w:rPr>
              <w:t>1、服务方案完整、计划安排科学、操作具体可行，得</w:t>
            </w:r>
            <w:r>
              <w:rPr>
                <w:rFonts w:ascii="宋体" w:hAnsi="宋体" w:eastAsia="宋体"/>
                <w:color w:val="000000" w:themeColor="text1"/>
                <w:szCs w:val="21"/>
                <w:highlight w:val="none"/>
              </w:rPr>
              <w:t>15</w:t>
            </w:r>
            <w:r>
              <w:rPr>
                <w:rFonts w:hint="eastAsia" w:ascii="宋体" w:hAnsi="宋体" w:eastAsia="宋体"/>
                <w:color w:val="000000" w:themeColor="text1"/>
                <w:szCs w:val="21"/>
                <w:highlight w:val="none"/>
              </w:rPr>
              <w:t>分；</w:t>
            </w:r>
          </w:p>
          <w:p>
            <w:pPr>
              <w:spacing w:line="276" w:lineRule="auto"/>
              <w:rPr>
                <w:rFonts w:hint="eastAsia" w:ascii="宋体" w:hAnsi="宋体" w:eastAsia="宋体"/>
                <w:color w:val="000000" w:themeColor="text1"/>
                <w:szCs w:val="21"/>
                <w:highlight w:val="none"/>
              </w:rPr>
            </w:pPr>
            <w:r>
              <w:rPr>
                <w:rFonts w:ascii="宋体" w:hAnsi="宋体" w:eastAsia="宋体"/>
                <w:color w:val="000000" w:themeColor="text1"/>
                <w:szCs w:val="21"/>
                <w:highlight w:val="none"/>
              </w:rPr>
              <w:t>2</w:t>
            </w:r>
            <w:r>
              <w:rPr>
                <w:rFonts w:hint="eastAsia" w:ascii="宋体" w:hAnsi="宋体" w:eastAsia="宋体"/>
                <w:color w:val="000000" w:themeColor="text1"/>
                <w:szCs w:val="21"/>
                <w:highlight w:val="none"/>
              </w:rPr>
              <w:t>、服务方案较完整、计划安排较科学、操作具体较可行，得</w:t>
            </w:r>
            <w:r>
              <w:rPr>
                <w:rFonts w:ascii="宋体" w:hAnsi="宋体" w:eastAsia="宋体"/>
                <w:color w:val="000000" w:themeColor="text1"/>
                <w:szCs w:val="21"/>
                <w:highlight w:val="none"/>
              </w:rPr>
              <w:t>11</w:t>
            </w:r>
            <w:r>
              <w:rPr>
                <w:rFonts w:hint="eastAsia" w:ascii="宋体" w:hAnsi="宋体" w:eastAsia="宋体"/>
                <w:color w:val="000000" w:themeColor="text1"/>
                <w:szCs w:val="21"/>
                <w:highlight w:val="none"/>
              </w:rPr>
              <w:t>分；</w:t>
            </w:r>
          </w:p>
          <w:p>
            <w:pPr>
              <w:spacing w:line="276" w:lineRule="auto"/>
              <w:rPr>
                <w:rFonts w:hint="eastAsia" w:ascii="宋体" w:hAnsi="宋体" w:eastAsia="宋体"/>
                <w:color w:val="000000" w:themeColor="text1"/>
                <w:szCs w:val="21"/>
                <w:highlight w:val="none"/>
              </w:rPr>
            </w:pPr>
            <w:r>
              <w:rPr>
                <w:rFonts w:hint="eastAsia" w:ascii="宋体" w:hAnsi="宋体" w:eastAsia="宋体"/>
                <w:color w:val="000000" w:themeColor="text1"/>
                <w:szCs w:val="21"/>
                <w:highlight w:val="none"/>
              </w:rPr>
              <w:t>3、服务方案一般、计划安排一般、操作性一般，得</w:t>
            </w:r>
            <w:r>
              <w:rPr>
                <w:rFonts w:ascii="宋体" w:hAnsi="宋体" w:eastAsia="宋体"/>
                <w:color w:val="000000" w:themeColor="text1"/>
                <w:szCs w:val="21"/>
                <w:highlight w:val="none"/>
              </w:rPr>
              <w:t>7</w:t>
            </w:r>
            <w:r>
              <w:rPr>
                <w:rFonts w:hint="eastAsia" w:ascii="宋体" w:hAnsi="宋体" w:eastAsia="宋体"/>
                <w:color w:val="000000" w:themeColor="text1"/>
                <w:szCs w:val="21"/>
                <w:highlight w:val="none"/>
              </w:rPr>
              <w:t>分；</w:t>
            </w:r>
          </w:p>
          <w:p>
            <w:pPr>
              <w:widowControl/>
              <w:spacing w:line="276" w:lineRule="auto"/>
              <w:jc w:val="left"/>
              <w:rPr>
                <w:rFonts w:ascii="宋体" w:hAnsi="宋体" w:eastAsia="宋体"/>
                <w:color w:val="000000" w:themeColor="text1"/>
                <w:szCs w:val="21"/>
                <w:highlight w:val="none"/>
              </w:rPr>
            </w:pPr>
            <w:r>
              <w:rPr>
                <w:rFonts w:hint="eastAsia" w:ascii="宋体" w:hAnsi="宋体" w:eastAsia="宋体"/>
                <w:color w:val="000000" w:themeColor="text1"/>
                <w:szCs w:val="21"/>
                <w:highlight w:val="none"/>
              </w:rPr>
              <w:t>4、服务方案差、计划安排差、操作性差，得</w:t>
            </w:r>
            <w:r>
              <w:rPr>
                <w:rFonts w:ascii="宋体" w:hAnsi="宋体" w:eastAsia="宋体"/>
                <w:color w:val="000000" w:themeColor="text1"/>
                <w:szCs w:val="21"/>
                <w:highlight w:val="none"/>
              </w:rPr>
              <w:t>3</w:t>
            </w:r>
            <w:r>
              <w:rPr>
                <w:rFonts w:hint="eastAsia" w:ascii="宋体" w:hAnsi="宋体" w:eastAsia="宋体"/>
                <w:color w:val="000000" w:themeColor="text1"/>
                <w:szCs w:val="21"/>
                <w:highlight w:val="none"/>
              </w:rPr>
              <w:t>分；</w:t>
            </w:r>
          </w:p>
          <w:p>
            <w:pPr>
              <w:widowControl/>
              <w:spacing w:line="276" w:lineRule="auto"/>
              <w:jc w:val="left"/>
              <w:rPr>
                <w:rFonts w:hint="eastAsia" w:ascii="宋体" w:hAnsi="宋体" w:eastAsia="宋体" w:cs="宋体"/>
                <w:color w:val="000000" w:themeColor="text1"/>
                <w:sz w:val="21"/>
                <w:szCs w:val="21"/>
                <w:highlight w:val="none"/>
                <w:lang w:eastAsia="zh-CN"/>
              </w:rPr>
            </w:pPr>
            <w:r>
              <w:rPr>
                <w:rFonts w:ascii="宋体" w:hAnsi="宋体" w:eastAsia="宋体"/>
                <w:color w:val="000000" w:themeColor="text1"/>
                <w:szCs w:val="21"/>
                <w:highlight w:val="none"/>
              </w:rPr>
              <w:t>5</w:t>
            </w:r>
            <w:r>
              <w:rPr>
                <w:rFonts w:hint="eastAsia" w:ascii="宋体" w:hAnsi="宋体" w:eastAsia="宋体"/>
                <w:color w:val="000000" w:themeColor="text1"/>
                <w:szCs w:val="21"/>
                <w:highlight w:val="none"/>
              </w:rPr>
              <w:t>、未提供的不得分。</w:t>
            </w:r>
          </w:p>
        </w:tc>
      </w:tr>
      <w:tr>
        <w:tblPrEx>
          <w:tblCellMar>
            <w:top w:w="0" w:type="dxa"/>
            <w:left w:w="0" w:type="dxa"/>
            <w:bottom w:w="0" w:type="dxa"/>
            <w:right w:w="0" w:type="dxa"/>
          </w:tblCellMar>
        </w:tblPrEx>
        <w:trPr>
          <w:cantSplit/>
          <w:trHeight w:val="1298"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Cs w:val="21"/>
                <w:highlight w:val="none"/>
              </w:rPr>
              <w:t>劳务外包服务人员管理制度</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bidi w:val="0"/>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rPr>
              <w:t>15</w:t>
            </w:r>
            <w:r>
              <w:rPr>
                <w:rFonts w:hint="eastAsia" w:ascii="宋体" w:hAnsi="宋体" w:eastAsia="宋体" w:cs="宋体"/>
                <w:color w:val="000000" w:themeColor="text1"/>
                <w:sz w:val="21"/>
                <w:szCs w:val="21"/>
                <w:highlight w:val="none"/>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根据投标人提供的对劳务外包服务人员的管理制度是否完善进行综合评审：</w:t>
            </w:r>
          </w:p>
          <w:p>
            <w:pPr>
              <w:widowControl/>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1、劳务外包服务人员的管理制度制定详细、操作性强、完善严密的，得1</w:t>
            </w:r>
            <w:r>
              <w:rPr>
                <w:rFonts w:ascii="宋体" w:hAnsi="宋体" w:eastAsia="宋体" w:cs="宋体"/>
                <w:color w:val="000000" w:themeColor="text1"/>
                <w:kern w:val="0"/>
                <w:szCs w:val="21"/>
                <w:highlight w:val="none"/>
              </w:rPr>
              <w:t>5</w:t>
            </w:r>
            <w:r>
              <w:rPr>
                <w:rFonts w:hint="eastAsia" w:ascii="宋体" w:hAnsi="宋体" w:eastAsia="宋体" w:cs="宋体"/>
                <w:color w:val="000000" w:themeColor="text1"/>
                <w:kern w:val="0"/>
                <w:szCs w:val="21"/>
                <w:highlight w:val="none"/>
              </w:rPr>
              <w:t>分；</w:t>
            </w:r>
          </w:p>
          <w:p>
            <w:pPr>
              <w:widowControl/>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2、劳务外包服务人员的管理制度制定较详细、操作性较强、较完善严密的，得</w:t>
            </w:r>
            <w:r>
              <w:rPr>
                <w:rFonts w:ascii="宋体" w:hAnsi="宋体" w:eastAsia="宋体" w:cs="宋体"/>
                <w:color w:val="000000" w:themeColor="text1"/>
                <w:kern w:val="0"/>
                <w:szCs w:val="21"/>
                <w:highlight w:val="none"/>
              </w:rPr>
              <w:t>11</w:t>
            </w:r>
            <w:r>
              <w:rPr>
                <w:rFonts w:hint="eastAsia" w:ascii="宋体" w:hAnsi="宋体" w:eastAsia="宋体" w:cs="宋体"/>
                <w:color w:val="000000" w:themeColor="text1"/>
                <w:kern w:val="0"/>
                <w:szCs w:val="21"/>
                <w:highlight w:val="none"/>
              </w:rPr>
              <w:t>分；</w:t>
            </w:r>
          </w:p>
          <w:p>
            <w:pPr>
              <w:widowControl/>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3、劳务外包服务人员的管理制度制定一般、操作性一般、完善严密性一般的，得</w:t>
            </w:r>
            <w:r>
              <w:rPr>
                <w:rFonts w:ascii="宋体" w:hAnsi="宋体" w:eastAsia="宋体" w:cs="宋体"/>
                <w:color w:val="000000" w:themeColor="text1"/>
                <w:kern w:val="0"/>
                <w:szCs w:val="21"/>
                <w:highlight w:val="none"/>
              </w:rPr>
              <w:t>7</w:t>
            </w:r>
            <w:r>
              <w:rPr>
                <w:rFonts w:hint="eastAsia" w:ascii="宋体" w:hAnsi="宋体" w:eastAsia="宋体" w:cs="宋体"/>
                <w:color w:val="000000" w:themeColor="text1"/>
                <w:kern w:val="0"/>
                <w:szCs w:val="21"/>
                <w:highlight w:val="none"/>
              </w:rPr>
              <w:t>分；</w:t>
            </w:r>
          </w:p>
          <w:p>
            <w:pPr>
              <w:widowControl/>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4、劳务外包服务人员的管理制度制定差、操作性差、完善严密性差的，得</w:t>
            </w:r>
            <w:r>
              <w:rPr>
                <w:rFonts w:ascii="宋体" w:hAnsi="宋体" w:eastAsia="宋体" w:cs="宋体"/>
                <w:color w:val="000000" w:themeColor="text1"/>
                <w:kern w:val="0"/>
                <w:szCs w:val="21"/>
                <w:highlight w:val="none"/>
              </w:rPr>
              <w:t>3</w:t>
            </w:r>
            <w:r>
              <w:rPr>
                <w:rFonts w:hint="eastAsia" w:ascii="宋体" w:hAnsi="宋体" w:eastAsia="宋体" w:cs="宋体"/>
                <w:color w:val="000000" w:themeColor="text1"/>
                <w:kern w:val="0"/>
                <w:szCs w:val="21"/>
                <w:highlight w:val="none"/>
              </w:rPr>
              <w:t>分。</w:t>
            </w:r>
          </w:p>
          <w:p>
            <w:pPr>
              <w:widowControl/>
              <w:spacing w:line="276" w:lineRule="auto"/>
              <w:jc w:val="left"/>
              <w:rPr>
                <w:rFonts w:hint="eastAsia" w:ascii="宋体" w:hAnsi="宋体" w:eastAsia="宋体" w:cs="宋体"/>
                <w:color w:val="000000" w:themeColor="text1"/>
                <w:kern w:val="2"/>
                <w:sz w:val="21"/>
                <w:szCs w:val="21"/>
                <w:highlight w:val="none"/>
                <w:lang w:val="en-US" w:eastAsia="zh-CN" w:bidi="ar-SA"/>
              </w:rPr>
            </w:pPr>
            <w:r>
              <w:rPr>
                <w:rFonts w:ascii="宋体" w:hAnsi="宋体" w:eastAsia="宋体"/>
                <w:color w:val="000000" w:themeColor="text1"/>
                <w:szCs w:val="21"/>
                <w:highlight w:val="none"/>
              </w:rPr>
              <w:t>5</w:t>
            </w:r>
            <w:r>
              <w:rPr>
                <w:rFonts w:hint="eastAsia" w:ascii="宋体" w:hAnsi="宋体" w:eastAsia="宋体"/>
                <w:color w:val="000000" w:themeColor="text1"/>
                <w:szCs w:val="21"/>
                <w:highlight w:val="none"/>
              </w:rPr>
              <w:t>、未提供的不得分。</w:t>
            </w:r>
          </w:p>
        </w:tc>
      </w:tr>
      <w:tr>
        <w:tblPrEx>
          <w:tblCellMar>
            <w:top w:w="0" w:type="dxa"/>
            <w:left w:w="0" w:type="dxa"/>
            <w:bottom w:w="0" w:type="dxa"/>
            <w:right w:w="0" w:type="dxa"/>
          </w:tblCellMar>
        </w:tblPrEx>
        <w:trPr>
          <w:cantSplit/>
          <w:trHeight w:val="1497"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Cs w:val="21"/>
                <w:highlight w:val="none"/>
              </w:rPr>
              <w:t>应急预案和安全管理制度</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9"/>
              <w:keepNext w:val="0"/>
              <w:keepLines w:val="0"/>
              <w:pageBreakBefore w:val="0"/>
              <w:widowControl w:val="0"/>
              <w:pBdr>
                <w:bottom w:val="none" w:color="auto" w:sz="0" w:space="0"/>
              </w:pBdr>
              <w:kinsoku/>
              <w:wordWrap/>
              <w:overflowPunct/>
              <w:topLinePunct w:val="0"/>
              <w:autoSpaceDE/>
              <w:autoSpaceDN/>
              <w:bidi w:val="0"/>
              <w:adjustRightInd/>
              <w:spacing w:line="320" w:lineRule="exac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lang w:eastAsia="zh-CN"/>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6" w:lineRule="auto"/>
              <w:jc w:val="lef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根据投标人提供的应急预案和安全管理制度进行评审：</w:t>
            </w:r>
          </w:p>
          <w:p>
            <w:pPr>
              <w:widowControl/>
              <w:spacing w:line="276" w:lineRule="auto"/>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1、应急预案和安全管理制度制定非常详细、针对性强，非常科学合理且操作性非常强、完善严密，得10分；</w:t>
            </w:r>
          </w:p>
          <w:p>
            <w:pPr>
              <w:widowControl/>
              <w:spacing w:line="276" w:lineRule="auto"/>
              <w:jc w:val="lef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2、应急预案和安全管理制度制定较详细、针对性较强，科学合理、操作性较强、较完善严密，得7分；</w:t>
            </w:r>
          </w:p>
          <w:p>
            <w:pPr>
              <w:widowControl/>
              <w:spacing w:line="276" w:lineRule="auto"/>
              <w:jc w:val="lef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3、应急预案和安全管理制度制定一般，针对性、操作性一般，完善严密性一般的，得3分；</w:t>
            </w:r>
          </w:p>
          <w:p>
            <w:pPr>
              <w:pStyle w:val="2"/>
              <w:spacing w:line="276" w:lineRule="auto"/>
              <w:rPr>
                <w:rFonts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4、</w:t>
            </w:r>
            <w:r>
              <w:rPr>
                <w:rFonts w:hint="eastAsia" w:ascii="宋体" w:hAnsi="宋体" w:eastAsia="宋体" w:cs="宋体"/>
                <w:color w:val="000000" w:themeColor="text1"/>
                <w:kern w:val="0"/>
                <w:szCs w:val="21"/>
                <w:highlight w:val="none"/>
              </w:rPr>
              <w:t>应急预案和安全管理</w:t>
            </w:r>
            <w:r>
              <w:rPr>
                <w:rFonts w:hint="eastAsia" w:ascii="宋体" w:hAnsi="宋体" w:eastAsia="宋体" w:cs="宋体"/>
                <w:color w:val="000000" w:themeColor="text1"/>
                <w:kern w:val="0"/>
                <w:sz w:val="21"/>
                <w:szCs w:val="21"/>
                <w:highlight w:val="none"/>
              </w:rPr>
              <w:t>制度制定差，针对性、操作性差的，得1分；</w:t>
            </w:r>
          </w:p>
          <w:p>
            <w:pPr>
              <w:pStyle w:val="2"/>
              <w:spacing w:line="276" w:lineRule="auto"/>
              <w:rPr>
                <w:rFonts w:hint="eastAsia" w:ascii="宋体" w:hAnsi="宋体" w:eastAsia="宋体" w:cs="宋体"/>
                <w:color w:val="000000" w:themeColor="text1"/>
                <w:sz w:val="21"/>
                <w:szCs w:val="21"/>
                <w:highlight w:val="none"/>
                <w:lang w:val="en-US" w:eastAsia="zh-CN" w:bidi="ar-SA"/>
              </w:rPr>
            </w:pPr>
            <w:r>
              <w:rPr>
                <w:rFonts w:hint="eastAsia" w:ascii="宋体" w:hAnsi="宋体" w:eastAsia="宋体" w:cs="宋体"/>
                <w:color w:val="000000" w:themeColor="text1"/>
                <w:kern w:val="0"/>
                <w:sz w:val="21"/>
                <w:szCs w:val="21"/>
                <w:highlight w:val="none"/>
              </w:rPr>
              <w:t>5、未提供的不得分。</w:t>
            </w:r>
          </w:p>
        </w:tc>
      </w:tr>
      <w:tr>
        <w:tblPrEx>
          <w:tblCellMar>
            <w:top w:w="0" w:type="dxa"/>
            <w:left w:w="0" w:type="dxa"/>
            <w:bottom w:w="0" w:type="dxa"/>
            <w:right w:w="0" w:type="dxa"/>
          </w:tblCellMar>
        </w:tblPrEx>
        <w:trPr>
          <w:cantSplit/>
          <w:trHeight w:val="1355"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bCs/>
                <w:color w:val="000000" w:themeColor="text1"/>
                <w:kern w:val="0"/>
                <w:sz w:val="21"/>
                <w:szCs w:val="21"/>
                <w:highlight w:val="none"/>
                <w:lang w:val="en-US" w:eastAsia="zh-CN" w:bidi="ar-SA"/>
              </w:rPr>
            </w:pPr>
            <w:r>
              <w:rPr>
                <w:rFonts w:hint="eastAsia" w:ascii="宋体" w:hAnsi="宋体" w:eastAsia="宋体" w:cs="宋体"/>
                <w:color w:val="000000" w:themeColor="text1"/>
                <w:kern w:val="0"/>
                <w:szCs w:val="21"/>
                <w:highlight w:val="none"/>
              </w:rPr>
              <w:t>培训方案</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lang w:eastAsia="zh-CN"/>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根据投标人提供的服务知识和技能培训方案等进行综合评审；</w:t>
            </w:r>
          </w:p>
          <w:p>
            <w:pPr>
              <w:widowControl/>
              <w:jc w:val="lef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1、培训方案明确，逻辑清晰，可行性强，措施完善，得</w:t>
            </w:r>
            <w:r>
              <w:rPr>
                <w:rFonts w:ascii="宋体" w:hAnsi="宋体" w:eastAsia="宋体" w:cs="宋体"/>
                <w:color w:val="000000" w:themeColor="text1"/>
                <w:kern w:val="0"/>
                <w:szCs w:val="21"/>
                <w:highlight w:val="none"/>
              </w:rPr>
              <w:t>10</w:t>
            </w:r>
            <w:r>
              <w:rPr>
                <w:rFonts w:hint="eastAsia" w:ascii="宋体" w:hAnsi="宋体" w:eastAsia="宋体" w:cs="宋体"/>
                <w:color w:val="000000" w:themeColor="text1"/>
                <w:kern w:val="0"/>
                <w:szCs w:val="21"/>
                <w:highlight w:val="none"/>
              </w:rPr>
              <w:t>分；</w:t>
            </w:r>
          </w:p>
          <w:p>
            <w:pPr>
              <w:widowControl/>
              <w:jc w:val="left"/>
              <w:rPr>
                <w:rFonts w:hint="eastAsia" w:ascii="宋体" w:hAnsi="宋体" w:eastAsia="宋体" w:cs="宋体"/>
                <w:color w:val="000000" w:themeColor="text1"/>
                <w:kern w:val="0"/>
                <w:szCs w:val="21"/>
                <w:highlight w:val="none"/>
              </w:rPr>
            </w:pPr>
            <w:r>
              <w:rPr>
                <w:rFonts w:ascii="宋体" w:hAnsi="宋体" w:eastAsia="宋体" w:cs="宋体"/>
                <w:color w:val="000000" w:themeColor="text1"/>
                <w:kern w:val="0"/>
                <w:szCs w:val="21"/>
                <w:highlight w:val="none"/>
              </w:rPr>
              <w:t>2</w:t>
            </w:r>
            <w:r>
              <w:rPr>
                <w:rFonts w:hint="eastAsia" w:ascii="宋体" w:hAnsi="宋体" w:eastAsia="宋体" w:cs="宋体"/>
                <w:color w:val="000000" w:themeColor="text1"/>
                <w:kern w:val="0"/>
                <w:szCs w:val="21"/>
                <w:highlight w:val="none"/>
              </w:rPr>
              <w:t>、培训方案较明确，逻辑较清晰，可行性较强，措施较完善，得</w:t>
            </w:r>
            <w:r>
              <w:rPr>
                <w:rFonts w:ascii="宋体" w:hAnsi="宋体" w:eastAsia="宋体" w:cs="宋体"/>
                <w:color w:val="000000" w:themeColor="text1"/>
                <w:kern w:val="0"/>
                <w:szCs w:val="21"/>
                <w:highlight w:val="none"/>
              </w:rPr>
              <w:t>7</w:t>
            </w:r>
            <w:r>
              <w:rPr>
                <w:rFonts w:hint="eastAsia" w:ascii="宋体" w:hAnsi="宋体" w:eastAsia="宋体" w:cs="宋体"/>
                <w:color w:val="000000" w:themeColor="text1"/>
                <w:kern w:val="0"/>
                <w:szCs w:val="21"/>
                <w:highlight w:val="none"/>
              </w:rPr>
              <w:t>分；</w:t>
            </w:r>
          </w:p>
          <w:p>
            <w:pPr>
              <w:widowControl/>
              <w:jc w:val="left"/>
              <w:rPr>
                <w:rFonts w:hint="eastAsia" w:ascii="宋体" w:hAnsi="宋体" w:eastAsia="宋体" w:cs="宋体"/>
                <w:color w:val="000000" w:themeColor="text1"/>
                <w:kern w:val="0"/>
                <w:szCs w:val="21"/>
                <w:highlight w:val="none"/>
              </w:rPr>
            </w:pPr>
            <w:r>
              <w:rPr>
                <w:rFonts w:ascii="宋体" w:hAnsi="宋体" w:eastAsia="宋体" w:cs="宋体"/>
                <w:color w:val="000000" w:themeColor="text1"/>
                <w:kern w:val="0"/>
                <w:szCs w:val="21"/>
                <w:highlight w:val="none"/>
              </w:rPr>
              <w:t>3</w:t>
            </w:r>
            <w:r>
              <w:rPr>
                <w:rFonts w:hint="eastAsia" w:ascii="宋体" w:hAnsi="宋体" w:eastAsia="宋体" w:cs="宋体"/>
                <w:color w:val="000000" w:themeColor="text1"/>
                <w:kern w:val="0"/>
                <w:szCs w:val="21"/>
                <w:highlight w:val="none"/>
              </w:rPr>
              <w:t>、培训方案一般，逻辑一般，可行性一般，措施一般，得</w:t>
            </w:r>
            <w:r>
              <w:rPr>
                <w:rFonts w:ascii="宋体" w:hAnsi="宋体" w:eastAsia="宋体" w:cs="宋体"/>
                <w:color w:val="000000" w:themeColor="text1"/>
                <w:kern w:val="0"/>
                <w:szCs w:val="21"/>
                <w:highlight w:val="none"/>
              </w:rPr>
              <w:t>3</w:t>
            </w:r>
            <w:r>
              <w:rPr>
                <w:rFonts w:hint="eastAsia" w:ascii="宋体" w:hAnsi="宋体" w:eastAsia="宋体" w:cs="宋体"/>
                <w:color w:val="000000" w:themeColor="text1"/>
                <w:kern w:val="0"/>
                <w:szCs w:val="21"/>
                <w:highlight w:val="none"/>
              </w:rPr>
              <w:t>分；</w:t>
            </w:r>
          </w:p>
          <w:p>
            <w:pPr>
              <w:widowControl/>
              <w:jc w:val="left"/>
              <w:rPr>
                <w:rFonts w:ascii="宋体" w:hAnsi="宋体" w:eastAsia="宋体" w:cs="宋体"/>
                <w:color w:val="000000" w:themeColor="text1"/>
                <w:kern w:val="0"/>
                <w:szCs w:val="21"/>
                <w:highlight w:val="none"/>
              </w:rPr>
            </w:pPr>
            <w:r>
              <w:rPr>
                <w:rFonts w:ascii="宋体" w:hAnsi="宋体" w:eastAsia="宋体" w:cs="宋体"/>
                <w:color w:val="000000" w:themeColor="text1"/>
                <w:kern w:val="0"/>
                <w:szCs w:val="21"/>
                <w:highlight w:val="none"/>
              </w:rPr>
              <w:t>4</w:t>
            </w:r>
            <w:r>
              <w:rPr>
                <w:rFonts w:hint="eastAsia" w:ascii="宋体" w:hAnsi="宋体" w:eastAsia="宋体" w:cs="宋体"/>
                <w:color w:val="000000" w:themeColor="text1"/>
                <w:kern w:val="0"/>
                <w:szCs w:val="21"/>
                <w:highlight w:val="none"/>
              </w:rPr>
              <w:t>、培训方案差，逻辑差，可行性差，措施差，得1分；</w:t>
            </w:r>
          </w:p>
          <w:p>
            <w:pPr>
              <w:widowControl/>
              <w:jc w:val="left"/>
              <w:rPr>
                <w:rFonts w:hint="eastAsia" w:ascii="宋体" w:hAnsi="宋体" w:eastAsia="宋体" w:cs="宋体"/>
                <w:bCs/>
                <w:color w:val="000000" w:themeColor="text1"/>
                <w:kern w:val="2"/>
                <w:sz w:val="21"/>
                <w:szCs w:val="21"/>
                <w:highlight w:val="none"/>
                <w:lang w:val="en-US" w:eastAsia="zh-CN" w:bidi="ar-SA"/>
              </w:rPr>
            </w:pPr>
            <w:r>
              <w:rPr>
                <w:rFonts w:hint="eastAsia" w:ascii="宋体" w:hAnsi="宋体" w:eastAsia="宋体" w:cs="宋体"/>
                <w:color w:val="000000" w:themeColor="text1"/>
                <w:kern w:val="0"/>
                <w:szCs w:val="21"/>
                <w:highlight w:val="none"/>
              </w:rPr>
              <w:t>5、未提供的不得分。</w:t>
            </w:r>
          </w:p>
        </w:tc>
      </w:tr>
      <w:tr>
        <w:tblPrEx>
          <w:tblCellMar>
            <w:top w:w="0" w:type="dxa"/>
            <w:left w:w="0" w:type="dxa"/>
            <w:bottom w:w="0" w:type="dxa"/>
            <w:right w:w="0" w:type="dxa"/>
          </w:tblCellMar>
        </w:tblPrEx>
        <w:trPr>
          <w:cantSplit/>
          <w:trHeight w:val="492" w:hRule="atLeast"/>
          <w:jc w:val="center"/>
        </w:trPr>
        <w:tc>
          <w:tcPr>
            <w:tcW w:w="230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合计</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lang w:val="en-US" w:eastAsia="zh-CN"/>
              </w:rPr>
              <w:t>0</w:t>
            </w:r>
            <w:r>
              <w:rPr>
                <w:rFonts w:hint="eastAsia" w:ascii="宋体" w:hAnsi="宋体" w:eastAsia="宋体" w:cs="宋体"/>
                <w:color w:val="000000" w:themeColor="text1"/>
                <w:sz w:val="21"/>
                <w:szCs w:val="21"/>
                <w:highlight w:val="none"/>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w:t>
            </w:r>
          </w:p>
        </w:tc>
      </w:tr>
    </w:tbl>
    <w:p>
      <w:pPr>
        <w:rPr>
          <w:color w:val="000000" w:themeColor="text1"/>
          <w:highlight w:val="none"/>
        </w:rPr>
      </w:pPr>
    </w:p>
    <w:p>
      <w:pPr>
        <w:rPr>
          <w:color w:val="000000" w:themeColor="text1"/>
          <w:highlight w:val="none"/>
        </w:rPr>
      </w:pPr>
      <w:r>
        <w:rPr>
          <w:color w:val="000000" w:themeColor="text1"/>
          <w:highlight w:val="none"/>
        </w:rPr>
        <w:t>商务</w:t>
      </w:r>
      <w:r>
        <w:rPr>
          <w:rFonts w:hint="eastAsia"/>
          <w:color w:val="000000" w:themeColor="text1"/>
          <w:highlight w:val="none"/>
        </w:rPr>
        <w:t>评</w:t>
      </w:r>
      <w:r>
        <w:rPr>
          <w:color w:val="000000" w:themeColor="text1"/>
          <w:highlight w:val="none"/>
        </w:rPr>
        <w:t>分</w:t>
      </w:r>
      <w:r>
        <w:rPr>
          <w:rFonts w:hint="eastAsia"/>
          <w:color w:val="000000" w:themeColor="text1"/>
          <w:highlight w:val="none"/>
        </w:rPr>
        <w:t>细则</w:t>
      </w:r>
    </w:p>
    <w:tbl>
      <w:tblPr>
        <w:tblStyle w:val="46"/>
        <w:tblW w:w="9417"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7"/>
        <w:gridCol w:w="1359"/>
        <w:gridCol w:w="1124"/>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91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序号</w:t>
            </w:r>
          </w:p>
        </w:tc>
        <w:tc>
          <w:tcPr>
            <w:tcW w:w="1359"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评审内容</w:t>
            </w:r>
          </w:p>
        </w:tc>
        <w:tc>
          <w:tcPr>
            <w:tcW w:w="11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分值</w:t>
            </w:r>
          </w:p>
        </w:tc>
        <w:tc>
          <w:tcPr>
            <w:tcW w:w="601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3" w:hRule="atLeast"/>
        </w:trPr>
        <w:tc>
          <w:tcPr>
            <w:tcW w:w="91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4"/>
                <w:highlight w:val="none"/>
                <w:lang w:val="en-US" w:eastAsia="zh-CN" w:bidi="ar-SA"/>
              </w:rPr>
            </w:pPr>
            <w:r>
              <w:rPr>
                <w:rFonts w:hint="eastAsia" w:ascii="宋体" w:hAnsi="宋体" w:eastAsia="宋体" w:cs="宋体"/>
                <w:color w:val="000000" w:themeColor="text1"/>
                <w:highlight w:val="none"/>
              </w:rPr>
              <w:t>1</w:t>
            </w:r>
          </w:p>
        </w:tc>
        <w:tc>
          <w:tcPr>
            <w:tcW w:w="1359" w:type="dxa"/>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Cs w:val="21"/>
                <w:highlight w:val="none"/>
              </w:rPr>
              <w:t>用户需求书响应程度</w:t>
            </w:r>
          </w:p>
        </w:tc>
        <w:tc>
          <w:tcPr>
            <w:tcW w:w="11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rPr>
              <w:t>30</w:t>
            </w:r>
            <w:r>
              <w:rPr>
                <w:rFonts w:hint="eastAsia" w:ascii="宋体" w:hAnsi="宋体" w:eastAsia="宋体" w:cs="宋体"/>
                <w:color w:val="000000" w:themeColor="text1"/>
                <w:sz w:val="21"/>
                <w:szCs w:val="21"/>
                <w:highlight w:val="none"/>
                <w:lang w:eastAsia="zh-CN"/>
              </w:rPr>
              <w:t>分</w:t>
            </w:r>
          </w:p>
        </w:tc>
        <w:tc>
          <w:tcPr>
            <w:tcW w:w="601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 xml:space="preserve">根据投标人对用户需求书的响应情况进行评分，标有“▲”号的重要条款，每负偏离一项扣2分；本小项扣至0分为止。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注：如要求提供相关证明材料的，要按要求提供，否则视为负偏离。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trPr>
        <w:tc>
          <w:tcPr>
            <w:tcW w:w="91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w:t>
            </w:r>
          </w:p>
        </w:tc>
        <w:tc>
          <w:tcPr>
            <w:tcW w:w="1359" w:type="dxa"/>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Cs w:val="21"/>
                <w:highlight w:val="none"/>
              </w:rPr>
              <w:t>同类业绩</w:t>
            </w:r>
          </w:p>
        </w:tc>
        <w:tc>
          <w:tcPr>
            <w:tcW w:w="11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highlight w:val="none"/>
                <w:lang w:val="en-US" w:eastAsia="zh-CN"/>
              </w:rPr>
              <w:t>10</w:t>
            </w:r>
            <w:r>
              <w:rPr>
                <w:rFonts w:hint="eastAsia" w:ascii="宋体" w:hAnsi="宋体" w:eastAsia="宋体" w:cs="宋体"/>
                <w:color w:val="000000" w:themeColor="text1"/>
                <w:highlight w:val="none"/>
                <w:lang w:eastAsia="zh-CN"/>
              </w:rPr>
              <w:t>分</w:t>
            </w:r>
          </w:p>
        </w:tc>
        <w:tc>
          <w:tcPr>
            <w:tcW w:w="6017" w:type="dxa"/>
            <w:tcMar>
              <w:top w:w="0" w:type="dxa"/>
              <w:left w:w="108" w:type="dxa"/>
              <w:bottom w:w="0" w:type="dxa"/>
              <w:right w:w="108" w:type="dxa"/>
            </w:tcMar>
            <w:vAlign w:val="center"/>
          </w:tcPr>
          <w:p>
            <w:pPr>
              <w:keepNext w:val="0"/>
              <w:keepLines w:val="0"/>
              <w:pageBreakBefore w:val="0"/>
              <w:widowControl w:val="0"/>
              <w:tabs>
                <w:tab w:val="left" w:pos="257"/>
              </w:tabs>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根据投标人完成的同类</w:t>
            </w:r>
            <w:r>
              <w:rPr>
                <w:rFonts w:hint="eastAsia" w:ascii="宋体" w:hAnsi="宋体" w:cs="宋体"/>
                <w:color w:val="000000" w:themeColor="text1"/>
                <w:kern w:val="2"/>
                <w:sz w:val="21"/>
                <w:szCs w:val="21"/>
                <w:highlight w:val="none"/>
                <w:lang w:val="en-US" w:eastAsia="zh-CN" w:bidi="ar-SA"/>
              </w:rPr>
              <w:t>项目业绩（同类业绩包含：</w:t>
            </w:r>
            <w:r>
              <w:rPr>
                <w:rFonts w:hint="eastAsia" w:ascii="宋体" w:hAnsi="宋体" w:eastAsia="宋体" w:cs="宋体"/>
                <w:color w:val="000000" w:themeColor="text1"/>
                <w:kern w:val="2"/>
                <w:sz w:val="21"/>
                <w:szCs w:val="21"/>
                <w:highlight w:val="none"/>
                <w:lang w:val="en-US" w:eastAsia="zh-CN" w:bidi="ar-SA"/>
              </w:rPr>
              <w:t>综合辅助服务</w:t>
            </w:r>
            <w:r>
              <w:rPr>
                <w:rFonts w:hint="eastAsia" w:ascii="宋体" w:hAnsi="宋体" w:cs="宋体"/>
                <w:color w:val="000000" w:themeColor="text1"/>
                <w:kern w:val="2"/>
                <w:sz w:val="21"/>
                <w:szCs w:val="21"/>
                <w:highlight w:val="none"/>
                <w:lang w:val="en-US" w:eastAsia="zh-CN" w:bidi="ar-SA"/>
              </w:rPr>
              <w:t>、后勤保障服务、</w:t>
            </w:r>
            <w:r>
              <w:rPr>
                <w:rFonts w:hint="eastAsia" w:ascii="宋体" w:hAnsi="宋体"/>
                <w:color w:val="000000" w:themeColor="text1"/>
                <w:szCs w:val="21"/>
                <w:highlight w:val="none"/>
                <w:lang w:eastAsia="zh-CN"/>
              </w:rPr>
              <w:t>网络和信息支持服务、</w:t>
            </w:r>
            <w:r>
              <w:rPr>
                <w:rFonts w:hint="eastAsia" w:ascii="宋体" w:hAnsi="宋体" w:eastAsia="宋体" w:cs="宋体"/>
                <w:color w:val="000000" w:themeColor="text1"/>
                <w:kern w:val="2"/>
                <w:sz w:val="21"/>
                <w:szCs w:val="21"/>
                <w:highlight w:val="none"/>
                <w:lang w:val="en-US" w:eastAsia="zh-CN" w:bidi="ar-SA"/>
              </w:rPr>
              <w:t>驾驶服务</w:t>
            </w:r>
            <w:r>
              <w:rPr>
                <w:rFonts w:hint="eastAsia" w:ascii="宋体" w:hAnsi="宋体" w:cs="宋体"/>
                <w:color w:val="000000" w:themeColor="text1"/>
                <w:kern w:val="2"/>
                <w:sz w:val="21"/>
                <w:szCs w:val="21"/>
                <w:highlight w:val="none"/>
                <w:lang w:val="en-US" w:eastAsia="zh-CN" w:bidi="ar-SA"/>
              </w:rPr>
              <w:t>、</w:t>
            </w:r>
            <w:r>
              <w:rPr>
                <w:rFonts w:hint="eastAsia" w:ascii="宋体" w:hAnsi="宋体" w:eastAsia="宋体" w:cs="宋体"/>
                <w:color w:val="000000" w:themeColor="text1"/>
                <w:kern w:val="2"/>
                <w:sz w:val="21"/>
                <w:szCs w:val="21"/>
                <w:highlight w:val="none"/>
                <w:lang w:val="en-US" w:eastAsia="zh-CN" w:bidi="ar-SA"/>
              </w:rPr>
              <w:t>食堂劳务服务（不含食品配送服务）</w:t>
            </w:r>
            <w:r>
              <w:rPr>
                <w:rFonts w:hint="eastAsia" w:ascii="宋体" w:hAnsi="宋体" w:cs="宋体"/>
                <w:color w:val="000000" w:themeColor="text1"/>
                <w:kern w:val="2"/>
                <w:sz w:val="21"/>
                <w:szCs w:val="21"/>
                <w:highlight w:val="none"/>
                <w:lang w:val="en-US" w:eastAsia="zh-CN" w:bidi="ar-SA"/>
              </w:rPr>
              <w:t>，满足其中一项即可）</w:t>
            </w:r>
            <w:r>
              <w:rPr>
                <w:rFonts w:hint="eastAsia" w:ascii="宋体" w:hAnsi="宋体" w:eastAsia="宋体" w:cs="宋体"/>
                <w:color w:val="000000" w:themeColor="text1"/>
                <w:kern w:val="2"/>
                <w:sz w:val="21"/>
                <w:szCs w:val="21"/>
                <w:highlight w:val="none"/>
                <w:lang w:val="en-US" w:eastAsia="zh-CN" w:bidi="ar-SA"/>
              </w:rPr>
              <w:t>，每提供一个同类业绩得5分，最高得10分。</w:t>
            </w:r>
          </w:p>
          <w:p>
            <w:pPr>
              <w:keepNext w:val="0"/>
              <w:keepLines w:val="0"/>
              <w:pageBreakBefore w:val="0"/>
              <w:widowControl w:val="0"/>
              <w:tabs>
                <w:tab w:val="left" w:pos="257"/>
              </w:tabs>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注：须提供合同关键页复印件（包括但不限于合同服务内容页、合同签章页）作为评审依据，证明材料资料不全无法确定为同类项目业绩的，不予认可。没有提供的不得分。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22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合计</w:t>
            </w:r>
          </w:p>
        </w:tc>
        <w:tc>
          <w:tcPr>
            <w:tcW w:w="11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cs="宋体"/>
                <w:color w:val="000000" w:themeColor="text1"/>
                <w:highlight w:val="none"/>
                <w:lang w:val="en-US" w:eastAsia="zh-CN"/>
              </w:rPr>
              <w:t>4</w:t>
            </w:r>
            <w:r>
              <w:rPr>
                <w:rFonts w:hint="eastAsia" w:ascii="宋体" w:hAnsi="宋体" w:eastAsia="宋体" w:cs="宋体"/>
                <w:color w:val="000000" w:themeColor="text1"/>
                <w:highlight w:val="none"/>
                <w:lang w:val="en-US" w:eastAsia="zh-CN"/>
              </w:rPr>
              <w:t>0</w:t>
            </w:r>
            <w:r>
              <w:rPr>
                <w:rFonts w:hint="eastAsia" w:ascii="宋体" w:hAnsi="宋体" w:eastAsia="宋体" w:cs="宋体"/>
                <w:color w:val="000000" w:themeColor="text1"/>
                <w:highlight w:val="none"/>
              </w:rPr>
              <w:t>分</w:t>
            </w:r>
          </w:p>
        </w:tc>
        <w:tc>
          <w:tcPr>
            <w:tcW w:w="601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rPr>
            </w:pPr>
          </w:p>
        </w:tc>
      </w:tr>
    </w:tbl>
    <w:p>
      <w:pPr>
        <w:rPr>
          <w:rFonts w:ascii="宋体"/>
          <w:color w:val="000000" w:themeColor="text1"/>
          <w:szCs w:val="21"/>
          <w:highlight w:val="none"/>
        </w:rPr>
      </w:pPr>
      <w:r>
        <w:rPr>
          <w:rFonts w:hint="eastAsia"/>
          <w:color w:val="000000" w:themeColor="text1"/>
          <w:highlight w:val="none"/>
        </w:rPr>
        <w:t>注：对照每项评价指标要求，投标文件完全不满足要求的，不得分。</w:t>
      </w: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widowControl/>
        <w:tabs>
          <w:tab w:val="left" w:pos="753"/>
        </w:tabs>
        <w:adjustRightInd w:val="0"/>
        <w:snapToGrid w:val="0"/>
        <w:spacing w:line="360" w:lineRule="auto"/>
        <w:ind w:left="753" w:hanging="753"/>
        <w:rPr>
          <w:rFonts w:ascii="宋体" w:hAnsi="宋体" w:cs="Arial"/>
          <w:color w:val="000000" w:themeColor="text1"/>
          <w:szCs w:val="21"/>
          <w:highlight w:val="none"/>
        </w:rPr>
        <w:sectPr>
          <w:footerReference r:id="rId10" w:type="first"/>
          <w:footerReference r:id="rId9" w:type="default"/>
          <w:pgSz w:w="11906" w:h="16838"/>
          <w:pgMar w:top="1418" w:right="1230" w:bottom="1418" w:left="1230" w:header="851" w:footer="851" w:gutter="0"/>
          <w:cols w:space="720" w:num="1"/>
          <w:docGrid w:linePitch="312" w:charSpace="0"/>
        </w:sectPr>
      </w:pPr>
    </w:p>
    <w:bookmarkEnd w:id="1672"/>
    <w:bookmarkEnd w:id="1673"/>
    <w:bookmarkEnd w:id="1674"/>
    <w:bookmarkEnd w:id="1675"/>
    <w:bookmarkEnd w:id="1676"/>
    <w:bookmarkEnd w:id="1677"/>
    <w:bookmarkEnd w:id="1678"/>
    <w:bookmarkEnd w:id="1679"/>
    <w:bookmarkEnd w:id="1680"/>
    <w:bookmarkEnd w:id="1681"/>
    <w:p>
      <w:pPr>
        <w:pStyle w:val="3"/>
        <w:numPr>
          <w:ilvl w:val="0"/>
          <w:numId w:val="0"/>
        </w:numPr>
        <w:spacing w:beforeLines="0"/>
        <w:rPr>
          <w:color w:val="000000" w:themeColor="text1"/>
          <w:highlight w:val="none"/>
        </w:rPr>
      </w:pPr>
      <w:bookmarkStart w:id="1692" w:name="_Hlt21939000"/>
      <w:bookmarkEnd w:id="1692"/>
      <w:bookmarkStart w:id="1693" w:name="_Toc332270355"/>
      <w:bookmarkStart w:id="1694" w:name="_Toc339441096"/>
      <w:bookmarkStart w:id="1695" w:name="_Toc336681589"/>
      <w:bookmarkStart w:id="1696" w:name="_Toc365967081"/>
      <w:bookmarkStart w:id="1697" w:name="_Toc345513910"/>
      <w:bookmarkStart w:id="1698" w:name="_Toc332206717"/>
      <w:bookmarkStart w:id="1699" w:name="_Toc340672878"/>
      <w:bookmarkStart w:id="1700" w:name="_Toc349127635"/>
      <w:bookmarkStart w:id="1701" w:name="_Toc342060383"/>
      <w:bookmarkStart w:id="1702" w:name="_Toc350756459"/>
      <w:bookmarkStart w:id="1703" w:name="_Toc337632367"/>
      <w:bookmarkStart w:id="1704" w:name="_Toc339019898"/>
      <w:bookmarkStart w:id="1705" w:name="_Toc330459994"/>
      <w:bookmarkStart w:id="1706" w:name="_Toc333238642"/>
      <w:bookmarkStart w:id="1707" w:name="_Toc339020242"/>
      <w:bookmarkStart w:id="1708" w:name="_Toc366072538"/>
      <w:bookmarkStart w:id="1709" w:name="_Toc341348347"/>
      <w:bookmarkStart w:id="1710" w:name="_Toc350438758"/>
      <w:bookmarkStart w:id="1711" w:name="_Toc336681944"/>
      <w:bookmarkStart w:id="1712" w:name="_Toc340507451"/>
      <w:bookmarkStart w:id="1713" w:name="_Toc331684047"/>
      <w:bookmarkStart w:id="1714" w:name="_Toc339020104"/>
      <w:bookmarkStart w:id="1715" w:name="_Toc365985187"/>
      <w:bookmarkStart w:id="1716" w:name="_Toc333237797"/>
      <w:bookmarkStart w:id="1717" w:name="_Toc342296769"/>
      <w:bookmarkStart w:id="1718" w:name="_Toc339362309"/>
      <w:bookmarkStart w:id="1719" w:name="_Toc333237686"/>
      <w:bookmarkStart w:id="1720" w:name="_Toc331512907"/>
      <w:bookmarkStart w:id="1721" w:name="_Toc374454610"/>
      <w:bookmarkStart w:id="1722" w:name="_Toc340677079"/>
      <w:bookmarkStart w:id="1723" w:name="_Toc333935696"/>
      <w:bookmarkStart w:id="1724" w:name="_Toc349143598"/>
      <w:bookmarkStart w:id="1725" w:name="_Toc339020024"/>
      <w:bookmarkStart w:id="1726" w:name="_Toc333935355"/>
      <w:bookmarkStart w:id="1727" w:name="_Toc17587"/>
      <w:r>
        <w:rPr>
          <w:rFonts w:hint="eastAsia"/>
          <w:color w:val="000000" w:themeColor="text1"/>
          <w:highlight w:val="none"/>
        </w:rPr>
        <w:t>第四部分  采购项目合同</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Start w:id="1728" w:name="_Hlt97188170"/>
      <w:bookmarkEnd w:id="1728"/>
      <w:r>
        <w:rPr>
          <w:rFonts w:hint="eastAsia"/>
          <w:color w:val="000000" w:themeColor="text1"/>
          <w:highlight w:val="none"/>
        </w:rPr>
        <w:t>（参考范本）</w:t>
      </w:r>
      <w:bookmarkEnd w:id="1727"/>
    </w:p>
    <w:p>
      <w:pPr>
        <w:rPr>
          <w:bCs/>
          <w:color w:val="000000" w:themeColor="text1"/>
          <w:highlight w:val="none"/>
        </w:rPr>
      </w:pPr>
    </w:p>
    <w:p>
      <w:pPr>
        <w:rPr>
          <w:color w:val="000000" w:themeColor="text1"/>
          <w:highlight w:val="none"/>
        </w:rPr>
      </w:pPr>
    </w:p>
    <w:p>
      <w:pPr>
        <w:jc w:val="center"/>
        <w:rPr>
          <w:rFonts w:hint="eastAsia" w:ascii="宋体" w:hAnsi="宋体"/>
          <w:b/>
          <w:color w:val="000000" w:themeColor="text1"/>
          <w:sz w:val="30"/>
          <w:szCs w:val="30"/>
          <w:highlight w:val="none"/>
        </w:rPr>
      </w:pPr>
    </w:p>
    <w:p>
      <w:pPr>
        <w:jc w:val="center"/>
        <w:rPr>
          <w:rFonts w:hint="eastAsia" w:ascii="宋体" w:hAnsi="宋体"/>
          <w:b/>
          <w:color w:val="000000" w:themeColor="text1"/>
          <w:sz w:val="36"/>
          <w:szCs w:val="36"/>
          <w:highlight w:val="none"/>
        </w:rPr>
      </w:pPr>
    </w:p>
    <w:p>
      <w:pPr>
        <w:rPr>
          <w:bCs/>
          <w:color w:val="000000" w:themeColor="text1"/>
          <w:highlight w:val="none"/>
        </w:rPr>
      </w:pPr>
    </w:p>
    <w:p>
      <w:pPr>
        <w:rPr>
          <w:color w:val="000000" w:themeColor="text1"/>
          <w:highlight w:val="none"/>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rPr>
      </w:pPr>
      <w:r>
        <w:rPr>
          <w:rFonts w:hint="eastAsia" w:ascii="宋体" w:hAnsi="宋体" w:eastAsia="宋体" w:cs="宋体"/>
          <w:b/>
          <w:color w:val="000000" w:themeColor="text1"/>
          <w:sz w:val="44"/>
          <w:szCs w:val="44"/>
          <w:highlight w:val="none"/>
          <w:lang w:eastAsia="zh-CN"/>
        </w:rPr>
        <w:t>国家税务总局阳西县税务局2023年－2025年劳务外包服务项目</w:t>
      </w:r>
    </w:p>
    <w:p>
      <w:pPr>
        <w:pStyle w:val="54"/>
        <w:rPr>
          <w:rFonts w:hint="eastAsia" w:ascii="宋体" w:hAnsi="宋体"/>
          <w:b/>
          <w:color w:val="000000" w:themeColor="text1"/>
          <w:sz w:val="36"/>
          <w:szCs w:val="36"/>
          <w:highlight w:val="none"/>
        </w:rPr>
      </w:pPr>
    </w:p>
    <w:p>
      <w:pPr>
        <w:pStyle w:val="54"/>
        <w:rPr>
          <w:rFonts w:hint="eastAsia" w:ascii="宋体" w:hAnsi="宋体"/>
          <w:b/>
          <w:color w:val="000000" w:themeColor="text1"/>
          <w:sz w:val="36"/>
          <w:szCs w:val="36"/>
          <w:highlight w:val="none"/>
        </w:rPr>
      </w:pPr>
    </w:p>
    <w:p>
      <w:pPr>
        <w:jc w:val="center"/>
        <w:rPr>
          <w:rFonts w:hint="eastAsia" w:ascii="宋体" w:hAnsi="宋体"/>
          <w:b/>
          <w:color w:val="000000" w:themeColor="text1"/>
          <w:sz w:val="72"/>
          <w:szCs w:val="72"/>
          <w:highlight w:val="none"/>
        </w:rPr>
      </w:pPr>
      <w:r>
        <w:rPr>
          <w:rFonts w:hint="eastAsia" w:ascii="宋体" w:hAnsi="宋体"/>
          <w:b/>
          <w:color w:val="000000" w:themeColor="text1"/>
          <w:sz w:val="72"/>
          <w:szCs w:val="72"/>
          <w:highlight w:val="none"/>
        </w:rPr>
        <w:t>合 同 书</w:t>
      </w:r>
    </w:p>
    <w:p>
      <w:pPr>
        <w:jc w:val="center"/>
        <w:rPr>
          <w:rFonts w:hint="eastAsia" w:ascii="宋体" w:hAnsi="宋体"/>
          <w:b/>
          <w:color w:val="000000" w:themeColor="text1"/>
          <w:sz w:val="28"/>
          <w:szCs w:val="28"/>
          <w:highlight w:val="none"/>
        </w:rPr>
      </w:pPr>
    </w:p>
    <w:p>
      <w:pPr>
        <w:jc w:val="both"/>
        <w:rPr>
          <w:rFonts w:hint="eastAsia" w:ascii="宋体" w:hAnsi="宋体"/>
          <w:b/>
          <w:color w:val="000000" w:themeColor="text1"/>
          <w:sz w:val="28"/>
          <w:szCs w:val="28"/>
          <w:highlight w:val="none"/>
          <w:lang w:val="en-US" w:eastAsia="zh-CN"/>
        </w:rPr>
      </w:pPr>
      <w:r>
        <w:rPr>
          <w:rFonts w:hint="eastAsia" w:ascii="宋体" w:hAnsi="宋体"/>
          <w:b/>
          <w:color w:val="000000" w:themeColor="text1"/>
          <w:sz w:val="28"/>
          <w:szCs w:val="28"/>
          <w:highlight w:val="none"/>
          <w:lang w:val="en-US" w:eastAsia="zh-CN"/>
        </w:rPr>
        <w:t xml:space="preserve">               </w:t>
      </w:r>
    </w:p>
    <w:p>
      <w:pPr>
        <w:jc w:val="both"/>
        <w:rPr>
          <w:rFonts w:hint="eastAsia" w:ascii="宋体" w:hAnsi="宋体"/>
          <w:b/>
          <w:color w:val="000000" w:themeColor="text1"/>
          <w:sz w:val="28"/>
          <w:szCs w:val="28"/>
          <w:highlight w:val="none"/>
          <w:lang w:val="en-US" w:eastAsia="zh-CN"/>
        </w:rPr>
      </w:pPr>
    </w:p>
    <w:p>
      <w:pPr>
        <w:jc w:val="both"/>
        <w:rPr>
          <w:rFonts w:hint="eastAsia" w:ascii="宋体" w:hAnsi="宋体"/>
          <w:b/>
          <w:color w:val="000000" w:themeColor="text1"/>
          <w:sz w:val="28"/>
          <w:szCs w:val="28"/>
          <w:highlight w:val="none"/>
          <w:lang w:val="en-US" w:eastAsia="zh-CN"/>
        </w:rPr>
      </w:pPr>
    </w:p>
    <w:p>
      <w:pPr>
        <w:jc w:val="both"/>
        <w:rPr>
          <w:rFonts w:hint="eastAsia" w:ascii="宋体" w:hAnsi="宋体"/>
          <w:b/>
          <w:color w:val="000000" w:themeColor="text1"/>
          <w:sz w:val="28"/>
          <w:szCs w:val="28"/>
          <w:highlight w:val="none"/>
          <w:lang w:val="en-US" w:eastAsia="zh-CN"/>
        </w:rPr>
      </w:pPr>
    </w:p>
    <w:p>
      <w:pPr>
        <w:ind w:right="-168" w:rightChars="-80"/>
        <w:jc w:val="both"/>
        <w:rPr>
          <w:rFonts w:hint="eastAsia" w:ascii="宋体" w:hAnsi="宋体"/>
          <w:b/>
          <w:color w:val="000000" w:themeColor="text1"/>
          <w:sz w:val="28"/>
          <w:szCs w:val="28"/>
          <w:highlight w:val="none"/>
          <w:u w:val="single"/>
          <w:lang w:val="en-US" w:eastAsia="zh-CN"/>
        </w:rPr>
      </w:pPr>
      <w:r>
        <w:rPr>
          <w:rFonts w:hint="eastAsia" w:ascii="宋体" w:hAnsi="宋体"/>
          <w:b/>
          <w:color w:val="000000" w:themeColor="text1"/>
          <w:sz w:val="28"/>
          <w:szCs w:val="28"/>
          <w:highlight w:val="none"/>
          <w:lang w:val="en-US" w:eastAsia="zh-CN"/>
        </w:rPr>
        <w:t>合同编号：</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val="en-US" w:eastAsia="zh-CN"/>
        </w:rPr>
        <w:t xml:space="preserve">                                                      </w:t>
      </w:r>
    </w:p>
    <w:p>
      <w:pPr>
        <w:ind w:right="-168" w:rightChars="-80"/>
        <w:jc w:val="both"/>
        <w:rPr>
          <w:rFonts w:hint="eastAsia" w:ascii="宋体" w:hAnsi="宋体"/>
          <w:b/>
          <w:color w:val="000000" w:themeColor="text1"/>
          <w:sz w:val="28"/>
          <w:szCs w:val="28"/>
          <w:highlight w:val="none"/>
        </w:rPr>
      </w:pPr>
    </w:p>
    <w:p>
      <w:pPr>
        <w:ind w:right="-168" w:rightChars="-8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rPr>
        <w:t>采购编号：</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val="en-US" w:eastAsia="zh-CN"/>
        </w:rPr>
        <w:t xml:space="preserve">              </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val="en-US" w:eastAsia="zh-CN"/>
        </w:rPr>
        <w:t xml:space="preserve">       </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val="en-US" w:eastAsia="zh-CN"/>
        </w:rPr>
        <w:t xml:space="preserve">                     </w:t>
      </w:r>
      <w:r>
        <w:rPr>
          <w:rFonts w:hint="eastAsia" w:ascii="宋体" w:hAnsi="宋体"/>
          <w:b/>
          <w:color w:val="000000" w:themeColor="text1"/>
          <w:sz w:val="28"/>
          <w:szCs w:val="28"/>
          <w:highlight w:val="none"/>
          <w:u w:val="single"/>
        </w:rPr>
        <w:t xml:space="preserve">  </w:t>
      </w:r>
    </w:p>
    <w:p>
      <w:pPr>
        <w:rPr>
          <w:rFonts w:hint="eastAsia" w:ascii="宋体" w:hAnsi="宋体"/>
          <w:b/>
          <w:color w:val="000000" w:themeColor="text1"/>
          <w:sz w:val="28"/>
          <w:szCs w:val="28"/>
          <w:highlight w:val="none"/>
        </w:rPr>
      </w:pPr>
    </w:p>
    <w:p>
      <w:pPr>
        <w:ind w:right="-168" w:rightChars="-8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rPr>
        <w:t>项目名称：</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eastAsia="zh-CN"/>
        </w:rPr>
        <w:t>国家税务总局阳西县税务局2023年－2025年劳务外包服务项目</w:t>
      </w:r>
    </w:p>
    <w:p>
      <w:pPr>
        <w:rPr>
          <w:rFonts w:hint="eastAsia" w:ascii="宋体" w:hAnsi="宋体"/>
          <w:b/>
          <w:color w:val="000000" w:themeColor="text1"/>
          <w:sz w:val="28"/>
          <w:szCs w:val="28"/>
          <w:highlight w:val="none"/>
        </w:rPr>
      </w:pPr>
    </w:p>
    <w:p>
      <w:pPr>
        <w:jc w:val="center"/>
        <w:rPr>
          <w:rFonts w:hint="eastAsia" w:ascii="宋体" w:hAnsi="宋体" w:cs="宋体"/>
          <w:color w:val="000000" w:themeColor="text1"/>
          <w:sz w:val="44"/>
          <w:szCs w:val="44"/>
          <w:highlight w:val="none"/>
          <w:lang w:eastAsia="zh-CN"/>
        </w:rPr>
      </w:pPr>
    </w:p>
    <w:p>
      <w:pPr>
        <w:jc w:val="center"/>
        <w:rPr>
          <w:rFonts w:hint="eastAsia" w:ascii="宋体" w:hAnsi="宋体" w:cs="宋体"/>
          <w:color w:val="000000" w:themeColor="text1"/>
          <w:sz w:val="44"/>
          <w:szCs w:val="44"/>
          <w:highlight w:val="none"/>
          <w:lang w:eastAsia="zh-CN"/>
        </w:rPr>
      </w:pPr>
    </w:p>
    <w:p>
      <w:pPr>
        <w:wordWrap w:val="0"/>
        <w:jc w:val="right"/>
        <w:rPr>
          <w:rFonts w:hint="default" w:ascii="宋体" w:hAnsi="宋体" w:cs="宋体"/>
          <w:color w:val="000000" w:themeColor="text1"/>
          <w:sz w:val="28"/>
          <w:szCs w:val="28"/>
          <w:highlight w:val="none"/>
          <w:lang w:val="en-US" w:eastAsia="zh-CN"/>
        </w:rPr>
      </w:pPr>
      <w:r>
        <w:rPr>
          <w:rStyle w:val="310"/>
          <w:rFonts w:hint="eastAsia"/>
          <w:b/>
          <w:i w:val="0"/>
          <w:caps w:val="0"/>
          <w:color w:val="000000" w:themeColor="text1"/>
          <w:spacing w:val="0"/>
          <w:w w:val="100"/>
          <w:kern w:val="2"/>
          <w:sz w:val="28"/>
          <w:szCs w:val="28"/>
          <w:highlight w:val="none"/>
          <w:lang w:val="en-US" w:eastAsia="zh-CN" w:bidi="ar-SA"/>
        </w:rPr>
        <w:t xml:space="preserve">  </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br w:type="page"/>
      </w:r>
    </w:p>
    <w:p>
      <w:pPr>
        <w:spacing w:line="360" w:lineRule="auto"/>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甲方：</w:t>
      </w:r>
      <w:r>
        <w:rPr>
          <w:rFonts w:hint="eastAsia" w:ascii="宋体" w:hAnsi="宋体" w:cs="宋体"/>
          <w:color w:val="000000" w:themeColor="text1"/>
          <w:sz w:val="28"/>
          <w:szCs w:val="28"/>
          <w:highlight w:val="none"/>
          <w:u w:val="single"/>
          <w:lang w:eastAsia="zh-CN"/>
        </w:rPr>
        <w:t>国家税务总局阳西县税务局</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p>
    <w:p>
      <w:pPr>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地址：</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p>
    <w:p>
      <w:pPr>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电话：</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p>
    <w:p>
      <w:pPr>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乙方：</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p>
    <w:p>
      <w:pPr>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地址：</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p>
    <w:p>
      <w:pPr>
        <w:spacing w:line="360" w:lineRule="auto"/>
        <w:rPr>
          <w:rFonts w:hint="eastAsia" w:ascii="宋体" w:hAnsi="宋体" w:eastAsia="宋体" w:cs="宋体"/>
          <w:color w:val="000000" w:themeColor="text1"/>
          <w:sz w:val="28"/>
          <w:szCs w:val="28"/>
          <w:highlight w:val="none"/>
          <w:u w:val="single"/>
        </w:rPr>
      </w:pPr>
      <w:r>
        <w:rPr>
          <w:rFonts w:hint="eastAsia" w:ascii="宋体" w:hAnsi="宋体" w:eastAsia="宋体" w:cs="宋体"/>
          <w:color w:val="000000" w:themeColor="text1"/>
          <w:sz w:val="28"/>
          <w:szCs w:val="28"/>
          <w:highlight w:val="none"/>
        </w:rPr>
        <w:t>电话：</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p>
    <w:p>
      <w:pPr>
        <w:widowControl w:val="0"/>
        <w:wordWrap/>
        <w:adjustRightInd/>
        <w:snapToGrid/>
        <w:spacing w:line="360" w:lineRule="auto"/>
        <w:ind w:firstLine="555"/>
        <w:jc w:val="left"/>
        <w:textAlignment w:val="auto"/>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 xml:space="preserve">根据 </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eastAsia="zh-CN"/>
        </w:rPr>
        <w:t>国家税务总局阳西县税务局2023年－2025年劳务外包服务项目</w:t>
      </w:r>
      <w:r>
        <w:rPr>
          <w:rFonts w:hint="eastAsia" w:ascii="宋体" w:hAnsi="宋体" w:eastAsia="宋体" w:cs="宋体"/>
          <w:color w:val="000000" w:themeColor="text1"/>
          <w:sz w:val="28"/>
          <w:szCs w:val="28"/>
          <w:highlight w:val="none"/>
        </w:rPr>
        <w:t>（采购编号：</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）的采购结果</w:t>
      </w:r>
      <w:r>
        <w:rPr>
          <w:rFonts w:hint="eastAsia" w:ascii="宋体" w:hAnsi="宋体" w:eastAsia="宋体" w:cs="宋体"/>
          <w:color w:val="000000" w:themeColor="text1"/>
          <w:sz w:val="28"/>
          <w:szCs w:val="28"/>
          <w:highlight w:val="none"/>
          <w:lang w:val="en-US" w:eastAsia="zh-CN"/>
        </w:rPr>
        <w:t>及</w:t>
      </w:r>
      <w:r>
        <w:rPr>
          <w:rFonts w:hint="eastAsia" w:ascii="宋体" w:hAnsi="宋体" w:eastAsia="宋体" w:cs="宋体"/>
          <w:color w:val="000000" w:themeColor="text1"/>
          <w:sz w:val="28"/>
          <w:szCs w:val="28"/>
          <w:highlight w:val="none"/>
        </w:rPr>
        <w:t>招标投标文件中的相关约定，按照《中华人民共和国政府采购法》、</w:t>
      </w:r>
      <w:r>
        <w:rPr>
          <w:rFonts w:hint="eastAsia" w:ascii="宋体" w:hAnsi="宋体" w:eastAsia="宋体" w:cs="宋体"/>
          <w:color w:val="000000" w:themeColor="text1"/>
          <w:sz w:val="28"/>
          <w:szCs w:val="28"/>
          <w:highlight w:val="none"/>
          <w:lang w:eastAsia="zh-CN"/>
        </w:rPr>
        <w:t>《中华人民共和国民法典》</w:t>
      </w:r>
      <w:r>
        <w:rPr>
          <w:rFonts w:hint="eastAsia" w:ascii="宋体" w:hAnsi="宋体" w:eastAsia="宋体" w:cs="宋体"/>
          <w:color w:val="000000" w:themeColor="text1"/>
          <w:sz w:val="28"/>
          <w:szCs w:val="28"/>
          <w:highlight w:val="none"/>
        </w:rPr>
        <w:t>的规定，</w:t>
      </w:r>
      <w:r>
        <w:rPr>
          <w:rFonts w:hint="eastAsia" w:ascii="宋体" w:hAnsi="宋体" w:eastAsia="宋体" w:cs="宋体"/>
          <w:color w:val="000000" w:themeColor="text1"/>
          <w:kern w:val="28"/>
          <w:sz w:val="28"/>
          <w:szCs w:val="28"/>
          <w:highlight w:val="none"/>
        </w:rPr>
        <w:t>经双方协商，</w:t>
      </w:r>
      <w:r>
        <w:rPr>
          <w:rFonts w:hint="eastAsia" w:ascii="宋体" w:hAnsi="宋体" w:eastAsia="宋体" w:cs="宋体"/>
          <w:color w:val="000000" w:themeColor="text1"/>
          <w:sz w:val="28"/>
          <w:szCs w:val="28"/>
          <w:highlight w:val="none"/>
        </w:rPr>
        <w:t>本着平等互利和诚实信用的原则，</w:t>
      </w:r>
      <w:r>
        <w:rPr>
          <w:rFonts w:hint="eastAsia" w:ascii="宋体" w:hAnsi="宋体" w:eastAsia="宋体" w:cs="宋体"/>
          <w:color w:val="000000" w:themeColor="text1"/>
          <w:kern w:val="28"/>
          <w:sz w:val="28"/>
          <w:szCs w:val="28"/>
          <w:highlight w:val="none"/>
        </w:rPr>
        <w:t>一致同意签订本合同如下</w:t>
      </w:r>
      <w:r>
        <w:rPr>
          <w:rFonts w:hint="eastAsia" w:ascii="宋体" w:hAnsi="宋体" w:cs="宋体"/>
          <w:color w:val="000000" w:themeColor="text1"/>
          <w:kern w:val="28"/>
          <w:sz w:val="28"/>
          <w:szCs w:val="28"/>
          <w:highlight w:val="none"/>
          <w:lang w:eastAsia="zh-CN"/>
        </w:rPr>
        <w:t>：</w:t>
      </w:r>
    </w:p>
    <w:p>
      <w:pPr>
        <w:widowControl w:val="0"/>
        <w:wordWrap/>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highlight w:val="none"/>
        </w:rPr>
      </w:pPr>
      <w:r>
        <w:rPr>
          <w:rFonts w:hint="eastAsia" w:ascii="宋体" w:hAnsi="宋体" w:eastAsia="宋体" w:cs="宋体"/>
          <w:b w:val="0"/>
          <w:bCs w:val="0"/>
          <w:color w:val="000000" w:themeColor="text1"/>
          <w:sz w:val="28"/>
          <w:szCs w:val="28"/>
          <w:highlight w:val="none"/>
          <w:lang w:eastAsia="zh-CN"/>
        </w:rPr>
        <w:t>第一条</w:t>
      </w:r>
      <w:r>
        <w:rPr>
          <w:rFonts w:hint="eastAsia" w:ascii="宋体" w:hAnsi="宋体" w:eastAsia="宋体" w:cs="宋体"/>
          <w:b w:val="0"/>
          <w:bCs w:val="0"/>
          <w:color w:val="000000" w:themeColor="text1"/>
          <w:sz w:val="28"/>
          <w:szCs w:val="28"/>
          <w:highlight w:val="none"/>
        </w:rPr>
        <w:tab/>
      </w:r>
      <w:r>
        <w:rPr>
          <w:rFonts w:hint="eastAsia" w:ascii="宋体" w:hAnsi="宋体" w:eastAsia="宋体" w:cs="宋体"/>
          <w:b w:val="0"/>
          <w:bCs w:val="0"/>
          <w:color w:val="000000" w:themeColor="text1"/>
          <w:sz w:val="28"/>
          <w:szCs w:val="28"/>
          <w:highlight w:val="none"/>
        </w:rPr>
        <w:t>合同金额</w:t>
      </w:r>
    </w:p>
    <w:p>
      <w:pPr>
        <w:widowControl w:val="0"/>
        <w:wordWrap/>
        <w:adjustRightInd/>
        <w:snapToGrid/>
        <w:spacing w:line="360" w:lineRule="auto"/>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合同金额为人民币（大写</w:t>
      </w:r>
      <w:r>
        <w:rPr>
          <w:rFonts w:hint="eastAsia" w:ascii="宋体" w:hAnsi="宋体" w:eastAsia="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w:t>
      </w:r>
      <w:r>
        <w:rPr>
          <w:rFonts w:hint="eastAsia" w:ascii="宋体" w:hAnsi="宋体" w:eastAsia="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 xml:space="preserve"> </w:t>
      </w:r>
      <w:r>
        <w:rPr>
          <w:rFonts w:hint="eastAsia" w:ascii="宋体" w:hAnsi="宋体" w:eastAsia="宋体" w:cs="宋体"/>
          <w:color w:val="000000" w:themeColor="text1"/>
          <w:sz w:val="28"/>
          <w:szCs w:val="28"/>
          <w:highlight w:val="none"/>
        </w:rPr>
        <w:tab/>
      </w:r>
      <w:r>
        <w:rPr>
          <w:rFonts w:hint="eastAsia" w:ascii="宋体" w:hAnsi="宋体" w:eastAsia="宋体" w:cs="宋体"/>
          <w:color w:val="000000" w:themeColor="text1"/>
          <w:sz w:val="28"/>
          <w:szCs w:val="28"/>
          <w:highlight w:val="none"/>
        </w:rPr>
        <w:t>元）。</w:t>
      </w:r>
    </w:p>
    <w:p>
      <w:pPr>
        <w:pStyle w:val="54"/>
        <w:widowControl w:val="0"/>
        <w:wordWrap/>
        <w:autoSpaceDE w:val="0"/>
        <w:autoSpaceDN w:val="0"/>
        <w:adjustRightInd w:val="0"/>
        <w:snapToGrid/>
        <w:spacing w:line="360" w:lineRule="auto"/>
        <w:ind w:firstLine="560" w:firstLineChars="200"/>
        <w:textAlignment w:val="auto"/>
        <w:rPr>
          <w:rFonts w:hint="default" w:ascii="Times New Roman" w:hAnsi="Times New Roman" w:eastAsia="宋体" w:cs="Times New Roman"/>
          <w:bCs w:val="0"/>
          <w:color w:val="000000" w:themeColor="text1"/>
          <w:kern w:val="2"/>
          <w:sz w:val="28"/>
          <w:szCs w:val="28"/>
          <w:highlight w:val="none"/>
          <w:lang w:val="en-US" w:eastAsia="zh-CN" w:bidi="ar-SA"/>
        </w:rPr>
      </w:pPr>
      <w:r>
        <w:rPr>
          <w:rFonts w:hint="eastAsia" w:ascii="Times New Roman" w:hAnsi="Times New Roman" w:eastAsia="宋体" w:cs="Times New Roman"/>
          <w:bCs w:val="0"/>
          <w:color w:val="000000" w:themeColor="text1"/>
          <w:kern w:val="2"/>
          <w:sz w:val="28"/>
          <w:szCs w:val="28"/>
          <w:highlight w:val="none"/>
          <w:lang w:val="en-US" w:eastAsia="zh-CN" w:bidi="ar-SA"/>
        </w:rPr>
        <w:t>本合同履行期间实际支付的</w:t>
      </w:r>
      <w:r>
        <w:rPr>
          <w:rFonts w:hint="eastAsia" w:ascii="Times New Roman" w:eastAsia="宋体" w:cs="Times New Roman"/>
          <w:bCs w:val="0"/>
          <w:color w:val="000000" w:themeColor="text1"/>
          <w:kern w:val="2"/>
          <w:sz w:val="28"/>
          <w:szCs w:val="28"/>
          <w:highlight w:val="none"/>
          <w:lang w:val="en-US" w:eastAsia="zh-CN" w:bidi="ar-SA"/>
        </w:rPr>
        <w:t>服务费总额不能超出上述合同金额，否则超出部分由乙方承担。</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第</w:t>
      </w:r>
      <w:r>
        <w:rPr>
          <w:rFonts w:hint="eastAsia" w:ascii="宋体" w:hAnsi="宋体" w:cs="宋体"/>
          <w:color w:val="000000" w:themeColor="text1"/>
          <w:sz w:val="28"/>
          <w:szCs w:val="28"/>
          <w:highlight w:val="none"/>
          <w:lang w:eastAsia="zh-CN"/>
        </w:rPr>
        <w:t>二</w:t>
      </w:r>
      <w:r>
        <w:rPr>
          <w:rFonts w:hint="eastAsia" w:ascii="宋体" w:hAnsi="宋体" w:eastAsia="宋体" w:cs="宋体"/>
          <w:color w:val="000000" w:themeColor="text1"/>
          <w:sz w:val="28"/>
          <w:szCs w:val="28"/>
          <w:highlight w:val="none"/>
        </w:rPr>
        <w:t>条  一般规定</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1、本合同为</w:t>
      </w:r>
      <w:r>
        <w:rPr>
          <w:rFonts w:hint="eastAsia" w:ascii="宋体" w:hAnsi="宋体" w:cs="宋体"/>
          <w:color w:val="000000" w:themeColor="text1"/>
          <w:sz w:val="28"/>
          <w:szCs w:val="28"/>
          <w:highlight w:val="none"/>
          <w:lang w:val="en-US" w:eastAsia="zh-CN"/>
        </w:rPr>
        <w:t>劳务外包</w:t>
      </w:r>
      <w:r>
        <w:rPr>
          <w:rFonts w:hint="eastAsia" w:ascii="宋体" w:hAnsi="宋体" w:cs="宋体"/>
          <w:color w:val="000000" w:themeColor="text1"/>
          <w:sz w:val="28"/>
          <w:szCs w:val="28"/>
          <w:highlight w:val="none"/>
          <w:lang w:eastAsia="zh-CN"/>
        </w:rPr>
        <w:t>服务</w:t>
      </w:r>
      <w:r>
        <w:rPr>
          <w:rFonts w:hint="eastAsia" w:ascii="宋体" w:hAnsi="宋体" w:eastAsia="宋体" w:cs="宋体"/>
          <w:color w:val="000000" w:themeColor="text1"/>
          <w:sz w:val="28"/>
          <w:szCs w:val="28"/>
          <w:highlight w:val="none"/>
        </w:rPr>
        <w:t>合同，乙方向甲方</w:t>
      </w:r>
      <w:r>
        <w:rPr>
          <w:rFonts w:hint="eastAsia" w:ascii="宋体" w:hAnsi="宋体" w:cs="宋体"/>
          <w:color w:val="000000" w:themeColor="text1"/>
          <w:sz w:val="28"/>
          <w:szCs w:val="28"/>
          <w:highlight w:val="none"/>
          <w:lang w:eastAsia="zh-CN"/>
        </w:rPr>
        <w:t>提供综合辅助服务、后勤保障服务、网络和信息支持服务、公务用车驾驶服务、食堂劳务服务等服务</w:t>
      </w:r>
      <w:r>
        <w:rPr>
          <w:rFonts w:hint="eastAsia" w:ascii="宋体" w:hAnsi="宋体" w:eastAsia="宋体" w:cs="宋体"/>
          <w:color w:val="000000" w:themeColor="text1"/>
          <w:sz w:val="28"/>
          <w:szCs w:val="28"/>
          <w:highlight w:val="none"/>
        </w:rPr>
        <w:t>。</w:t>
      </w:r>
    </w:p>
    <w:p>
      <w:pPr>
        <w:widowControl w:val="0"/>
        <w:wordWrap/>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2、</w:t>
      </w:r>
      <w:r>
        <w:rPr>
          <w:rFonts w:hint="eastAsia" w:ascii="宋体" w:hAnsi="宋体" w:cs="宋体"/>
          <w:color w:val="000000" w:themeColor="text1"/>
          <w:sz w:val="28"/>
          <w:szCs w:val="28"/>
          <w:highlight w:val="none"/>
          <w:lang w:eastAsia="zh-CN"/>
        </w:rPr>
        <w:t>服</w:t>
      </w:r>
      <w:r>
        <w:rPr>
          <w:rFonts w:hint="eastAsia" w:ascii="宋体" w:hAnsi="宋体" w:eastAsia="宋体" w:cs="宋体"/>
          <w:color w:val="000000" w:themeColor="text1"/>
          <w:sz w:val="28"/>
          <w:szCs w:val="28"/>
          <w:highlight w:val="none"/>
        </w:rPr>
        <w:t>务期限从</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年</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月</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日起至</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年</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月</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日止（共计</w:t>
      </w:r>
      <w:r>
        <w:rPr>
          <w:rFonts w:hint="eastAsia" w:ascii="宋体" w:hAnsi="宋体" w:cs="宋体"/>
          <w:color w:val="000000" w:themeColor="text1"/>
          <w:sz w:val="28"/>
          <w:szCs w:val="28"/>
          <w:highlight w:val="none"/>
          <w:lang w:val="en-US" w:eastAsia="zh-CN"/>
        </w:rPr>
        <w:t>两</w:t>
      </w:r>
      <w:r>
        <w:rPr>
          <w:rFonts w:hint="eastAsia" w:ascii="宋体" w:hAnsi="宋体" w:eastAsia="宋体" w:cs="宋体"/>
          <w:color w:val="000000" w:themeColor="text1"/>
          <w:sz w:val="28"/>
          <w:szCs w:val="28"/>
          <w:highlight w:val="none"/>
        </w:rPr>
        <w:t>年），但本合同规定的提前终止协议的情形除外</w:t>
      </w:r>
      <w:r>
        <w:rPr>
          <w:rFonts w:hint="eastAsia" w:ascii="宋体" w:hAnsi="宋体" w:cs="宋体"/>
          <w:color w:val="000000" w:themeColor="text1"/>
          <w:sz w:val="28"/>
          <w:szCs w:val="28"/>
          <w:highlight w:val="none"/>
          <w:lang w:eastAsia="zh-CN"/>
        </w:rPr>
        <w:t>。</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3、除双方另有约定外，甲、乙双方之间任何与本合同相关的信函以及结算，均使用并且只能使用本合同中甲、乙双方指定的地址和银行开户帐号。</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本合同中甲、乙任何一方的名称、法定地址、汇款人、收款人、开户银行、帐号若有变更，变更一方应于变更前至少提前十五天书面通知对方。该书面通知经加盖公章并经本合同授权代表签字确认方有效，如乙方名称更改，还需提供新的营业执照复印件和企业名称变更核准通知书。</w:t>
      </w:r>
    </w:p>
    <w:p>
      <w:pPr>
        <w:pStyle w:val="2"/>
        <w:ind w:firstLine="56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w:t>
      </w:r>
      <w:r>
        <w:rPr>
          <w:rFonts w:hint="eastAsia" w:ascii="宋体" w:hAnsi="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服务地点为国家税务总局阳西县税务局桥平办公区、国家税务总局阳西县税务局升平办公区、国家税务总局阳西县税务局第一税务分局（办税服务厅）、国家税务总局阳西县税务局沙扒税务分局、国家税务总局阳西县税务局儒洞税务分局，以及阳西县内</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lang w:val="en-US" w:eastAsia="zh-CN"/>
        </w:rPr>
        <w:t>指定的其他地点。</w:t>
      </w:r>
    </w:p>
    <w:p>
      <w:pPr>
        <w:widowControl w:val="0"/>
        <w:wordWrap/>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第</w:t>
      </w:r>
      <w:r>
        <w:rPr>
          <w:rFonts w:hint="eastAsia" w:ascii="宋体" w:hAnsi="宋体" w:cs="宋体"/>
          <w:color w:val="000000" w:themeColor="text1"/>
          <w:sz w:val="28"/>
          <w:szCs w:val="28"/>
          <w:highlight w:val="none"/>
          <w:lang w:eastAsia="zh-CN"/>
        </w:rPr>
        <w:t>三</w:t>
      </w:r>
      <w:r>
        <w:rPr>
          <w:rFonts w:hint="eastAsia" w:ascii="宋体" w:hAnsi="宋体" w:eastAsia="宋体" w:cs="宋体"/>
          <w:color w:val="000000" w:themeColor="text1"/>
          <w:sz w:val="28"/>
          <w:szCs w:val="28"/>
          <w:highlight w:val="none"/>
        </w:rPr>
        <w:t>条  实施要求</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一</w:t>
      </w:r>
      <w:r>
        <w:rPr>
          <w:rFonts w:hint="eastAsia" w:ascii="宋体" w:hAnsi="宋体" w:eastAsia="宋体" w:cs="宋体"/>
          <w:color w:val="000000" w:themeColor="text1"/>
          <w:sz w:val="28"/>
          <w:szCs w:val="28"/>
          <w:highlight w:val="none"/>
        </w:rPr>
        <w:t>】服务内容及要求</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根据</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实际情况及要求安排开展工作。</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有权以书面形式向</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提出劳务外包服务的具体要求，以及劳务外包服务人员的素质要求。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应按</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要求提供符合实际需要和符合条件的劳务外包服务人员。</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负责所有劳务外包服务人员的人事、劳资、社会保险、计生、基础培训的人事劳资管理工作，并提供为劳务外包服务人员办理劳动用工手续（签订、终止或解除劳动合同，劳务外包服务人员的调动手续等）、结算发放工资、</w:t>
      </w:r>
      <w:r>
        <w:rPr>
          <w:rFonts w:hint="eastAsia" w:ascii="宋体" w:hAnsi="宋体" w:cs="宋体"/>
          <w:color w:val="000000" w:themeColor="text1"/>
          <w:sz w:val="28"/>
          <w:szCs w:val="28"/>
          <w:highlight w:val="none"/>
          <w:lang w:val="en-US" w:eastAsia="zh-CN"/>
        </w:rPr>
        <w:t>支付经济补偿金或赔偿金、加班费、</w:t>
      </w:r>
      <w:r>
        <w:rPr>
          <w:rFonts w:hint="eastAsia" w:ascii="宋体" w:hAnsi="宋体" w:eastAsia="宋体" w:cs="宋体"/>
          <w:color w:val="000000" w:themeColor="text1"/>
          <w:sz w:val="28"/>
          <w:szCs w:val="28"/>
          <w:highlight w:val="none"/>
        </w:rPr>
        <w:t>缴纳社会保险、处理保险理赔、管理人事档案、提供员工培训等方面的管理服务</w:t>
      </w:r>
      <w:r>
        <w:rPr>
          <w:rFonts w:hint="eastAsia" w:ascii="宋体" w:hAnsi="宋体" w:cs="宋体"/>
          <w:color w:val="000000" w:themeColor="text1"/>
          <w:sz w:val="28"/>
          <w:szCs w:val="28"/>
          <w:highlight w:val="none"/>
          <w:lang w:val="en-US" w:eastAsia="zh-CN"/>
        </w:rPr>
        <w:t>和用人单位应承担的全部费用</w:t>
      </w:r>
      <w:r>
        <w:rPr>
          <w:rFonts w:hint="eastAsia" w:ascii="宋体" w:hAnsi="宋体" w:eastAsia="宋体" w:cs="宋体"/>
          <w:color w:val="000000" w:themeColor="text1"/>
          <w:sz w:val="28"/>
          <w:szCs w:val="28"/>
          <w:highlight w:val="none"/>
        </w:rPr>
        <w:t>。负责处理合同服务期内所有劳资纠纷和调解管理纠纷，落实</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根据规章制度和工作需要提出的其他要求。</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4、劳务外包服务人员与</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存在劳动法律关系（包括劳动合同关系、工资保险关系和劳动用工手续等），</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为用人单位，外包员工与</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只存在业务服务关系，不存在劳动法律关系。</w:t>
      </w:r>
    </w:p>
    <w:p>
      <w:pPr>
        <w:widowControl w:val="0"/>
        <w:wordWrap/>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5、劳务外包服务人员入职后，如</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要求，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有义务及时向</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提供劳务外包服务人员资料，包括个人信息、健康证、劳动合同或劳动关系档案编号、社会保险证明等个人资料，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承诺不随意对外泄露。</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应经常性对劳务外包服务人员进行职业道德教育，监督检查劳务外包服务人员执行</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规章制度的情况，对违规违法劳务外包服务人员处理，维护</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正常的经营秩序。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应当妥善维护与劳务外包服务人员的劳动关系，对于劳务外包服务人员通过</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向</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提出的管理、服务等方面的投诉或建议，</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均应三个工作日内进行处理，并在处理完毕后三个工作日以书面形式反馈结果至</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8、</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应至少安排1名工作人员专门负责与</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进行工作对接，对于</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提出的各类工作事项及服务需求均应按时按质量处理，不得敷衍了事。</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9、</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提供的劳务外包服务人员（须按</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要求，持证上岗）及各项服务费用需经</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审核。（须提供承诺函）</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10、</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须按照规定为劳务外包服务人员办理社会保险，并负责办理社保的理赔手续和发放保险补助。</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11、</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须按照合同约定的时间和</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核定的标准，及时、足额向劳务外包服务人员支付每月工资，不得无故扣发劳务外包服务人员工资，不得缩减或变更劳务外包服务人员交付全额社会保险的险种。</w:t>
      </w:r>
    </w:p>
    <w:p>
      <w:pPr>
        <w:keepNext w:val="0"/>
        <w:keepLines w:val="0"/>
        <w:pageBreakBefore w:val="0"/>
        <w:widowControl w:val="0"/>
        <w:numPr>
          <w:ilvl w:val="0"/>
          <w:numId w:val="0"/>
        </w:numPr>
        <w:kinsoku/>
        <w:wordWrap/>
        <w:overflowPunct/>
        <w:topLinePunct w:val="0"/>
        <w:bidi w:val="0"/>
        <w:spacing w:before="156" w:beforeLines="50" w:line="560" w:lineRule="atLeast"/>
        <w:ind w:firstLine="560" w:firstLineChars="200"/>
        <w:textAlignment w:val="auto"/>
        <w:outlineLvl w:val="9"/>
        <w:rPr>
          <w:rFonts w:hint="default" w:ascii="Times New Roman" w:hAnsi="Times New Roman" w:eastAsia="宋体" w:cs="Times New Roman"/>
          <w:bCs w:val="0"/>
          <w:color w:val="000000" w:themeColor="text1"/>
          <w:sz w:val="28"/>
          <w:szCs w:val="28"/>
          <w:highlight w:val="none"/>
          <w:lang w:val="en-US" w:eastAsia="zh-CN"/>
        </w:rPr>
      </w:pPr>
      <w:r>
        <w:rPr>
          <w:rFonts w:hint="eastAsia" w:cs="Times New Roman"/>
          <w:bCs w:val="0"/>
          <w:color w:val="000000" w:themeColor="text1"/>
          <w:sz w:val="28"/>
          <w:szCs w:val="28"/>
          <w:highlight w:val="none"/>
          <w:lang w:val="en-US" w:eastAsia="zh-CN"/>
        </w:rPr>
        <w:t>12、乙方应</w:t>
      </w:r>
      <w:r>
        <w:rPr>
          <w:rFonts w:hint="eastAsia" w:ascii="Times New Roman" w:hAnsi="Times New Roman" w:eastAsia="宋体" w:cs="Times New Roman"/>
          <w:bCs w:val="0"/>
          <w:color w:val="000000" w:themeColor="text1"/>
          <w:sz w:val="28"/>
          <w:szCs w:val="28"/>
          <w:highlight w:val="none"/>
          <w:lang w:val="en-US" w:eastAsia="zh-CN"/>
        </w:rPr>
        <w:t>优先录用本次公开招标前自愿与</w:t>
      </w:r>
      <w:r>
        <w:rPr>
          <w:rFonts w:hint="eastAsia" w:cs="Times New Roman"/>
          <w:bCs w:val="0"/>
          <w:color w:val="000000" w:themeColor="text1"/>
          <w:sz w:val="28"/>
          <w:szCs w:val="28"/>
          <w:highlight w:val="none"/>
          <w:lang w:val="en-US" w:eastAsia="zh-CN"/>
        </w:rPr>
        <w:t>甲方</w:t>
      </w:r>
      <w:r>
        <w:rPr>
          <w:rFonts w:hint="eastAsia" w:ascii="Times New Roman" w:hAnsi="Times New Roman" w:eastAsia="宋体" w:cs="Times New Roman"/>
          <w:bCs w:val="0"/>
          <w:color w:val="000000" w:themeColor="text1"/>
          <w:sz w:val="28"/>
          <w:szCs w:val="28"/>
          <w:highlight w:val="none"/>
          <w:lang w:val="en-US" w:eastAsia="zh-CN"/>
        </w:rPr>
        <w:t>或者相关劳务公司解除劳动合同的人员，且录用后其待遇与原待遇应相当</w:t>
      </w:r>
      <w:r>
        <w:rPr>
          <w:rFonts w:hint="eastAsia" w:cs="Times New Roman"/>
          <w:bCs w:val="0"/>
          <w:color w:val="000000" w:themeColor="text1"/>
          <w:sz w:val="28"/>
          <w:szCs w:val="28"/>
          <w:highlight w:val="none"/>
          <w:lang w:val="en-US" w:eastAsia="zh-CN"/>
        </w:rPr>
        <w:t>。若低于原待遇的，甲方有权要求乙方纠正。</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二</w:t>
      </w:r>
      <w:r>
        <w:rPr>
          <w:rFonts w:hint="eastAsia" w:ascii="宋体" w:hAnsi="宋体" w:eastAsia="宋体" w:cs="宋体"/>
          <w:color w:val="000000" w:themeColor="text1"/>
          <w:sz w:val="28"/>
          <w:szCs w:val="28"/>
          <w:highlight w:val="none"/>
        </w:rPr>
        <w:t>】服务责任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1、因劳务外包服务人员工作失职、故意行为、违法犯罪行为造成</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经济损失的，</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应承担相应的管理责任和法律责任。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2、因</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自身原因导致纠纷扩大或未能减小</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相关损失的，由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承担相关责任。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3、因</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自身原因所引发的一切纠纷，由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负完全责任。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4、劳务外包服务人员在非工作时间内发生的人身意外或其他纠纷，由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负责处理和承担相关责任。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不按国家或相关主管部门规定发放劳务外包人员工资、社会保险费用、住房公积金费用和其他福利费用的，并引起法律纠纷的，除承担由此引发的一切法律责任外，</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有权终止服务合同。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6、如果中标时</w:t>
      </w:r>
      <w:r>
        <w:rPr>
          <w:rFonts w:hint="eastAsia" w:ascii="宋体" w:hAnsi="宋体" w:cs="宋体"/>
          <w:color w:val="000000" w:themeColor="text1"/>
          <w:sz w:val="28"/>
          <w:szCs w:val="28"/>
          <w:highlight w:val="none"/>
          <w:lang w:val="en-US" w:eastAsia="zh-CN"/>
        </w:rPr>
        <w:t>乙方</w:t>
      </w:r>
      <w:r>
        <w:rPr>
          <w:rFonts w:hint="eastAsia" w:ascii="宋体" w:hAnsi="宋体" w:eastAsia="宋体" w:cs="宋体"/>
          <w:color w:val="000000" w:themeColor="text1"/>
          <w:sz w:val="28"/>
          <w:szCs w:val="28"/>
          <w:highlight w:val="none"/>
          <w:lang w:val="en-US" w:eastAsia="zh-CN"/>
        </w:rPr>
        <w:t>为中型企业，</w:t>
      </w:r>
      <w:r>
        <w:rPr>
          <w:rFonts w:hint="eastAsia" w:ascii="宋体" w:hAnsi="宋体" w:cs="宋体"/>
          <w:color w:val="000000" w:themeColor="text1"/>
          <w:sz w:val="28"/>
          <w:szCs w:val="28"/>
          <w:highlight w:val="none"/>
          <w:lang w:val="en-US" w:eastAsia="zh-CN"/>
        </w:rPr>
        <w:t>乙方</w:t>
      </w:r>
      <w:r>
        <w:rPr>
          <w:rFonts w:hint="eastAsia" w:ascii="宋体" w:hAnsi="宋体" w:eastAsia="宋体" w:cs="宋体"/>
          <w:color w:val="000000" w:themeColor="text1"/>
          <w:sz w:val="28"/>
          <w:szCs w:val="28"/>
          <w:highlight w:val="none"/>
          <w:lang w:val="en-US" w:eastAsia="zh-CN"/>
        </w:rPr>
        <w:t>应在与</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lang w:val="en-US" w:eastAsia="zh-CN"/>
        </w:rPr>
        <w:t>签订合同后30天内与小微企业签订分包协议，约定分包给小微企业的金额比例不低于</w:t>
      </w:r>
      <w:r>
        <w:rPr>
          <w:rFonts w:hint="eastAsia" w:ascii="宋体" w:hAnsi="宋体" w:cs="宋体"/>
          <w:color w:val="000000" w:themeColor="text1"/>
          <w:sz w:val="28"/>
          <w:szCs w:val="28"/>
          <w:highlight w:val="none"/>
          <w:lang w:val="en-US" w:eastAsia="zh-CN"/>
        </w:rPr>
        <w:t>合同总</w:t>
      </w:r>
      <w:r>
        <w:rPr>
          <w:rFonts w:hint="eastAsia" w:ascii="宋体" w:hAnsi="宋体" w:eastAsia="宋体" w:cs="宋体"/>
          <w:color w:val="000000" w:themeColor="text1"/>
          <w:sz w:val="28"/>
          <w:szCs w:val="28"/>
          <w:highlight w:val="none"/>
          <w:lang w:val="en-US" w:eastAsia="zh-CN"/>
        </w:rPr>
        <w:t>金额的60%，并将分包协议、小微企业的营业执照、承诺书等有关资料提供一份给</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lang w:val="en-US" w:eastAsia="zh-CN"/>
        </w:rPr>
        <w:t>备案，否则</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lang w:val="en-US" w:eastAsia="zh-CN"/>
        </w:rPr>
        <w:t>有权要求</w:t>
      </w:r>
      <w:r>
        <w:rPr>
          <w:rFonts w:hint="eastAsia" w:ascii="宋体" w:hAnsi="宋体" w:cs="宋体"/>
          <w:color w:val="000000" w:themeColor="text1"/>
          <w:sz w:val="28"/>
          <w:szCs w:val="28"/>
          <w:highlight w:val="none"/>
          <w:lang w:val="en-US" w:eastAsia="zh-CN"/>
        </w:rPr>
        <w:t>乙方</w:t>
      </w:r>
      <w:r>
        <w:rPr>
          <w:rFonts w:hint="eastAsia" w:ascii="宋体" w:hAnsi="宋体" w:eastAsia="宋体" w:cs="宋体"/>
          <w:color w:val="000000" w:themeColor="text1"/>
          <w:sz w:val="28"/>
          <w:szCs w:val="28"/>
          <w:highlight w:val="none"/>
          <w:lang w:val="en-US" w:eastAsia="zh-CN"/>
        </w:rPr>
        <w:t>纠正，</w:t>
      </w:r>
      <w:r>
        <w:rPr>
          <w:rFonts w:hint="eastAsia" w:ascii="宋体" w:hAnsi="宋体" w:cs="宋体"/>
          <w:color w:val="000000" w:themeColor="text1"/>
          <w:sz w:val="28"/>
          <w:szCs w:val="28"/>
          <w:highlight w:val="none"/>
          <w:lang w:val="en-US" w:eastAsia="zh-CN"/>
        </w:rPr>
        <w:t>乙方</w:t>
      </w:r>
      <w:r>
        <w:rPr>
          <w:rFonts w:hint="eastAsia" w:ascii="宋体" w:hAnsi="宋体" w:eastAsia="宋体" w:cs="宋体"/>
          <w:color w:val="000000" w:themeColor="text1"/>
          <w:sz w:val="28"/>
          <w:szCs w:val="28"/>
          <w:highlight w:val="none"/>
          <w:lang w:val="en-US" w:eastAsia="zh-CN"/>
        </w:rPr>
        <w:t>逾期30天不纠正的，</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lang w:val="en-US" w:eastAsia="zh-CN"/>
        </w:rPr>
        <w:t>有权不支付</w:t>
      </w:r>
      <w:r>
        <w:rPr>
          <w:rFonts w:hint="eastAsia" w:ascii="宋体" w:hAnsi="宋体" w:cs="宋体"/>
          <w:color w:val="000000" w:themeColor="text1"/>
          <w:sz w:val="28"/>
          <w:szCs w:val="28"/>
          <w:highlight w:val="none"/>
          <w:lang w:val="en-US" w:eastAsia="zh-CN"/>
        </w:rPr>
        <w:t>实结总</w:t>
      </w:r>
      <w:r>
        <w:rPr>
          <w:rFonts w:hint="eastAsia" w:ascii="宋体" w:hAnsi="宋体" w:eastAsia="宋体" w:cs="宋体"/>
          <w:color w:val="000000" w:themeColor="text1"/>
          <w:sz w:val="28"/>
          <w:szCs w:val="28"/>
          <w:highlight w:val="none"/>
          <w:lang w:val="en-US" w:eastAsia="zh-CN"/>
        </w:rPr>
        <w:t>金额的60%的费用给</w:t>
      </w:r>
      <w:r>
        <w:rPr>
          <w:rFonts w:hint="eastAsia" w:ascii="宋体" w:hAnsi="宋体" w:cs="宋体"/>
          <w:color w:val="000000" w:themeColor="text1"/>
          <w:sz w:val="28"/>
          <w:szCs w:val="28"/>
          <w:highlight w:val="none"/>
          <w:lang w:val="en-US" w:eastAsia="zh-CN"/>
        </w:rPr>
        <w:t>乙方</w:t>
      </w:r>
      <w:r>
        <w:rPr>
          <w:rFonts w:hint="eastAsia" w:ascii="宋体" w:hAnsi="宋体" w:eastAsia="宋体" w:cs="宋体"/>
          <w:color w:val="000000" w:themeColor="text1"/>
          <w:sz w:val="28"/>
          <w:szCs w:val="28"/>
          <w:highlight w:val="none"/>
          <w:lang w:val="en-US" w:eastAsia="zh-CN"/>
        </w:rPr>
        <w:t>，直至</w:t>
      </w:r>
      <w:r>
        <w:rPr>
          <w:rFonts w:hint="eastAsia" w:ascii="宋体" w:hAnsi="宋体" w:cs="宋体"/>
          <w:color w:val="000000" w:themeColor="text1"/>
          <w:sz w:val="28"/>
          <w:szCs w:val="28"/>
          <w:highlight w:val="none"/>
          <w:lang w:val="en-US" w:eastAsia="zh-CN"/>
        </w:rPr>
        <w:t>乙方</w:t>
      </w:r>
      <w:r>
        <w:rPr>
          <w:rFonts w:hint="eastAsia" w:ascii="宋体" w:hAnsi="宋体" w:eastAsia="宋体" w:cs="宋体"/>
          <w:color w:val="000000" w:themeColor="text1"/>
          <w:sz w:val="28"/>
          <w:szCs w:val="28"/>
          <w:highlight w:val="none"/>
          <w:lang w:val="en-US" w:eastAsia="zh-CN"/>
        </w:rPr>
        <w:t>纠正之日止。若</w:t>
      </w:r>
      <w:r>
        <w:rPr>
          <w:rFonts w:hint="eastAsia" w:ascii="宋体" w:hAnsi="宋体" w:cs="宋体"/>
          <w:color w:val="000000" w:themeColor="text1"/>
          <w:sz w:val="28"/>
          <w:szCs w:val="28"/>
          <w:highlight w:val="none"/>
          <w:lang w:val="en-US" w:eastAsia="zh-CN"/>
        </w:rPr>
        <w:t>乙方</w:t>
      </w:r>
      <w:r>
        <w:rPr>
          <w:rFonts w:hint="eastAsia" w:ascii="宋体" w:hAnsi="宋体" w:eastAsia="宋体" w:cs="宋体"/>
          <w:color w:val="000000" w:themeColor="text1"/>
          <w:sz w:val="28"/>
          <w:szCs w:val="28"/>
          <w:highlight w:val="none"/>
          <w:lang w:val="en-US" w:eastAsia="zh-CN"/>
        </w:rPr>
        <w:t>逾期6个月不纠正的，</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lang w:val="en-US" w:eastAsia="zh-CN"/>
        </w:rPr>
        <w:t>有权解除或终止本合同，因此造成的损失和责任全部由</w:t>
      </w:r>
      <w:r>
        <w:rPr>
          <w:rFonts w:hint="eastAsia" w:ascii="宋体" w:hAnsi="宋体" w:cs="宋体"/>
          <w:color w:val="000000" w:themeColor="text1"/>
          <w:sz w:val="28"/>
          <w:szCs w:val="28"/>
          <w:highlight w:val="none"/>
          <w:lang w:val="en-US" w:eastAsia="zh-CN"/>
        </w:rPr>
        <w:t>乙方</w:t>
      </w:r>
      <w:r>
        <w:rPr>
          <w:rFonts w:hint="eastAsia" w:ascii="宋体" w:hAnsi="宋体" w:eastAsia="宋体" w:cs="宋体"/>
          <w:color w:val="000000" w:themeColor="text1"/>
          <w:sz w:val="28"/>
          <w:szCs w:val="28"/>
          <w:highlight w:val="none"/>
          <w:lang w:val="en-US" w:eastAsia="zh-CN"/>
        </w:rPr>
        <w:t>承担。</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三</w:t>
      </w:r>
      <w:r>
        <w:rPr>
          <w:rFonts w:hint="eastAsia" w:ascii="宋体" w:hAnsi="宋体" w:eastAsia="宋体" w:cs="宋体"/>
          <w:color w:val="000000" w:themeColor="text1"/>
          <w:sz w:val="28"/>
          <w:szCs w:val="28"/>
          <w:highlight w:val="none"/>
        </w:rPr>
        <w:t>】工作时间</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全体劳务外包服务人员工作时间由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根据国家有关规定及完成</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服务工作的需要进行安排。</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rPr>
        <w:t>】岗位设置</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本项目岗位包括但不限于以下事项：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w:t>
      </w:r>
      <w:r>
        <w:rPr>
          <w:rFonts w:hint="eastAsia" w:ascii="宋体" w:hAnsi="宋体" w:eastAsia="宋体" w:cs="宋体"/>
          <w:color w:val="000000" w:themeColor="text1"/>
          <w:sz w:val="28"/>
          <w:szCs w:val="28"/>
          <w:highlight w:val="none"/>
          <w:lang w:eastAsia="zh-CN"/>
        </w:rPr>
        <w:t>办税</w:t>
      </w:r>
      <w:r>
        <w:rPr>
          <w:rFonts w:hint="eastAsia" w:ascii="宋体" w:hAnsi="宋体" w:eastAsia="宋体" w:cs="宋体"/>
          <w:color w:val="000000" w:themeColor="text1"/>
          <w:sz w:val="28"/>
          <w:szCs w:val="28"/>
          <w:highlight w:val="none"/>
        </w:rPr>
        <w:t>服务</w:t>
      </w:r>
      <w:r>
        <w:rPr>
          <w:rFonts w:hint="eastAsia" w:ascii="宋体" w:hAnsi="宋体" w:eastAsia="宋体" w:cs="宋体"/>
          <w:color w:val="000000" w:themeColor="text1"/>
          <w:sz w:val="28"/>
          <w:szCs w:val="28"/>
          <w:highlight w:val="none"/>
          <w:lang w:eastAsia="zh-CN"/>
        </w:rPr>
        <w:t>辅助</w:t>
      </w:r>
      <w:r>
        <w:rPr>
          <w:rFonts w:hint="eastAsia" w:ascii="宋体" w:hAnsi="宋体" w:eastAsia="宋体" w:cs="宋体"/>
          <w:color w:val="000000" w:themeColor="text1"/>
          <w:sz w:val="28"/>
          <w:szCs w:val="28"/>
          <w:highlight w:val="none"/>
        </w:rPr>
        <w:t>岗</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负责办税服务厅的各项纳税服务工作及</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lang w:val="en-US" w:eastAsia="zh-CN"/>
        </w:rPr>
        <w:t>交办的其他工作任务，熟悉掌握税费征收业务知识，能熟练指导纳税人按程序办理纳税手续，熟练使用电脑、复印机等基本办公设备，具备基本的礼仪知识并能得体地运用到实际工作之中，具有良好的语言表达和沟通能力，善于倾听和详细解答问题。</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lang w:eastAsia="zh-CN"/>
        </w:rPr>
        <w:t>行政办公辅助</w:t>
      </w:r>
      <w:r>
        <w:rPr>
          <w:rFonts w:hint="eastAsia" w:ascii="宋体" w:hAnsi="宋体" w:eastAsia="宋体" w:cs="宋体"/>
          <w:color w:val="000000" w:themeColor="text1"/>
          <w:sz w:val="28"/>
          <w:szCs w:val="28"/>
          <w:highlight w:val="none"/>
        </w:rPr>
        <w:t>岗</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负责文字材料的写作、影像资料管理、数据收集和税收政策宣传等辅助工作，协助完成各项考核工作和</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交办的其他工作任务。</w:t>
      </w:r>
      <w:r>
        <w:rPr>
          <w:rFonts w:hint="eastAsia" w:ascii="宋体" w:hAnsi="宋体" w:eastAsia="宋体" w:cs="宋体"/>
          <w:color w:val="000000" w:themeColor="text1"/>
          <w:sz w:val="28"/>
          <w:szCs w:val="28"/>
          <w:highlight w:val="none"/>
          <w:lang w:eastAsia="zh-CN"/>
        </w:rPr>
        <w:t>能</w:t>
      </w:r>
      <w:r>
        <w:rPr>
          <w:rFonts w:hint="eastAsia" w:ascii="宋体" w:hAnsi="宋体" w:eastAsia="宋体" w:cs="宋体"/>
          <w:color w:val="000000" w:themeColor="text1"/>
          <w:sz w:val="28"/>
          <w:szCs w:val="28"/>
          <w:highlight w:val="none"/>
          <w:lang w:val="en-US" w:eastAsia="zh-CN"/>
        </w:rPr>
        <w:t>熟练使用电脑、复印机等基本办公设备，做事勤勉、认真细致，能吃苦耐劳，有一定的文字功底，具备基本的礼仪知识，具有良好的语言表达和沟通能力。</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val="en-US" w:eastAsia="zh-CN"/>
        </w:rPr>
        <w:t>后勤保障服务岗</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负责会务服务工作、公务接待后勤服务、会客室等场所的后勤保障服务，以及</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lang w:val="en-US" w:eastAsia="zh-CN"/>
        </w:rPr>
        <w:t>交办的其他事项。做事勤勉、认真细致，能吃苦耐劳，具备基本的礼仪知识，具有良好的语言表达和沟通能力。</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4、</w:t>
      </w:r>
      <w:r>
        <w:rPr>
          <w:rFonts w:hint="eastAsia" w:ascii="宋体" w:hAnsi="宋体" w:eastAsia="宋体" w:cs="宋体"/>
          <w:color w:val="000000" w:themeColor="text1"/>
          <w:sz w:val="28"/>
          <w:szCs w:val="28"/>
          <w:highlight w:val="none"/>
          <w:lang w:val="en-US" w:eastAsia="zh-CN"/>
        </w:rPr>
        <w:t>网络和信息支持服务岗</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负责办公网络和信息系统的维护工作，以及计算机类办公设备的日常维护工作，熟悉网络和信息系统支持和维护技术要求，协助做好会议或者活动的设备系统调试工作。</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5</w:t>
      </w:r>
      <w:r>
        <w:rPr>
          <w:rFonts w:hint="eastAsia" w:ascii="宋体" w:hAnsi="宋体" w:eastAsia="宋体" w:cs="宋体"/>
          <w:color w:val="000000" w:themeColor="text1"/>
          <w:sz w:val="28"/>
          <w:szCs w:val="28"/>
          <w:highlight w:val="none"/>
        </w:rPr>
        <w:t>、公务用车驾驶服务岗</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（1）未安排出勤的驾驶员应按时上下班，坚守工作岗位，在司机室等候出车；当天机动应急值班小组人员必须保持24小时通讯畅通，随叫随到。</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（2）安排出勤的驾驶员应准时出车，不得误点；出车后，按审核过的公差派车单出勤，不私自出车，不擅自将车辆交给非驾驶员驾驶。</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（3）做好使用车辆的洗护工作，保持车辆外部干净无污渍,内部整洁无异味。</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（4）做好使用车辆的日常检查维护保养工作，发现故障及时报备维修，消除事故隐患,做到不带故障出车。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（5）检查使用车辆的水、电、油及其他性能是否正常，发现不正常时，要立即加补或调整。</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（6）出车执行任务应严格遵守交通规则，安全驾驶。发生交通意外要保护好现场，并及时报告当地公安交警部门、投保的保险公司，同时要及时报告,不得隐瞒不报。</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（7）驾驶员出车执行任务，遇特殊情况不能按时返回的，应及时向公务用车管理岗说明原因。</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（8）出车在外或出车归来应安全停放车辆，锁好保险锁，保管好车辆和证件，严防丢失。</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（9）出车归来应做好车辆交接手续；完成出车任务后应及时向公务用车管理岗报告，并对车辆进行安全检查后归库。</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（10）日常工作中应注重保持个人仪容仪表；出车时要讲文明、懂礼貌，保证优质服务。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（11）完成</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交办的其他事项。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6</w:t>
      </w:r>
      <w:r>
        <w:rPr>
          <w:rFonts w:hint="eastAsia" w:ascii="宋体" w:hAnsi="宋体" w:eastAsia="宋体" w:cs="宋体"/>
          <w:color w:val="000000" w:themeColor="text1"/>
          <w:sz w:val="28"/>
          <w:szCs w:val="28"/>
          <w:highlight w:val="none"/>
        </w:rPr>
        <w:t>、食堂劳务服务岗</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（1）大厨、</w:t>
      </w:r>
      <w:r>
        <w:rPr>
          <w:rFonts w:hint="eastAsia" w:ascii="宋体" w:hAnsi="宋体" w:eastAsia="宋体" w:cs="宋体"/>
          <w:color w:val="000000" w:themeColor="text1"/>
          <w:sz w:val="28"/>
          <w:szCs w:val="28"/>
          <w:highlight w:val="none"/>
          <w:lang w:eastAsia="zh-CN"/>
        </w:rPr>
        <w:t>副厨、普通厨师、</w:t>
      </w:r>
      <w:r>
        <w:rPr>
          <w:rFonts w:hint="eastAsia" w:ascii="宋体" w:hAnsi="宋体" w:eastAsia="宋体" w:cs="宋体"/>
          <w:color w:val="000000" w:themeColor="text1"/>
          <w:sz w:val="28"/>
          <w:szCs w:val="28"/>
          <w:highlight w:val="none"/>
        </w:rPr>
        <w:t>厨工</w:t>
      </w:r>
      <w:r>
        <w:rPr>
          <w:rFonts w:hint="eastAsia" w:ascii="宋体" w:hAnsi="宋体" w:eastAsia="宋体" w:cs="宋体"/>
          <w:color w:val="000000" w:themeColor="text1"/>
          <w:sz w:val="28"/>
          <w:szCs w:val="28"/>
          <w:highlight w:val="none"/>
          <w:lang w:eastAsia="zh-CN"/>
        </w:rPr>
        <w:t>、厨房管理员</w:t>
      </w:r>
      <w:r>
        <w:rPr>
          <w:rFonts w:hint="eastAsia" w:ascii="宋体" w:hAnsi="宋体" w:eastAsia="宋体" w:cs="宋体"/>
          <w:color w:val="000000" w:themeColor="text1"/>
          <w:sz w:val="28"/>
          <w:szCs w:val="28"/>
          <w:highlight w:val="none"/>
        </w:rPr>
        <w:t>服务内容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厨房管理员</w:t>
      </w:r>
      <w:r>
        <w:rPr>
          <w:rFonts w:hint="eastAsia" w:ascii="宋体" w:hAnsi="宋体" w:eastAsia="宋体" w:cs="宋体"/>
          <w:color w:val="000000" w:themeColor="text1"/>
          <w:sz w:val="28"/>
          <w:szCs w:val="28"/>
          <w:highlight w:val="none"/>
        </w:rPr>
        <w:t>对购进食品物品进行监秤、检查质量及验收，并履行签收和入库手续。</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做好食品储存工作，采取有效措施确保食品材料新鲜、洁净，无污染、无变质，成品存放实行“四隔离”（即生与熟隔离，成品与半成品隔离，食物与药物隔离，食品与天然水、冰隔离）。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做好食品材料加工工作，不加工变质原料，确保食品卫生安全。</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对原料做到先进先出，随时检查，不得使用任何霉变、有异味等变质食材原料。食材当天使用的食品实行验收领用制，办理签收领用手续。需提前储备的食品、物品经管理员验收入库后，办理进出仓手续。</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食堂工作环境实行每日清扫、每周大扫除制度，采取有效措施预防和消灭“四害”，建立健全安全卫生管理制度。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对餐后用具务必做到“四过关”（即“一冲、二刷、三洗、四消毒”），冲洗干净后放入消毒柜进行高温消毒，清洁餐具不能有洗涤用品、食物残渣、油渍残留。</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对厨房操作间设备设施与用具实行“定置管理”，按岗位包干负责，做到摆放整齐有序，无油无尘；地面无污水、无杂物。操作间和取餐区域安装视频监控设备，实行“明厨亮灶工程”，接受监督。</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食品操作台应将生熟食品分开处理，刀、砧板、抹布必须保持清洁卫生；砧板在贮藏过程中如有变质、变味、腐坏应及时更换。</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蔬菜清洁加工时应做到“一拣、二洗、三浸、四检测”，保证无腐败、无杂物，必须保证菜品干净卫生。</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厨师配合厨房管理岗指示要求，带领厨房人员做好每日工作，确保厨房工作正常运转。制定每周营养健康食谱，并积极听取干部职工意见建议，不断提升出品质量。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注意个人卫生，勤洗手、勤剪指甲、勤理发、勤洗工作服，保持个人仪容仪表。进入后厨区域必须穿着工作服，正确佩戴厨师帽（不外露头发），正确佩戴口罩。</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严格遵守用火、用气安全等相关规定，在显著位置张贴各类紧急报警电话号码。出现突发事件进行基本的应急处理，包括停水、停电、设备故障、火情、食物中毒等。</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做好食品留样存储，按要求每餐对直接入口的食品进行留样。</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下班后需对厨房内容易发生危险的地方认真检查，储存好各种食品，杜绝食物中毒事件的发生；关好电源、水源、天然气，锁好门窗方可离开。</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餐前准备阶段(早餐提前15分钟完成、午、晚餐提前30分钟完成)：将清洁、消毒好的餐具器皿统一归类摆放整齐；检查餐具是否无水渍、无污渍、无油渍，干净明亮；检查用餐餐具及其他用品是否充足(台面的纸巾、牙签) ，及时补充；检查大厅及四周环境卫生(垃圾桶、玻璃窗、洗手池、地面等) ，检查电源、灯光、电视、空调；用餐前后做好桌面、椅子清洁消毒并摆放整齐，如有损坏及时报告；检查自助餐加热炉及台；检查自助餐炉的水温及准备公夹、公勺；准备菜式配用的调料及其他酱料；将电视声音开到适当的音量,空调温度调到26°C规定标准；菜品不足时，上菜是否及时；做好</w:t>
      </w:r>
      <w:r>
        <w:rPr>
          <w:rFonts w:hint="eastAsia" w:ascii="宋体" w:hAnsi="宋体" w:eastAsia="宋体" w:cs="宋体"/>
          <w:color w:val="000000" w:themeColor="text1"/>
          <w:sz w:val="28"/>
          <w:szCs w:val="28"/>
          <w:highlight w:val="none"/>
          <w:lang w:eastAsia="zh-CN"/>
        </w:rPr>
        <w:t>食堂</w:t>
      </w:r>
      <w:r>
        <w:rPr>
          <w:rFonts w:hint="eastAsia" w:ascii="宋体" w:hAnsi="宋体" w:eastAsia="宋体" w:cs="宋体"/>
          <w:color w:val="000000" w:themeColor="text1"/>
          <w:sz w:val="28"/>
          <w:szCs w:val="28"/>
          <w:highlight w:val="none"/>
        </w:rPr>
        <w:t>公共区域卫生清洁。</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（3）餐中及餐后工作阶段：收撤餐盘送往洗碗房；完成桌面及地面的清洁、消毒工作；根据餐前准备工作,重新布置桌椅；检查所有电源及空调、电视是否关闭；每周进行大扫除。</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（4）完成</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交办的其他事项。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五</w:t>
      </w:r>
      <w:r>
        <w:rPr>
          <w:rFonts w:hint="eastAsia" w:ascii="宋体" w:hAnsi="宋体" w:eastAsia="宋体" w:cs="宋体"/>
          <w:color w:val="000000" w:themeColor="text1"/>
          <w:sz w:val="28"/>
          <w:szCs w:val="28"/>
          <w:highlight w:val="none"/>
        </w:rPr>
        <w:t>】用工程序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如需新增新劳务外包服务人员，</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按如下要求新增：</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根据业务需要和岗位设置情况，以书面形式向</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发出需求通知书。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收到</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用工需求通知书后，按照需求提供劳务外包服务人员。</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对</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推荐的劳务外包服务人员进行选用确认。</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有权自行决定是否接受选用</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推荐的劳务外包服务人员。</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须组织获得选用资格的人员进行体检，审验、收集获得选用资格人员的相关证件等资料，上述资料须备份给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对获得选用资格并体检合格的人员进行岗位培训，</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对其进行公共职业培训，上述培训均合格后，由</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确定正式选用名单。</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通知选用人员入职，并办理相关入职手续、签订劳动合同等。签订的劳动合同须备份给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有权要求调换不适合岗位要求的劳务外包服务人员，</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调换劳务外包服务人员须经过</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同意。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六</w:t>
      </w:r>
      <w:r>
        <w:rPr>
          <w:rFonts w:hint="eastAsia" w:ascii="宋体" w:hAnsi="宋体" w:eastAsia="宋体" w:cs="宋体"/>
          <w:color w:val="000000" w:themeColor="text1"/>
          <w:sz w:val="28"/>
          <w:szCs w:val="28"/>
          <w:highlight w:val="none"/>
        </w:rPr>
        <w:t>】其他事项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1、如有需要，</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需配合</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对劳务外包服务人员提供的证明文件进行核证。</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2、劳务外包各项服务费用由</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根据服务情况进行确定。</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3、劳务外包服务人员的工资、社会保险缴费基数、住房公积金缴存基数按阳江市有关规定执行。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4、项目款项按照有关规定进行支付。</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不得将项目非法分包或转包给任何单位和个人，否则，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有权即刻终止合同，并要求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赔偿损失并追究法律责任。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提供的劳务外包服务人员在工作中因故意或重大过失给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造成重大经济损失的，经</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双方认定或相关机构认定后，由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承担责任。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必须按时、足额支付劳务外包服务人员工资并缴纳社会保险、缴存住房公积金等。</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8、</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应按</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要求负责组织劳务外包服务人员置装、入职体检和年度体检，相关费用由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支付</w:t>
      </w:r>
      <w:r>
        <w:rPr>
          <w:rFonts w:hint="eastAsia" w:ascii="宋体" w:hAnsi="宋体" w:cs="宋体"/>
          <w:color w:val="000000" w:themeColor="text1"/>
          <w:sz w:val="28"/>
          <w:szCs w:val="28"/>
          <w:highlight w:val="none"/>
          <w:lang w:val="en-US" w:eastAsia="zh-CN"/>
        </w:rPr>
        <w:t>并按本合同的约定由双方进行结算</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9、劳务外包服务人员因</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的工作安排发生的差旅费由</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负担，据实结算。</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第</w:t>
      </w:r>
      <w:r>
        <w:rPr>
          <w:rFonts w:hint="eastAsia" w:ascii="宋体" w:hAnsi="宋体" w:cs="宋体"/>
          <w:color w:val="000000" w:themeColor="text1"/>
          <w:sz w:val="28"/>
          <w:szCs w:val="28"/>
          <w:highlight w:val="none"/>
          <w:lang w:val="en-US" w:eastAsia="zh-CN"/>
        </w:rPr>
        <w:t>四</w:t>
      </w:r>
      <w:r>
        <w:rPr>
          <w:rFonts w:hint="eastAsia" w:ascii="宋体" w:hAnsi="宋体" w:cs="宋体"/>
          <w:color w:val="000000" w:themeColor="text1"/>
          <w:sz w:val="28"/>
          <w:szCs w:val="28"/>
          <w:highlight w:val="none"/>
          <w:lang w:eastAsia="zh-CN"/>
        </w:rPr>
        <w:t>条</w:t>
      </w:r>
      <w:r>
        <w:rPr>
          <w:rFonts w:hint="eastAsia" w:ascii="宋体" w:hAnsi="宋体" w:cs="宋体"/>
          <w:color w:val="000000" w:themeColor="text1"/>
          <w:sz w:val="28"/>
          <w:szCs w:val="28"/>
          <w:highlight w:val="none"/>
          <w:lang w:val="en-US" w:eastAsia="zh-CN"/>
        </w:rPr>
        <w:t xml:space="preserve">  技术支持服务要求</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一</w:t>
      </w:r>
      <w:r>
        <w:rPr>
          <w:rFonts w:hint="eastAsia" w:ascii="宋体" w:hAnsi="宋体" w:eastAsia="宋体" w:cs="宋体"/>
          <w:color w:val="000000" w:themeColor="text1"/>
          <w:sz w:val="28"/>
          <w:szCs w:val="28"/>
          <w:highlight w:val="none"/>
        </w:rPr>
        <w:t>】劳务外包服务人员基本要求</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w:t>
      </w:r>
      <w:r>
        <w:rPr>
          <w:rFonts w:hint="eastAsia" w:ascii="宋体" w:hAnsi="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身体健康，无重大疾病，无不良嗜好。</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w:t>
      </w:r>
      <w:r>
        <w:rPr>
          <w:rFonts w:hint="eastAsia" w:ascii="宋体" w:hAnsi="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遵纪守法，无违纪违法不良行为。</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w:t>
      </w:r>
      <w:r>
        <w:rPr>
          <w:rFonts w:hint="eastAsia" w:ascii="宋体" w:hAnsi="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爱岗敬业，吃苦耐劳、勤学好问，能胜任所在职位工作。</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w:t>
      </w:r>
      <w:r>
        <w:rPr>
          <w:rFonts w:hint="eastAsia" w:ascii="宋体" w:hAnsi="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严格遵守职业道德，严格遵守</w:t>
      </w:r>
      <w:r>
        <w:rPr>
          <w:rFonts w:hint="eastAsia" w:ascii="宋体" w:hAnsi="宋体" w:eastAsia="宋体" w:cs="宋体"/>
          <w:color w:val="000000" w:themeColor="text1"/>
          <w:sz w:val="28"/>
          <w:szCs w:val="28"/>
          <w:highlight w:val="none"/>
          <w:lang w:eastAsia="zh-CN"/>
        </w:rPr>
        <w:t>国家税务总局阳西县税务局</w:t>
      </w:r>
      <w:r>
        <w:rPr>
          <w:rFonts w:hint="eastAsia" w:ascii="宋体" w:hAnsi="宋体" w:eastAsia="宋体" w:cs="宋体"/>
          <w:color w:val="000000" w:themeColor="text1"/>
          <w:sz w:val="28"/>
          <w:szCs w:val="28"/>
          <w:highlight w:val="none"/>
        </w:rPr>
        <w:t>各项规章制度。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w:t>
      </w:r>
      <w:r>
        <w:rPr>
          <w:rFonts w:hint="eastAsia" w:ascii="宋体" w:hAnsi="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礼貌待人，举止文明，衣着得体。</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二</w:t>
      </w:r>
      <w:r>
        <w:rPr>
          <w:rFonts w:hint="eastAsia" w:ascii="宋体" w:hAnsi="宋体" w:eastAsia="宋体" w:cs="宋体"/>
          <w:color w:val="000000" w:themeColor="text1"/>
          <w:sz w:val="28"/>
          <w:szCs w:val="28"/>
          <w:highlight w:val="none"/>
        </w:rPr>
        <w:t>】待遇及福利</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须按国家规定给予所有劳务外包服务人员缴纳</w:t>
      </w:r>
      <w:r>
        <w:rPr>
          <w:rFonts w:hint="eastAsia" w:ascii="宋体" w:hAnsi="宋体" w:eastAsia="宋体" w:cs="宋体"/>
          <w:color w:val="000000" w:themeColor="text1"/>
          <w:sz w:val="28"/>
          <w:szCs w:val="28"/>
          <w:highlight w:val="none"/>
          <w:lang w:eastAsia="zh-CN"/>
        </w:rPr>
        <w:t>各项社会保险费</w:t>
      </w:r>
      <w:r>
        <w:rPr>
          <w:rFonts w:hint="eastAsia" w:ascii="宋体" w:hAnsi="宋体" w:eastAsia="宋体" w:cs="宋体"/>
          <w:color w:val="000000" w:themeColor="text1"/>
          <w:sz w:val="28"/>
          <w:szCs w:val="28"/>
          <w:highlight w:val="none"/>
        </w:rPr>
        <w:t>（养老保险、医疗保险、失业保险、工伤保险、生育保险</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高额医疗保险</w:t>
      </w:r>
      <w:r>
        <w:rPr>
          <w:rFonts w:hint="eastAsia" w:ascii="宋体" w:hAnsi="宋体" w:eastAsia="宋体" w:cs="宋体"/>
          <w:color w:val="000000" w:themeColor="text1"/>
          <w:sz w:val="28"/>
          <w:szCs w:val="28"/>
          <w:highlight w:val="none"/>
        </w:rPr>
        <w:t>）；按阳江市有关规定给予缴纳住房公积金。员工的劳动合同关系、薪酬待遇、保险、工伤、因工作失误导致意外等经济责任、法律责任及相关费用均由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负责，</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不承担相关责任。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三</w:t>
      </w:r>
      <w:r>
        <w:rPr>
          <w:rFonts w:hint="eastAsia" w:ascii="宋体" w:hAnsi="宋体" w:eastAsia="宋体" w:cs="宋体"/>
          <w:color w:val="000000" w:themeColor="text1"/>
          <w:sz w:val="28"/>
          <w:szCs w:val="28"/>
          <w:highlight w:val="none"/>
        </w:rPr>
        <w:t>】劳务外包所需人员数量，</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有权按实际要求调整。</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应协助</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完成现有综合辅助服务人员、</w:t>
      </w:r>
      <w:r>
        <w:rPr>
          <w:rFonts w:hint="eastAsia" w:ascii="宋体" w:hAnsi="宋体" w:eastAsia="宋体" w:cs="宋体"/>
          <w:color w:val="000000" w:themeColor="text1"/>
          <w:sz w:val="28"/>
          <w:szCs w:val="28"/>
          <w:highlight w:val="none"/>
          <w:lang w:eastAsia="zh-CN"/>
        </w:rPr>
        <w:t>网络和网络支持服务人员、食堂劳务服务人员、后勤保障服务</w:t>
      </w:r>
      <w:r>
        <w:rPr>
          <w:rFonts w:hint="eastAsia" w:ascii="宋体" w:hAnsi="宋体" w:eastAsia="宋体" w:cs="宋体"/>
          <w:color w:val="000000" w:themeColor="text1"/>
          <w:sz w:val="28"/>
          <w:szCs w:val="28"/>
          <w:highlight w:val="none"/>
        </w:rPr>
        <w:t>人员的安置。</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五</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按照</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实际情况及要求安排开展工作。</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六</w:t>
      </w:r>
      <w:r>
        <w:rPr>
          <w:rFonts w:hint="eastAsia" w:ascii="宋体" w:hAnsi="宋体" w:eastAsia="宋体" w:cs="宋体"/>
          <w:color w:val="000000" w:themeColor="text1"/>
          <w:sz w:val="28"/>
          <w:szCs w:val="28"/>
          <w:highlight w:val="none"/>
        </w:rPr>
        <w:t>】</w:t>
      </w:r>
      <w:r>
        <w:rPr>
          <w:rFonts w:hint="eastAsia" w:ascii="宋体" w:hAnsi="宋体" w:eastAsia="宋体" w:cs="宋体"/>
          <w:color w:val="000000" w:themeColor="text1"/>
          <w:sz w:val="28"/>
          <w:szCs w:val="28"/>
          <w:highlight w:val="none"/>
          <w:lang w:eastAsia="zh-CN"/>
        </w:rPr>
        <w:t>国家税务总局阳西县税务局</w:t>
      </w:r>
      <w:r>
        <w:rPr>
          <w:rFonts w:hint="eastAsia" w:ascii="宋体" w:hAnsi="宋体" w:eastAsia="宋体" w:cs="宋体"/>
          <w:color w:val="000000" w:themeColor="text1"/>
          <w:sz w:val="28"/>
          <w:szCs w:val="28"/>
          <w:highlight w:val="none"/>
        </w:rPr>
        <w:t>是政府重要的办公及会议场所，对安全性、保密性、规范性要求严格，必须按</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规定的要求执行。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七</w:t>
      </w:r>
      <w:r>
        <w:rPr>
          <w:rFonts w:hint="eastAsia" w:ascii="宋体" w:hAnsi="宋体" w:eastAsia="宋体" w:cs="宋体"/>
          <w:color w:val="000000" w:themeColor="text1"/>
          <w:sz w:val="28"/>
          <w:szCs w:val="28"/>
          <w:highlight w:val="none"/>
        </w:rPr>
        <w:t>】合同签订后1个月内，</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须向</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提供本项目所有人员的人事档案资料，包括身份证复印件、体检证明、专业人员证书等。</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不得伪造人事档案欺骗</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，如有此种情况发生，</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有权要求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在规定的时间内更换人员，且</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有权立即解除合同。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八</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必须按</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要求100%配备人员。在合同执行期内如在岗人员少于</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要求总人数时，</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须限期补齐，如特殊情况下，短期内出现招工困难（5天内），不得不延长在职人员工时，必须严格按国家劳动法规支付加班费，否则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有权按缺员数量和天数进行扣减。（须提供承诺书）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九</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服务期间应落实安全生产措施，如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人员在服务过程中造成自身、</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或第三人的人身和财产损害的，由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承担约定和法定责任。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违反招标文件、中标文件、合同等约定的，</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有权立即聘请第三方提供合同项下的服务，由此产生的一切费用由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承担，同时</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可从</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应取得的合同款中予以扣减。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十一</w:t>
      </w:r>
      <w:r>
        <w:rPr>
          <w:rFonts w:hint="eastAsia" w:ascii="宋体" w:hAnsi="宋体" w:eastAsia="宋体" w:cs="宋体"/>
          <w:color w:val="000000" w:themeColor="text1"/>
          <w:sz w:val="28"/>
          <w:szCs w:val="28"/>
          <w:highlight w:val="none"/>
        </w:rPr>
        <w:t>】服务期限：本项目的服务期限为</w:t>
      </w: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年。如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达不到</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服务要求或未能如约履行合同，</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有权终止合同，重新进行政府采购。</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第</w:t>
      </w:r>
      <w:r>
        <w:rPr>
          <w:rFonts w:hint="eastAsia" w:ascii="宋体" w:hAnsi="宋体" w:cs="宋体"/>
          <w:color w:val="000000" w:themeColor="text1"/>
          <w:sz w:val="28"/>
          <w:szCs w:val="28"/>
          <w:highlight w:val="none"/>
          <w:lang w:val="en-US" w:eastAsia="zh-CN"/>
        </w:rPr>
        <w:t>五</w:t>
      </w:r>
      <w:r>
        <w:rPr>
          <w:rFonts w:hint="eastAsia" w:ascii="宋体" w:hAnsi="宋体" w:cs="宋体"/>
          <w:color w:val="000000" w:themeColor="text1"/>
          <w:sz w:val="28"/>
          <w:szCs w:val="28"/>
          <w:highlight w:val="none"/>
          <w:lang w:eastAsia="zh-CN"/>
        </w:rPr>
        <w:t>条</w:t>
      </w:r>
      <w:r>
        <w:rPr>
          <w:rFonts w:hint="eastAsia" w:ascii="宋体" w:hAnsi="宋体" w:cs="宋体"/>
          <w:color w:val="000000" w:themeColor="text1"/>
          <w:sz w:val="28"/>
          <w:szCs w:val="28"/>
          <w:highlight w:val="none"/>
          <w:lang w:val="en-US" w:eastAsia="zh-CN"/>
        </w:rPr>
        <w:t xml:space="preserve">  考核及验收</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bookmarkStart w:id="1729" w:name="_Hlk98325914"/>
      <w:r>
        <w:rPr>
          <w:rFonts w:hint="eastAsia" w:ascii="宋体" w:hAnsi="宋体" w:cs="宋体"/>
          <w:color w:val="000000" w:themeColor="text1"/>
          <w:sz w:val="28"/>
          <w:szCs w:val="28"/>
          <w:highlight w:val="none"/>
          <w:lang w:eastAsia="zh-CN"/>
        </w:rPr>
        <w:t>1、</w:t>
      </w:r>
      <w:bookmarkEnd w:id="1729"/>
      <w:r>
        <w:rPr>
          <w:rFonts w:hint="eastAsia" w:ascii="宋体" w:hAnsi="宋体" w:cs="宋体"/>
          <w:color w:val="000000" w:themeColor="text1"/>
          <w:sz w:val="28"/>
          <w:szCs w:val="28"/>
          <w:highlight w:val="none"/>
          <w:lang w:eastAsia="zh-CN"/>
        </w:rPr>
        <w:t>甲方对乙方的劳务外包服务情况进行考核及验收，并对造成失误、过错、事故的，当月进行</w:t>
      </w:r>
      <w:r>
        <w:rPr>
          <w:rFonts w:hint="eastAsia" w:ascii="宋体" w:hAnsi="宋体" w:cs="宋体"/>
          <w:color w:val="000000" w:themeColor="text1"/>
          <w:sz w:val="28"/>
          <w:szCs w:val="28"/>
          <w:highlight w:val="none"/>
          <w:lang w:val="en-US" w:eastAsia="zh-CN"/>
        </w:rPr>
        <w:t>处理</w:t>
      </w:r>
      <w:r>
        <w:rPr>
          <w:rFonts w:hint="eastAsia" w:ascii="宋体" w:hAnsi="宋体" w:cs="宋体"/>
          <w:color w:val="000000" w:themeColor="text1"/>
          <w:sz w:val="28"/>
          <w:szCs w:val="28"/>
          <w:highlight w:val="none"/>
          <w:lang w:eastAsia="zh-CN"/>
        </w:rPr>
        <w:t>并追究相关责任。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2、甲方对乙方劳务外包服务期间每月综合考评一次，累计有两个月得分低于80分，则视为不合格，甲方有权终止合同。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3、甲方和乙方共同参与乙方服务工作人员考勤管理，乙方服务工作人员出勤率应达规定人数的100%，每日全勤奖励加8分。考勤按在岗时间以小时计算，全体员工迟到、早退等不在岗时间累计共（到）有八小时视为1人当天缺勤，按本岗位用工</w:t>
      </w:r>
      <w:r>
        <w:rPr>
          <w:rFonts w:hint="eastAsia" w:ascii="宋体" w:hAnsi="宋体" w:cs="宋体"/>
          <w:color w:val="000000" w:themeColor="text1"/>
          <w:sz w:val="28"/>
          <w:szCs w:val="28"/>
          <w:highlight w:val="none"/>
          <w:lang w:val="en-US" w:eastAsia="zh-CN"/>
        </w:rPr>
        <w:t>3倍工资的标准计算扣减服务费</w:t>
      </w:r>
      <w:r>
        <w:rPr>
          <w:rFonts w:hint="eastAsia" w:ascii="宋体" w:hAnsi="宋体" w:cs="宋体"/>
          <w:color w:val="000000" w:themeColor="text1"/>
          <w:sz w:val="28"/>
          <w:szCs w:val="28"/>
          <w:highlight w:val="none"/>
          <w:lang w:eastAsia="zh-CN"/>
        </w:rPr>
        <w:t>，累计时间缺勤一小时扣一分；因员工离职和考核考评不合格、违规遭到投诉等换人造成的岗位即时缺人，按本岗位用工3倍工资计算扣减服务费，每人每天扣8分。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4</w:t>
      </w:r>
      <w:r>
        <w:rPr>
          <w:rFonts w:hint="eastAsia" w:ascii="宋体" w:hAnsi="宋体" w:cs="宋体"/>
          <w:color w:val="000000" w:themeColor="text1"/>
          <w:sz w:val="28"/>
          <w:szCs w:val="28"/>
          <w:highlight w:val="none"/>
          <w:lang w:eastAsia="zh-CN"/>
        </w:rPr>
        <w:t>、在经营活动中存在违反税收法规财务制度及其他违法违规记录，扣20分。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5</w:t>
      </w:r>
      <w:r>
        <w:rPr>
          <w:rFonts w:hint="eastAsia" w:ascii="宋体" w:hAnsi="宋体" w:cs="宋体"/>
          <w:color w:val="000000" w:themeColor="text1"/>
          <w:sz w:val="28"/>
          <w:szCs w:val="28"/>
          <w:highlight w:val="none"/>
          <w:lang w:eastAsia="zh-CN"/>
        </w:rPr>
        <w:t>、在经营中是否履行合同承诺。很好履行合同承诺得3分；基本履行合同承诺不得分；未履行合同承诺每次扣3分。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6</w:t>
      </w:r>
      <w:r>
        <w:rPr>
          <w:rFonts w:hint="eastAsia" w:ascii="宋体" w:hAnsi="宋体" w:cs="宋体"/>
          <w:color w:val="000000" w:themeColor="text1"/>
          <w:sz w:val="28"/>
          <w:szCs w:val="28"/>
          <w:highlight w:val="none"/>
          <w:lang w:eastAsia="zh-CN"/>
        </w:rPr>
        <w:t>、提倡节约能源，不准浪费水、电及消耗品等公共资源（违反则扣0.5分/次）。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7</w:t>
      </w:r>
      <w:r>
        <w:rPr>
          <w:rFonts w:hint="eastAsia" w:ascii="宋体" w:hAnsi="宋体" w:cs="宋体"/>
          <w:color w:val="000000" w:themeColor="text1"/>
          <w:sz w:val="28"/>
          <w:szCs w:val="28"/>
          <w:highlight w:val="none"/>
          <w:lang w:eastAsia="zh-CN"/>
        </w:rPr>
        <w:t>、不准违反工作纪律、违规操作。严格执行和遵守各项管理制度（违反扣1分）。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8</w:t>
      </w:r>
      <w:r>
        <w:rPr>
          <w:rFonts w:hint="eastAsia" w:ascii="宋体" w:hAnsi="宋体" w:cs="宋体"/>
          <w:color w:val="000000" w:themeColor="text1"/>
          <w:sz w:val="28"/>
          <w:szCs w:val="28"/>
          <w:highlight w:val="none"/>
          <w:lang w:eastAsia="zh-CN"/>
        </w:rPr>
        <w:t>、一般过错的有效投诉，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60元/次扣减服务费。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9</w:t>
      </w:r>
      <w:r>
        <w:rPr>
          <w:rFonts w:hint="eastAsia" w:ascii="宋体" w:hAnsi="宋体" w:cs="宋体"/>
          <w:color w:val="000000" w:themeColor="text1"/>
          <w:sz w:val="28"/>
          <w:szCs w:val="28"/>
          <w:highlight w:val="none"/>
          <w:lang w:eastAsia="zh-CN"/>
        </w:rPr>
        <w:t>、一般过错的重（反）复性有效投诉，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120元/次扣减服务费。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w:t>
      </w:r>
      <w:r>
        <w:rPr>
          <w:rFonts w:hint="eastAsia" w:ascii="宋体" w:hAnsi="宋体" w:cs="宋体"/>
          <w:color w:val="000000" w:themeColor="text1"/>
          <w:sz w:val="28"/>
          <w:szCs w:val="28"/>
          <w:highlight w:val="none"/>
          <w:lang w:val="en-US" w:eastAsia="zh-CN"/>
        </w:rPr>
        <w:t>0</w:t>
      </w:r>
      <w:r>
        <w:rPr>
          <w:rFonts w:hint="eastAsia" w:ascii="宋体" w:hAnsi="宋体" w:cs="宋体"/>
          <w:color w:val="000000" w:themeColor="text1"/>
          <w:sz w:val="28"/>
          <w:szCs w:val="28"/>
          <w:highlight w:val="none"/>
          <w:lang w:eastAsia="zh-CN"/>
        </w:rPr>
        <w:t>、较大过错的有效投诉，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180元/次扣减服务费。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w:t>
      </w:r>
      <w:r>
        <w:rPr>
          <w:rFonts w:hint="eastAsia" w:ascii="宋体" w:hAnsi="宋体" w:cs="宋体"/>
          <w:color w:val="000000" w:themeColor="text1"/>
          <w:sz w:val="28"/>
          <w:szCs w:val="28"/>
          <w:highlight w:val="none"/>
          <w:lang w:val="en-US" w:eastAsia="zh-CN"/>
        </w:rPr>
        <w:t>1</w:t>
      </w:r>
      <w:r>
        <w:rPr>
          <w:rFonts w:hint="eastAsia" w:ascii="宋体" w:hAnsi="宋体" w:cs="宋体"/>
          <w:color w:val="000000" w:themeColor="text1"/>
          <w:sz w:val="28"/>
          <w:szCs w:val="28"/>
          <w:highlight w:val="none"/>
          <w:lang w:eastAsia="zh-CN"/>
        </w:rPr>
        <w:t>、较大过错的的重（反）复性有效投诉，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480元/次扣减服务费。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w:t>
      </w:r>
      <w:r>
        <w:rPr>
          <w:rFonts w:hint="eastAsia" w:ascii="宋体" w:hAnsi="宋体" w:cs="宋体"/>
          <w:color w:val="000000" w:themeColor="text1"/>
          <w:sz w:val="28"/>
          <w:szCs w:val="28"/>
          <w:highlight w:val="none"/>
          <w:lang w:val="en-US" w:eastAsia="zh-CN"/>
        </w:rPr>
        <w:t>2</w:t>
      </w:r>
      <w:r>
        <w:rPr>
          <w:rFonts w:hint="eastAsia" w:ascii="宋体" w:hAnsi="宋体" w:cs="宋体"/>
          <w:color w:val="000000" w:themeColor="text1"/>
          <w:sz w:val="28"/>
          <w:szCs w:val="28"/>
          <w:highlight w:val="none"/>
          <w:lang w:eastAsia="zh-CN"/>
        </w:rPr>
        <w:t>、重大过错的有效投诉，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720元/次扣减服务费。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w:t>
      </w:r>
      <w:r>
        <w:rPr>
          <w:rFonts w:hint="eastAsia" w:ascii="宋体" w:hAnsi="宋体" w:cs="宋体"/>
          <w:color w:val="000000" w:themeColor="text1"/>
          <w:sz w:val="28"/>
          <w:szCs w:val="28"/>
          <w:highlight w:val="none"/>
          <w:lang w:val="en-US" w:eastAsia="zh-CN"/>
        </w:rPr>
        <w:t>3</w:t>
      </w:r>
      <w:r>
        <w:rPr>
          <w:rFonts w:hint="eastAsia" w:ascii="宋体" w:hAnsi="宋体" w:cs="宋体"/>
          <w:color w:val="000000" w:themeColor="text1"/>
          <w:sz w:val="28"/>
          <w:szCs w:val="28"/>
          <w:highlight w:val="none"/>
          <w:lang w:eastAsia="zh-CN"/>
        </w:rPr>
        <w:t>、重大过错的重（反）复性有效投诉，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1800元/次扣减服务费。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w:t>
      </w:r>
      <w:r>
        <w:rPr>
          <w:rFonts w:hint="eastAsia" w:ascii="宋体" w:hAnsi="宋体" w:cs="宋体"/>
          <w:color w:val="000000" w:themeColor="text1"/>
          <w:sz w:val="28"/>
          <w:szCs w:val="28"/>
          <w:highlight w:val="none"/>
          <w:lang w:val="en-US" w:eastAsia="zh-CN"/>
        </w:rPr>
        <w:t>4</w:t>
      </w:r>
      <w:r>
        <w:rPr>
          <w:rFonts w:hint="eastAsia" w:ascii="宋体" w:hAnsi="宋体" w:cs="宋体"/>
          <w:color w:val="000000" w:themeColor="text1"/>
          <w:sz w:val="28"/>
          <w:szCs w:val="28"/>
          <w:highlight w:val="none"/>
          <w:lang w:eastAsia="zh-CN"/>
        </w:rPr>
        <w:t>、一般事故过错的，</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1.5-2.4万元/次扣减服务费。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w:t>
      </w:r>
      <w:r>
        <w:rPr>
          <w:rFonts w:hint="eastAsia" w:ascii="宋体" w:hAnsi="宋体" w:cs="宋体"/>
          <w:color w:val="000000" w:themeColor="text1"/>
          <w:sz w:val="28"/>
          <w:szCs w:val="28"/>
          <w:highlight w:val="none"/>
          <w:lang w:val="en-US" w:eastAsia="zh-CN"/>
        </w:rPr>
        <w:t>5</w:t>
      </w:r>
      <w:r>
        <w:rPr>
          <w:rFonts w:hint="eastAsia" w:ascii="宋体" w:hAnsi="宋体" w:cs="宋体"/>
          <w:color w:val="000000" w:themeColor="text1"/>
          <w:sz w:val="28"/>
          <w:szCs w:val="28"/>
          <w:highlight w:val="none"/>
          <w:lang w:eastAsia="zh-CN"/>
        </w:rPr>
        <w:t>、较大事故过错的</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3-6万元/次扣减服务费。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w:t>
      </w:r>
      <w:r>
        <w:rPr>
          <w:rFonts w:hint="eastAsia" w:ascii="宋体" w:hAnsi="宋体" w:cs="宋体"/>
          <w:color w:val="000000" w:themeColor="text1"/>
          <w:sz w:val="28"/>
          <w:szCs w:val="28"/>
          <w:highlight w:val="none"/>
          <w:lang w:val="en-US" w:eastAsia="zh-CN"/>
        </w:rPr>
        <w:t>6</w:t>
      </w:r>
      <w:r>
        <w:rPr>
          <w:rFonts w:hint="eastAsia" w:ascii="宋体" w:hAnsi="宋体" w:cs="宋体"/>
          <w:color w:val="000000" w:themeColor="text1"/>
          <w:sz w:val="28"/>
          <w:szCs w:val="28"/>
          <w:highlight w:val="none"/>
          <w:lang w:eastAsia="zh-CN"/>
        </w:rPr>
        <w:t>、重大事故过错的，</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6-15万元/次扣减服务费。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w:t>
      </w:r>
      <w:r>
        <w:rPr>
          <w:rFonts w:hint="eastAsia" w:ascii="宋体" w:hAnsi="宋体" w:cs="宋体"/>
          <w:color w:val="000000" w:themeColor="text1"/>
          <w:sz w:val="28"/>
          <w:szCs w:val="28"/>
          <w:highlight w:val="none"/>
          <w:lang w:val="en-US" w:eastAsia="zh-CN"/>
        </w:rPr>
        <w:t>7</w:t>
      </w:r>
      <w:r>
        <w:rPr>
          <w:rFonts w:hint="eastAsia" w:ascii="宋体" w:hAnsi="宋体" w:cs="宋体"/>
          <w:color w:val="000000" w:themeColor="text1"/>
          <w:sz w:val="28"/>
          <w:szCs w:val="28"/>
          <w:highlight w:val="none"/>
          <w:lang w:eastAsia="zh-CN"/>
        </w:rPr>
        <w:t>、违反以下条款每条每个事项扣0.1分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（1）工作或执勤时，乙方的所有服务人员必须身着制服，佩证上岗，制服不准混穿；</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（2）乙方的所有服务人员的制服要保持整洁、平整，不得敞胸露怀、卷袖子、挽裤腿；</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（3）上班时间须精神振作、精力集中，不得袖手、插手、背手；</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4）值班在岗时站姿、坐姿姿态端正，保持立正姿势，不得东摇西晃、坐卧、倚靠、躺卧、打盹、吸烟、吃东西、电话聊天、看书报、下棋、玩弄手机、听看音频视频，不得聊天，大声说话，喧闹，嘻哈玩笑，随意走动、乱堆乱放；</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（5）上班人员提前十五分钟达到各执勤工作岗位，办理接班手续、做好交班记录和物品出入登记，没人顶接不准擅自离开岗位；</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（6）值班人员不准在岗就餐，值班时不得会客；</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（7）工作有礼有节，热情受理各种问题，对发现的问题要及时解决，解决不了的及时汇报并做好登记管理；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（8）工作场所保持整洁、不准随意粘贴、悬挂与堆放与工作无关的物品；</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（9）有效投诉一次。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18</w:t>
      </w:r>
      <w:r>
        <w:rPr>
          <w:rFonts w:hint="eastAsia" w:ascii="宋体" w:hAnsi="宋体" w:cs="宋体"/>
          <w:color w:val="000000" w:themeColor="text1"/>
          <w:sz w:val="28"/>
          <w:szCs w:val="28"/>
          <w:highlight w:val="none"/>
          <w:lang w:eastAsia="zh-CN"/>
        </w:rPr>
        <w:t>、如有气味、噪音、饮水等影响了甲方正常工作秩序，乙方没能及时处理和制止，每次扣减服务费¥</w:t>
      </w:r>
      <w:r>
        <w:rPr>
          <w:rFonts w:hint="eastAsia" w:ascii="宋体" w:hAnsi="宋体" w:cs="宋体"/>
          <w:color w:val="000000" w:themeColor="text1"/>
          <w:sz w:val="28"/>
          <w:szCs w:val="28"/>
          <w:highlight w:val="none"/>
          <w:lang w:val="en-US" w:eastAsia="zh-CN"/>
        </w:rPr>
        <w:t>500</w:t>
      </w:r>
      <w:r>
        <w:rPr>
          <w:rFonts w:hint="eastAsia" w:ascii="宋体" w:hAnsi="宋体" w:cs="宋体"/>
          <w:color w:val="000000" w:themeColor="text1"/>
          <w:sz w:val="28"/>
          <w:szCs w:val="28"/>
          <w:highlight w:val="none"/>
          <w:lang w:eastAsia="zh-CN"/>
        </w:rPr>
        <w:t>元。</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19</w:t>
      </w:r>
      <w:r>
        <w:rPr>
          <w:rFonts w:hint="eastAsia" w:ascii="宋体" w:hAnsi="宋体" w:cs="宋体"/>
          <w:color w:val="000000" w:themeColor="text1"/>
          <w:sz w:val="28"/>
          <w:szCs w:val="28"/>
          <w:highlight w:val="none"/>
          <w:lang w:eastAsia="zh-CN"/>
        </w:rPr>
        <w:t>、按规定准时关闭空调、电脑、照明、抽风及非须使用的电气设备，若造成浪费，每次扣减服务费¥100元。</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20、</w:t>
      </w:r>
      <w:r>
        <w:rPr>
          <w:rFonts w:hint="eastAsia" w:ascii="宋体" w:hAnsi="宋体" w:cs="宋体"/>
          <w:color w:val="000000" w:themeColor="text1"/>
          <w:sz w:val="28"/>
          <w:szCs w:val="28"/>
          <w:highlight w:val="none"/>
          <w:lang w:eastAsia="zh-CN"/>
        </w:rPr>
        <w:t>附件：《服务绩效考核评分表》</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第</w:t>
      </w:r>
      <w:r>
        <w:rPr>
          <w:rFonts w:hint="eastAsia" w:ascii="宋体" w:hAnsi="宋体" w:cs="宋体"/>
          <w:color w:val="000000" w:themeColor="text1"/>
          <w:sz w:val="28"/>
          <w:szCs w:val="28"/>
          <w:highlight w:val="none"/>
          <w:lang w:val="en-US" w:eastAsia="zh-CN"/>
        </w:rPr>
        <w:t>六</w:t>
      </w:r>
      <w:r>
        <w:rPr>
          <w:rFonts w:hint="eastAsia" w:ascii="宋体" w:hAnsi="宋体" w:cs="宋体"/>
          <w:color w:val="000000" w:themeColor="text1"/>
          <w:sz w:val="28"/>
          <w:szCs w:val="28"/>
          <w:highlight w:val="none"/>
          <w:lang w:eastAsia="zh-CN"/>
        </w:rPr>
        <w:t>条</w:t>
      </w:r>
      <w:r>
        <w:rPr>
          <w:rFonts w:hint="eastAsia" w:ascii="宋体" w:hAnsi="宋体" w:cs="宋体"/>
          <w:color w:val="000000" w:themeColor="text1"/>
          <w:sz w:val="28"/>
          <w:szCs w:val="28"/>
          <w:highlight w:val="none"/>
          <w:lang w:val="en-US" w:eastAsia="zh-CN"/>
        </w:rPr>
        <w:t xml:space="preserve">  履约保证金</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w:t>
      </w:r>
      <w:bookmarkStart w:id="1730" w:name="_Hlk98326753"/>
      <w:r>
        <w:rPr>
          <w:rFonts w:hint="eastAsia" w:ascii="宋体" w:hAnsi="宋体" w:cs="宋体"/>
          <w:color w:val="000000" w:themeColor="text1"/>
          <w:sz w:val="28"/>
          <w:szCs w:val="28"/>
          <w:highlight w:val="none"/>
          <w:lang w:val="en-US" w:eastAsia="zh-CN"/>
        </w:rPr>
        <w:t>乙方须在中标结果公告期满后20个自然日内按合同签订年度中标金额的5%向甲方提供由合法金融机构出具的连带保证责任的履约保函(保证期限应不少于本合同履行期限加上6个月的总和），担保范围为甲方向乙方索偿的一切违约金和赔偿金。如乙方无法按前述规定提供履约保函的，可向甲方提供年度合同总金额的5%的履约保证金作为替代。合同期限届满前，保函金额或保证金被甲方扣减的，乙方应在收到通知后10天内补足，否则，甲方有权视为乙方未按规定提供履约保函或履约保证金。</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2、按承诺完全履行合同的约定，劳务服务合同期满3个月，且顺利完成工作交接后的30个工作日内返还履约保证金或终止履约保函有效期。</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3、乙方未按规定提供履约保函或履约保证金的，甲方有权单方解除合同，并有权要求乙方支付合同总金额10%的违约金。</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4、乙方派驻人员应严格按照规定认真履行职责，对乙方派驻的工作人员违反服务规定，造成的损失由乙方负责，损失金额超过人民币5万元或者造成不良社会影响的，甲方有权没收履约保证金或按履约保函担保额度索赔保证金并视情况终止合同。</w:t>
      </w:r>
    </w:p>
    <w:bookmarkEnd w:id="1730"/>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eastAsia="zh-CN"/>
        </w:rPr>
        <w:t>第</w:t>
      </w:r>
      <w:r>
        <w:rPr>
          <w:rFonts w:hint="eastAsia" w:ascii="宋体" w:hAnsi="宋体" w:cs="宋体"/>
          <w:color w:val="000000" w:themeColor="text1"/>
          <w:sz w:val="28"/>
          <w:szCs w:val="28"/>
          <w:highlight w:val="none"/>
          <w:lang w:val="en-US" w:eastAsia="zh-CN"/>
        </w:rPr>
        <w:t>七</w:t>
      </w:r>
      <w:r>
        <w:rPr>
          <w:rFonts w:hint="eastAsia" w:ascii="宋体" w:hAnsi="宋体" w:cs="宋体"/>
          <w:color w:val="000000" w:themeColor="text1"/>
          <w:sz w:val="28"/>
          <w:szCs w:val="28"/>
          <w:highlight w:val="none"/>
          <w:lang w:eastAsia="zh-CN"/>
        </w:rPr>
        <w:t>条</w:t>
      </w:r>
      <w:r>
        <w:rPr>
          <w:rFonts w:hint="eastAsia" w:ascii="宋体" w:hAnsi="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 xml:space="preserve">服务费及结算方式           </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劳务外包服务的范围包括以下内容：提供综合辅助服务21人、后勤保障服务15人、网络和信息支持服务4人、公务用车驾驶服务10人、食堂劳务服务14人等，具体服务内容按照招标文件、合同及双方约定执行。拟外包人员总数量为64人（实际外包人员数量根据甲方的服务需要进行调整），调整后的劳务外包服务量有减少的，据经甲乙双方确定的实际劳务外包服务量进行结算。</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2、乙方应承担的服务费</w:t>
      </w:r>
      <w:r>
        <w:rPr>
          <w:rFonts w:hint="eastAsia" w:ascii="宋体" w:hAnsi="宋体" w:eastAsia="宋体" w:cs="宋体"/>
          <w:color w:val="000000" w:themeColor="text1"/>
          <w:sz w:val="28"/>
          <w:szCs w:val="28"/>
          <w:highlight w:val="none"/>
        </w:rPr>
        <w:t>包含：</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default" w:ascii="宋体" w:hAnsi="宋体" w:eastAsia="宋体" w:cs="宋体"/>
          <w:color w:val="000000" w:themeColor="text1"/>
          <w:sz w:val="28"/>
          <w:szCs w:val="28"/>
          <w:highlight w:val="none"/>
          <w:lang w:val="en-US" w:eastAsia="zh-CN"/>
        </w:rPr>
      </w:pPr>
      <w:r>
        <w:rPr>
          <w:rFonts w:hint="default" w:ascii="宋体" w:hAnsi="宋体" w:eastAsia="宋体" w:cs="宋体"/>
          <w:color w:val="000000" w:themeColor="text1"/>
          <w:sz w:val="28"/>
          <w:szCs w:val="28"/>
          <w:highlight w:val="none"/>
          <w:lang w:val="en-US" w:eastAsia="zh-CN"/>
        </w:rPr>
        <w:t>（1）服务人员正常工作时间的工资及加班费、福利、应缴纳各项社会保险费（含养老、医疗、工伤、失业、生育险</w:t>
      </w:r>
      <w:r>
        <w:rPr>
          <w:rFonts w:hint="eastAsia" w:ascii="宋体" w:hAnsi="宋体" w:eastAsia="宋体" w:cs="宋体"/>
          <w:color w:val="000000" w:themeColor="text1"/>
          <w:sz w:val="28"/>
          <w:szCs w:val="28"/>
          <w:highlight w:val="none"/>
          <w:lang w:val="en-US" w:eastAsia="zh-CN"/>
        </w:rPr>
        <w:t>、高额医疗保险</w:t>
      </w:r>
      <w:r>
        <w:rPr>
          <w:rFonts w:hint="default" w:ascii="宋体" w:hAnsi="宋体" w:eastAsia="宋体" w:cs="宋体"/>
          <w:color w:val="000000" w:themeColor="text1"/>
          <w:sz w:val="28"/>
          <w:szCs w:val="28"/>
          <w:highlight w:val="none"/>
          <w:lang w:val="en-US" w:eastAsia="zh-CN"/>
        </w:rPr>
        <w:t>）、住房公积金。</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default" w:ascii="宋体" w:hAnsi="宋体" w:eastAsia="宋体" w:cs="宋体"/>
          <w:color w:val="000000" w:themeColor="text1"/>
          <w:sz w:val="28"/>
          <w:szCs w:val="28"/>
          <w:highlight w:val="none"/>
          <w:lang w:val="en-US" w:eastAsia="zh-CN"/>
        </w:rPr>
      </w:pPr>
      <w:r>
        <w:rPr>
          <w:rFonts w:hint="default" w:ascii="宋体" w:hAnsi="宋体" w:eastAsia="宋体" w:cs="宋体"/>
          <w:color w:val="000000" w:themeColor="text1"/>
          <w:sz w:val="28"/>
          <w:szCs w:val="28"/>
          <w:highlight w:val="none"/>
          <w:lang w:val="en-US" w:eastAsia="zh-CN"/>
        </w:rPr>
        <w:t>（2）对服务人员开展节日慰问，提供年度体检服务、培训教育、工作制服</w:t>
      </w:r>
      <w:r>
        <w:rPr>
          <w:rFonts w:hint="eastAsia" w:ascii="宋体" w:hAnsi="宋体" w:eastAsia="宋体" w:cs="宋体"/>
          <w:color w:val="000000" w:themeColor="text1"/>
          <w:sz w:val="28"/>
          <w:szCs w:val="28"/>
          <w:highlight w:val="none"/>
          <w:lang w:val="en-US" w:eastAsia="zh-CN"/>
        </w:rPr>
        <w:t>有关的</w:t>
      </w:r>
      <w:r>
        <w:rPr>
          <w:rFonts w:hint="default" w:ascii="宋体" w:hAnsi="宋体" w:eastAsia="宋体" w:cs="宋体"/>
          <w:color w:val="000000" w:themeColor="text1"/>
          <w:sz w:val="28"/>
          <w:szCs w:val="28"/>
          <w:highlight w:val="none"/>
          <w:lang w:val="en-US" w:eastAsia="zh-CN"/>
        </w:rPr>
        <w:t>费用。</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本条上述第（1）（2）项费用，</w:t>
      </w:r>
      <w:r>
        <w:rPr>
          <w:rFonts w:hint="eastAsia" w:ascii="宋体" w:hAnsi="宋体" w:eastAsia="宋体" w:cs="宋体"/>
          <w:color w:val="000000" w:themeColor="text1"/>
          <w:sz w:val="28"/>
          <w:szCs w:val="28"/>
          <w:highlight w:val="none"/>
          <w:lang w:eastAsia="zh-CN"/>
        </w:rPr>
        <w:t>以下</w:t>
      </w:r>
      <w:r>
        <w:rPr>
          <w:rFonts w:hint="eastAsia" w:ascii="宋体" w:hAnsi="宋体" w:eastAsia="宋体" w:cs="宋体"/>
          <w:color w:val="000000" w:themeColor="text1"/>
          <w:sz w:val="28"/>
          <w:szCs w:val="28"/>
          <w:highlight w:val="none"/>
          <w:lang w:val="en-US" w:eastAsia="zh-CN"/>
        </w:rPr>
        <w:t>合</w:t>
      </w:r>
      <w:r>
        <w:rPr>
          <w:rFonts w:hint="eastAsia" w:ascii="宋体" w:hAnsi="宋体" w:eastAsia="宋体" w:cs="宋体"/>
          <w:color w:val="000000" w:themeColor="text1"/>
          <w:sz w:val="28"/>
          <w:szCs w:val="28"/>
          <w:highlight w:val="none"/>
          <w:lang w:eastAsia="zh-CN"/>
        </w:rPr>
        <w:t>称“薪酬”</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（3）合同履行过程中因与员工产生劳动纠纷而产生的经济补偿金或赔偿金、工伤待遇、未及时签订劳动合同的另一倍工资等可能产生的法律责任和费用均由乙方承担，乙方不得要求甲方承担。</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（4）乙方的服务管理费：每月服务管理费按不得高于该月份服务人员薪酬的10%计算（取小数点后两位）。乙方只对服务管理费的折扣率进行报价。</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rPr>
        <w:t>、结算方式</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本项目据实结算，</w:t>
      </w:r>
      <w:r>
        <w:rPr>
          <w:rFonts w:hint="eastAsia" w:ascii="宋体" w:hAnsi="宋体" w:eastAsia="宋体" w:cs="宋体"/>
          <w:color w:val="000000" w:themeColor="text1"/>
          <w:sz w:val="28"/>
          <w:szCs w:val="28"/>
          <w:highlight w:val="none"/>
        </w:rPr>
        <w:t>劳务外包服务费按照“当月支付上月”的方式进行结算，当月实际支付劳务外包服务费</w:t>
      </w:r>
      <w:r>
        <w:rPr>
          <w:rFonts w:hint="eastAsia" w:ascii="宋体" w:hAnsi="宋体" w:eastAsia="宋体" w:cs="宋体"/>
          <w:color w:val="000000" w:themeColor="text1"/>
          <w:sz w:val="28"/>
          <w:szCs w:val="28"/>
          <w:highlight w:val="none"/>
          <w:lang w:val="en-US" w:eastAsia="zh-CN"/>
        </w:rPr>
        <w:t>=服务人员的薪酬+（服务人员的薪酬*10%）*中标折扣率</w:t>
      </w:r>
      <w:r>
        <w:rPr>
          <w:rFonts w:hint="eastAsia" w:ascii="宋体" w:hAnsi="宋体" w:eastAsia="宋体" w:cs="宋体"/>
          <w:color w:val="000000" w:themeColor="text1"/>
          <w:sz w:val="28"/>
          <w:szCs w:val="28"/>
          <w:highlight w:val="none"/>
        </w:rPr>
        <w:t>。</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4</w:t>
      </w:r>
      <w:r>
        <w:rPr>
          <w:rFonts w:hint="eastAsia" w:ascii="宋体" w:hAnsi="宋体" w:eastAsia="宋体" w:cs="宋体"/>
          <w:color w:val="000000" w:themeColor="text1"/>
          <w:sz w:val="28"/>
          <w:szCs w:val="28"/>
          <w:highlight w:val="none"/>
        </w:rPr>
        <w:t>、付款方式</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（1）每次按合同支付款项前，</w:t>
      </w:r>
      <w:r>
        <w:rPr>
          <w:rFonts w:hint="eastAsia" w:ascii="宋体" w:hAnsi="宋体" w:eastAsia="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先应向</w:t>
      </w:r>
      <w:r>
        <w:rPr>
          <w:rFonts w:hint="eastAsia" w:ascii="宋体" w:hAnsi="宋体" w:eastAsia="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开具提供与支付金额相符的有效发票作为</w:t>
      </w:r>
      <w:r>
        <w:rPr>
          <w:rFonts w:hint="eastAsia" w:ascii="宋体" w:hAnsi="宋体" w:eastAsia="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付款的前提，且收款方、出具发票方、合同乙方均必须与</w:t>
      </w:r>
      <w:r>
        <w:rPr>
          <w:rFonts w:hint="eastAsia" w:ascii="宋体" w:hAnsi="宋体" w:eastAsia="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名称一致。</w:t>
      </w:r>
      <w:r>
        <w:rPr>
          <w:rFonts w:hint="eastAsia" w:ascii="宋体" w:hAnsi="宋体" w:eastAsia="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收到发票等相关资料并审核无误后在</w:t>
      </w: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0个工作日内办理支付手续。</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（2）如遇财政拨款未到位情况，上述付款期限顺延，</w:t>
      </w:r>
      <w:r>
        <w:rPr>
          <w:rFonts w:hint="eastAsia" w:ascii="宋体" w:hAnsi="宋体" w:eastAsia="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不得追究</w:t>
      </w:r>
      <w:r>
        <w:rPr>
          <w:rFonts w:hint="eastAsia" w:ascii="宋体" w:hAnsi="宋体" w:eastAsia="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的相关法律责任。</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b w:val="0"/>
          <w:bCs w:val="0"/>
          <w:color w:val="000000" w:themeColor="text1"/>
          <w:sz w:val="28"/>
          <w:szCs w:val="28"/>
          <w:highlight w:val="none"/>
          <w:lang w:val="en-US" w:eastAsia="zh-CN"/>
        </w:rPr>
        <w:t>3、支付方式采取银行转账付款。</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乙方开户行：</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 xml:space="preserve">                                             </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乙方全称 ：</w:t>
      </w:r>
      <w:r>
        <w:rPr>
          <w:rFonts w:hint="eastAsia" w:ascii="宋体" w:hAnsi="宋体" w:cs="宋体"/>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eastAsia="zh-CN"/>
        </w:rPr>
        <w:t>账</w:t>
      </w:r>
      <w:r>
        <w:rPr>
          <w:rFonts w:hint="eastAsia" w:ascii="宋体" w:hAnsi="宋体" w:eastAsia="宋体" w:cs="宋体"/>
          <w:color w:val="000000" w:themeColor="text1"/>
          <w:sz w:val="28"/>
          <w:szCs w:val="28"/>
          <w:highlight w:val="none"/>
        </w:rPr>
        <w:t xml:space="preserve">    号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 xml:space="preserve">                                                                      </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第</w:t>
      </w:r>
      <w:r>
        <w:rPr>
          <w:rFonts w:hint="eastAsia" w:ascii="宋体" w:hAnsi="宋体" w:cs="宋体"/>
          <w:color w:val="000000" w:themeColor="text1"/>
          <w:sz w:val="28"/>
          <w:szCs w:val="28"/>
          <w:highlight w:val="none"/>
          <w:lang w:val="en-US" w:eastAsia="zh-CN"/>
        </w:rPr>
        <w:t>八</w:t>
      </w:r>
      <w:r>
        <w:rPr>
          <w:rFonts w:hint="eastAsia" w:ascii="宋体" w:hAnsi="宋体" w:eastAsia="宋体" w:cs="宋体"/>
          <w:color w:val="000000" w:themeColor="text1"/>
          <w:sz w:val="28"/>
          <w:szCs w:val="28"/>
          <w:highlight w:val="none"/>
        </w:rPr>
        <w:t>条  违约责任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1、甲方未能按时支付服务费，乙方有权要求甲方及时结清</w:t>
      </w:r>
      <w:r>
        <w:rPr>
          <w:rFonts w:hint="eastAsia" w:ascii="宋体" w:hAnsi="宋体" w:cs="宋体"/>
          <w:color w:val="000000" w:themeColor="text1"/>
          <w:sz w:val="28"/>
          <w:szCs w:val="28"/>
          <w:highlight w:val="none"/>
          <w:lang w:eastAsia="zh-CN"/>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2、在甲方办公区域，乙方</w:t>
      </w:r>
      <w:r>
        <w:rPr>
          <w:rFonts w:hint="eastAsia" w:ascii="宋体" w:hAnsi="宋体" w:cs="宋体"/>
          <w:color w:val="000000" w:themeColor="text1"/>
          <w:sz w:val="28"/>
          <w:szCs w:val="28"/>
          <w:highlight w:val="none"/>
          <w:lang w:eastAsia="zh-CN"/>
        </w:rPr>
        <w:t>服务人员</w:t>
      </w:r>
      <w:r>
        <w:rPr>
          <w:rFonts w:hint="eastAsia" w:ascii="宋体" w:hAnsi="宋体" w:eastAsia="宋体" w:cs="宋体"/>
          <w:color w:val="000000" w:themeColor="text1"/>
          <w:sz w:val="28"/>
          <w:szCs w:val="28"/>
          <w:highlight w:val="none"/>
        </w:rPr>
        <w:t>应尊重甲方有关规定，不得影响甲方的正常工作秩序。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rPr>
        <w:t>甲方指派</w:t>
      </w:r>
      <w:r>
        <w:rPr>
          <w:rFonts w:hint="eastAsia" w:ascii="宋体" w:hAnsi="宋体" w:eastAsia="宋体" w:cs="宋体"/>
          <w:color w:val="000000" w:themeColor="text1"/>
          <w:sz w:val="28"/>
          <w:szCs w:val="28"/>
          <w:highlight w:val="none"/>
          <w:lang w:eastAsia="zh-CN"/>
        </w:rPr>
        <w:t>服务人员</w:t>
      </w:r>
      <w:r>
        <w:rPr>
          <w:rFonts w:hint="eastAsia"/>
          <w:color w:val="000000" w:themeColor="text1"/>
          <w:sz w:val="28"/>
          <w:szCs w:val="28"/>
          <w:highlight w:val="none"/>
        </w:rPr>
        <w:t>从事本合同约定的服务职责范围外的工作，由此造成</w:t>
      </w:r>
      <w:r>
        <w:rPr>
          <w:rFonts w:hint="eastAsia"/>
          <w:color w:val="000000" w:themeColor="text1"/>
          <w:sz w:val="28"/>
          <w:szCs w:val="28"/>
          <w:highlight w:val="none"/>
          <w:lang w:eastAsia="zh-CN"/>
        </w:rPr>
        <w:t>服务人员</w:t>
      </w:r>
      <w:r>
        <w:rPr>
          <w:rFonts w:hint="eastAsia"/>
          <w:color w:val="000000" w:themeColor="text1"/>
          <w:sz w:val="28"/>
          <w:szCs w:val="28"/>
          <w:highlight w:val="none"/>
        </w:rPr>
        <w:t>或对第三方的经济赔偿责任，由甲方负责。</w:t>
      </w:r>
    </w:p>
    <w:p>
      <w:pPr>
        <w:pStyle w:val="2"/>
        <w:keepNext w:val="0"/>
        <w:keepLines w:val="0"/>
        <w:pageBreakBefore w:val="0"/>
        <w:widowControl w:val="0"/>
        <w:kinsoku/>
        <w:wordWrap/>
        <w:overflowPunct/>
        <w:topLinePunct w:val="0"/>
        <w:bidi w:val="0"/>
        <w:spacing w:line="560" w:lineRule="atLeast"/>
        <w:ind w:firstLine="560"/>
        <w:textAlignment w:val="auto"/>
        <w:rPr>
          <w:rFonts w:hint="eastAsia"/>
          <w:color w:val="000000" w:themeColor="text1"/>
          <w:sz w:val="28"/>
          <w:szCs w:val="28"/>
          <w:highlight w:val="none"/>
          <w:lang w:val="en-US" w:eastAsia="zh-CN"/>
        </w:rPr>
      </w:pPr>
      <w:r>
        <w:rPr>
          <w:rFonts w:hint="eastAsia"/>
          <w:color w:val="000000" w:themeColor="text1"/>
          <w:sz w:val="28"/>
          <w:szCs w:val="28"/>
          <w:highlight w:val="none"/>
          <w:lang w:val="en-US" w:eastAsia="zh-CN"/>
        </w:rPr>
        <w:t>4、乙方提供的服务人员或者服务不符合本合同的约定，甲方有权要求乙方纠正并按本合同的约定扣减相应的服务费，因此造成甲方其他损失的，甲方有权直接在乙方缴交的保证金中扣减有关损失费用或者要求保证人承担连带保证责任，扣减保证金或者保证人承担保证责任后，不足以弥补甲方损失的，甲方有权继续向乙方追偿。</w:t>
      </w:r>
    </w:p>
    <w:p>
      <w:pPr>
        <w:keepNext w:val="0"/>
        <w:keepLines w:val="0"/>
        <w:pageBreakBefore w:val="0"/>
        <w:widowControl w:val="0"/>
        <w:kinsoku/>
        <w:wordWrap/>
        <w:overflowPunct/>
        <w:topLinePunct w:val="0"/>
        <w:bidi w:val="0"/>
        <w:spacing w:line="560" w:lineRule="atLeast"/>
        <w:textAlignment w:val="auto"/>
        <w:rPr>
          <w:rFonts w:hint="eastAsia"/>
          <w:color w:val="000000" w:themeColor="text1"/>
          <w:highlight w:val="none"/>
          <w:lang w:val="en-US" w:eastAsia="zh-CN"/>
        </w:rPr>
      </w:pP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第</w:t>
      </w:r>
      <w:r>
        <w:rPr>
          <w:rFonts w:hint="eastAsia" w:ascii="宋体" w:hAnsi="宋体" w:cs="宋体"/>
          <w:color w:val="000000" w:themeColor="text1"/>
          <w:sz w:val="28"/>
          <w:szCs w:val="28"/>
          <w:highlight w:val="none"/>
          <w:lang w:eastAsia="zh-CN"/>
        </w:rPr>
        <w:t>九</w:t>
      </w:r>
      <w:r>
        <w:rPr>
          <w:rFonts w:hint="eastAsia" w:ascii="宋体" w:hAnsi="宋体" w:eastAsia="宋体" w:cs="宋体"/>
          <w:color w:val="000000" w:themeColor="text1"/>
          <w:sz w:val="28"/>
          <w:szCs w:val="28"/>
          <w:highlight w:val="none"/>
        </w:rPr>
        <w:t>条</w:t>
      </w:r>
      <w:r>
        <w:rPr>
          <w:rFonts w:hint="eastAsia" w:ascii="宋体" w:hAnsi="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其他</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1、有关本合同的未尽事宜及因本合同发生的一切争议，应由双方友好协商解决，如协商不能解决时，交由甲方所在地人民法院诉讼解决。</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2、凡对本合同进行修改、补充或变更，须以书面形式经双方授权代表签字盖章后，作为本合同的组成部分。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3、合同附件是本合同不可分割的部分，与本合同具有同等效力。</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4、本合同由甲、乙双方授权代表签字并盖章后生效。本合同一式两份，甲、乙双方各执一份，每份具有相同法律效力。</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 甲方（盖章）：                      乙方（盖章）：</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法定代表人（签名）：                法定代表人（签名）：</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委托代理人（签名）：                委托代理人（签名）：</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地址：      </w:t>
      </w:r>
      <w:r>
        <w:rPr>
          <w:rFonts w:hint="eastAsia" w:ascii="宋体" w:hAnsi="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地址：</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签订日期：</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年</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月</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日        </w:t>
      </w:r>
      <w:r>
        <w:rPr>
          <w:rFonts w:hint="eastAsia" w:ascii="宋体" w:hAnsi="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签订日期</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年</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月</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br w:type="page"/>
      </w:r>
    </w:p>
    <w:p>
      <w:pPr>
        <w:pStyle w:val="2"/>
        <w:rPr>
          <w:rFonts w:hint="eastAsia" w:ascii="宋体" w:hAnsi="宋体" w:eastAsia="宋体" w:cs="仿宋_GB2312"/>
          <w:color w:val="000000" w:themeColor="text1"/>
          <w:sz w:val="21"/>
          <w:szCs w:val="21"/>
          <w:highlight w:val="none"/>
        </w:rPr>
      </w:pPr>
      <w:r>
        <w:rPr>
          <w:rFonts w:hint="eastAsia" w:ascii="宋体" w:hAnsi="宋体" w:eastAsia="宋体" w:cs="仿宋_GB2312"/>
          <w:color w:val="000000" w:themeColor="text1"/>
          <w:sz w:val="21"/>
          <w:szCs w:val="21"/>
          <w:highlight w:val="none"/>
        </w:rPr>
        <w:t>附</w:t>
      </w:r>
      <w:r>
        <w:rPr>
          <w:rFonts w:hint="eastAsia" w:ascii="宋体" w:hAnsi="宋体" w:eastAsia="宋体" w:cs="仿宋_GB2312"/>
          <w:color w:val="000000" w:themeColor="text1"/>
          <w:sz w:val="21"/>
          <w:szCs w:val="21"/>
          <w:highlight w:val="none"/>
          <w:lang w:eastAsia="zh-CN"/>
        </w:rPr>
        <w:t>表</w:t>
      </w:r>
      <w:r>
        <w:rPr>
          <w:rFonts w:hint="eastAsia" w:ascii="宋体" w:hAnsi="宋体" w:eastAsia="宋体" w:cs="仿宋_GB2312"/>
          <w:color w:val="000000" w:themeColor="text1"/>
          <w:sz w:val="21"/>
          <w:szCs w:val="21"/>
          <w:highlight w:val="none"/>
          <w:lang w:val="en-US" w:eastAsia="zh-CN"/>
        </w:rPr>
        <w:t>1</w:t>
      </w:r>
      <w:r>
        <w:rPr>
          <w:rFonts w:hint="eastAsia" w:ascii="宋体" w:hAnsi="宋体" w:eastAsia="宋体" w:cs="仿宋_GB2312"/>
          <w:color w:val="000000" w:themeColor="text1"/>
          <w:sz w:val="21"/>
          <w:szCs w:val="21"/>
          <w:highlight w:val="none"/>
        </w:rPr>
        <w:t>：</w:t>
      </w:r>
    </w:p>
    <w:p>
      <w:pPr>
        <w:pStyle w:val="2"/>
        <w:jc w:val="center"/>
        <w:rPr>
          <w:rFonts w:hint="default" w:ascii="宋体" w:hAnsi="宋体" w:eastAsia="宋体" w:cs="Times New Roman"/>
          <w:color w:val="000000" w:themeColor="text1"/>
          <w:sz w:val="21"/>
          <w:szCs w:val="21"/>
          <w:highlight w:val="none"/>
          <w:lang w:val="en-US" w:eastAsia="zh-CN"/>
        </w:rPr>
      </w:pPr>
      <w:r>
        <w:rPr>
          <w:rFonts w:hint="eastAsia" w:ascii="宋体" w:hAnsi="宋体" w:eastAsia="宋体" w:cs="Times New Roman"/>
          <w:color w:val="000000" w:themeColor="text1"/>
          <w:sz w:val="21"/>
          <w:szCs w:val="21"/>
          <w:highlight w:val="none"/>
          <w:lang w:eastAsia="zh-CN"/>
        </w:rPr>
        <w:t>劳务外包</w:t>
      </w:r>
      <w:r>
        <w:rPr>
          <w:rFonts w:hint="eastAsia" w:ascii="宋体" w:hAnsi="宋体" w:eastAsia="宋体" w:cs="Times New Roman"/>
          <w:color w:val="000000" w:themeColor="text1"/>
          <w:sz w:val="21"/>
          <w:szCs w:val="21"/>
          <w:highlight w:val="none"/>
        </w:rPr>
        <w:t>服务绩效考核评分表</w:t>
      </w:r>
      <w:r>
        <w:rPr>
          <w:rFonts w:hint="eastAsia" w:ascii="宋体" w:hAnsi="宋体" w:eastAsia="宋体" w:cs="Times New Roman"/>
          <w:color w:val="000000" w:themeColor="text1"/>
          <w:sz w:val="21"/>
          <w:szCs w:val="21"/>
          <w:highlight w:val="none"/>
          <w:lang w:val="en-US" w:eastAsia="zh-CN"/>
        </w:rPr>
        <w:t xml:space="preserve">     </w:t>
      </w:r>
    </w:p>
    <w:tbl>
      <w:tblPr>
        <w:tblStyle w:val="46"/>
        <w:tblW w:w="83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676"/>
        <w:gridCol w:w="1606"/>
        <w:gridCol w:w="1765"/>
        <w:gridCol w:w="1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725" w:type="dxa"/>
            <w:vAlign w:val="top"/>
          </w:tcPr>
          <w:p>
            <w:pPr>
              <w:spacing w:before="36" w:line="276" w:lineRule="auto"/>
              <w:ind w:firstLine="664"/>
              <w:rPr>
                <w:rFonts w:ascii="宋体" w:hAnsi="宋体" w:cs="宋体"/>
                <w:color w:val="000000" w:themeColor="text1"/>
                <w:szCs w:val="21"/>
                <w:highlight w:val="none"/>
              </w:rPr>
            </w:pPr>
            <w:r>
              <w:rPr>
                <w:rFonts w:ascii="宋体" w:hAnsi="宋体" w:cs="宋体"/>
                <w:color w:val="000000" w:themeColor="text1"/>
                <w:spacing w:val="-3"/>
                <w:szCs w:val="21"/>
                <w:highlight w:val="none"/>
              </w:rPr>
              <w:t>项目</w:t>
            </w:r>
          </w:p>
        </w:tc>
        <w:tc>
          <w:tcPr>
            <w:tcW w:w="1676" w:type="dxa"/>
            <w:vAlign w:val="top"/>
          </w:tcPr>
          <w:p>
            <w:pPr>
              <w:spacing w:before="36" w:line="276" w:lineRule="auto"/>
              <w:ind w:firstLine="318"/>
              <w:rPr>
                <w:rFonts w:ascii="宋体" w:hAnsi="宋体" w:cs="宋体"/>
                <w:color w:val="000000" w:themeColor="text1"/>
                <w:szCs w:val="21"/>
                <w:highlight w:val="none"/>
              </w:rPr>
            </w:pPr>
            <w:r>
              <w:rPr>
                <w:rFonts w:ascii="宋体" w:hAnsi="宋体" w:cs="宋体"/>
                <w:color w:val="000000" w:themeColor="text1"/>
                <w:spacing w:val="-5"/>
                <w:szCs w:val="21"/>
                <w:highlight w:val="none"/>
              </w:rPr>
              <w:t>很满意5分</w:t>
            </w:r>
          </w:p>
        </w:tc>
        <w:tc>
          <w:tcPr>
            <w:tcW w:w="1606" w:type="dxa"/>
            <w:vAlign w:val="top"/>
          </w:tcPr>
          <w:p>
            <w:pPr>
              <w:spacing w:before="36" w:line="276" w:lineRule="auto"/>
              <w:ind w:firstLine="389"/>
              <w:rPr>
                <w:rFonts w:ascii="宋体" w:hAnsi="宋体" w:cs="宋体"/>
                <w:color w:val="000000" w:themeColor="text1"/>
                <w:szCs w:val="21"/>
                <w:highlight w:val="none"/>
              </w:rPr>
            </w:pPr>
            <w:r>
              <w:rPr>
                <w:rFonts w:ascii="宋体" w:hAnsi="宋体" w:cs="宋体"/>
                <w:color w:val="000000" w:themeColor="text1"/>
                <w:spacing w:val="-4"/>
                <w:szCs w:val="21"/>
                <w:highlight w:val="none"/>
              </w:rPr>
              <w:t>满意4分</w:t>
            </w:r>
          </w:p>
        </w:tc>
        <w:tc>
          <w:tcPr>
            <w:tcW w:w="1765" w:type="dxa"/>
            <w:vAlign w:val="top"/>
          </w:tcPr>
          <w:p>
            <w:pPr>
              <w:spacing w:before="36" w:line="276" w:lineRule="auto"/>
              <w:ind w:firstLine="258"/>
              <w:rPr>
                <w:rFonts w:ascii="宋体" w:hAnsi="宋体" w:cs="宋体"/>
                <w:color w:val="000000" w:themeColor="text1"/>
                <w:szCs w:val="21"/>
                <w:highlight w:val="none"/>
              </w:rPr>
            </w:pPr>
            <w:r>
              <w:rPr>
                <w:rFonts w:ascii="宋体" w:hAnsi="宋体" w:cs="宋体"/>
                <w:color w:val="000000" w:themeColor="text1"/>
                <w:spacing w:val="-3"/>
                <w:szCs w:val="21"/>
                <w:highlight w:val="none"/>
              </w:rPr>
              <w:t>基本满意3分</w:t>
            </w:r>
          </w:p>
        </w:tc>
        <w:tc>
          <w:tcPr>
            <w:tcW w:w="1592" w:type="dxa"/>
            <w:vAlign w:val="top"/>
          </w:tcPr>
          <w:p>
            <w:pPr>
              <w:spacing w:before="36" w:line="276" w:lineRule="auto"/>
              <w:ind w:firstLine="279"/>
              <w:rPr>
                <w:rFonts w:ascii="宋体" w:hAnsi="宋体" w:cs="宋体"/>
                <w:color w:val="000000" w:themeColor="text1"/>
                <w:szCs w:val="21"/>
                <w:highlight w:val="none"/>
              </w:rPr>
            </w:pPr>
            <w:r>
              <w:rPr>
                <w:rFonts w:ascii="宋体" w:hAnsi="宋体" w:cs="宋体"/>
                <w:color w:val="000000" w:themeColor="text1"/>
                <w:spacing w:val="-4"/>
                <w:szCs w:val="21"/>
                <w:highlight w:val="none"/>
              </w:rPr>
              <w:t>不满意0分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725" w:type="dxa"/>
            <w:vAlign w:val="top"/>
          </w:tcPr>
          <w:p>
            <w:pPr>
              <w:spacing w:before="32" w:line="276" w:lineRule="auto"/>
              <w:jc w:val="center"/>
              <w:rPr>
                <w:rFonts w:ascii="宋体" w:hAnsi="宋体" w:cs="宋体"/>
                <w:color w:val="000000" w:themeColor="text1"/>
                <w:szCs w:val="21"/>
                <w:highlight w:val="none"/>
              </w:rPr>
            </w:pPr>
            <w:r>
              <w:rPr>
                <w:rFonts w:ascii="宋体" w:hAnsi="宋体" w:cs="宋体"/>
                <w:color w:val="000000" w:themeColor="text1"/>
                <w:spacing w:val="-2"/>
                <w:szCs w:val="21"/>
                <w:highlight w:val="none"/>
              </w:rPr>
              <w:t>制度流程</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服务标准</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vAlign w:val="top"/>
          </w:tcPr>
          <w:p>
            <w:pPr>
              <w:spacing w:before="29" w:line="276" w:lineRule="auto"/>
              <w:ind w:firstLine="434"/>
              <w:rPr>
                <w:rFonts w:ascii="宋体" w:hAnsi="宋体" w:cs="宋体"/>
                <w:color w:val="000000" w:themeColor="text1"/>
                <w:szCs w:val="21"/>
                <w:highlight w:val="none"/>
              </w:rPr>
            </w:pPr>
            <w:r>
              <w:rPr>
                <w:rFonts w:ascii="宋体" w:hAnsi="宋体" w:cs="宋体"/>
                <w:color w:val="000000" w:themeColor="text1"/>
                <w:spacing w:val="-1"/>
                <w:szCs w:val="21"/>
                <w:highlight w:val="none"/>
              </w:rPr>
              <w:t>机构设置</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装备配备</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vAlign w:val="top"/>
          </w:tcPr>
          <w:p>
            <w:pPr>
              <w:spacing w:before="30"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人员配置</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1"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培训演练</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vAlign w:val="top"/>
          </w:tcPr>
          <w:p>
            <w:pPr>
              <w:spacing w:before="31"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专业水平</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vAlign w:val="top"/>
          </w:tcPr>
          <w:p>
            <w:pPr>
              <w:spacing w:before="32"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仪容仪表</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服务态度</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执行力度</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3" w:line="276" w:lineRule="auto"/>
              <w:ind w:firstLine="439"/>
              <w:rPr>
                <w:rFonts w:ascii="宋体" w:hAnsi="宋体" w:cs="宋体"/>
                <w:color w:val="000000" w:themeColor="text1"/>
                <w:szCs w:val="21"/>
                <w:highlight w:val="none"/>
              </w:rPr>
            </w:pPr>
            <w:r>
              <w:rPr>
                <w:rFonts w:ascii="宋体" w:hAnsi="宋体" w:cs="宋体"/>
                <w:color w:val="000000" w:themeColor="text1"/>
                <w:spacing w:val="-3"/>
                <w:szCs w:val="21"/>
                <w:highlight w:val="none"/>
              </w:rPr>
              <w:t>安全意识</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vAlign w:val="top"/>
          </w:tcPr>
          <w:p>
            <w:pPr>
              <w:spacing w:before="33"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卫生意识</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725" w:type="dxa"/>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服务意识</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5" w:line="276" w:lineRule="auto"/>
              <w:ind w:firstLine="437"/>
              <w:rPr>
                <w:rFonts w:ascii="宋体" w:hAnsi="宋体" w:cs="宋体"/>
                <w:color w:val="000000" w:themeColor="text1"/>
                <w:szCs w:val="21"/>
                <w:highlight w:val="none"/>
              </w:rPr>
            </w:pPr>
            <w:r>
              <w:rPr>
                <w:rFonts w:ascii="宋体" w:hAnsi="宋体" w:cs="宋体"/>
                <w:color w:val="000000" w:themeColor="text1"/>
                <w:spacing w:val="-2"/>
                <w:szCs w:val="21"/>
                <w:highlight w:val="none"/>
              </w:rPr>
              <w:t>工作责任</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5" w:line="276" w:lineRule="auto"/>
              <w:ind w:firstLine="445"/>
              <w:rPr>
                <w:rFonts w:ascii="宋体" w:hAnsi="宋体" w:cs="宋体"/>
                <w:color w:val="000000" w:themeColor="text1"/>
                <w:szCs w:val="21"/>
                <w:highlight w:val="none"/>
              </w:rPr>
            </w:pPr>
            <w:r>
              <w:rPr>
                <w:rFonts w:ascii="宋体" w:hAnsi="宋体" w:cs="宋体"/>
                <w:color w:val="000000" w:themeColor="text1"/>
                <w:spacing w:val="-4"/>
                <w:szCs w:val="21"/>
                <w:highlight w:val="none"/>
              </w:rPr>
              <w:t>时间观念</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725" w:type="dxa"/>
            <w:vAlign w:val="top"/>
          </w:tcPr>
          <w:p>
            <w:pPr>
              <w:spacing w:before="33"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协调能力</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服务效率</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服务质量</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节能减排</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3" w:line="276" w:lineRule="auto"/>
              <w:jc w:val="center"/>
              <w:rPr>
                <w:rFonts w:ascii="宋体" w:hAnsi="宋体" w:cs="宋体"/>
                <w:color w:val="000000" w:themeColor="text1"/>
                <w:spacing w:val="-2"/>
                <w:szCs w:val="21"/>
                <w:highlight w:val="none"/>
              </w:rPr>
            </w:pPr>
            <w:r>
              <w:rPr>
                <w:rFonts w:ascii="宋体" w:hAnsi="宋体" w:cs="宋体"/>
                <w:color w:val="000000" w:themeColor="text1"/>
                <w:spacing w:val="-2"/>
                <w:szCs w:val="21"/>
                <w:highlight w:val="none"/>
              </w:rPr>
              <w:t>一般性重复失误</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3" w:line="276" w:lineRule="auto"/>
              <w:jc w:val="center"/>
              <w:rPr>
                <w:rFonts w:ascii="宋体" w:hAnsi="宋体" w:cs="宋体"/>
                <w:color w:val="000000" w:themeColor="text1"/>
                <w:spacing w:val="-2"/>
                <w:szCs w:val="21"/>
                <w:highlight w:val="none"/>
              </w:rPr>
            </w:pPr>
            <w:r>
              <w:rPr>
                <w:rFonts w:ascii="宋体" w:hAnsi="宋体" w:cs="宋体"/>
                <w:color w:val="000000" w:themeColor="text1"/>
                <w:spacing w:val="-2"/>
                <w:szCs w:val="21"/>
                <w:highlight w:val="none"/>
              </w:rPr>
              <w:t>一般性重复过错</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3" w:line="276" w:lineRule="auto"/>
              <w:jc w:val="center"/>
              <w:rPr>
                <w:rFonts w:ascii="宋体" w:hAnsi="宋体" w:cs="宋体"/>
                <w:color w:val="000000" w:themeColor="text1"/>
                <w:spacing w:val="-2"/>
                <w:szCs w:val="21"/>
                <w:highlight w:val="none"/>
              </w:rPr>
            </w:pPr>
            <w:r>
              <w:rPr>
                <w:rFonts w:ascii="宋体" w:hAnsi="宋体" w:cs="宋体"/>
                <w:color w:val="000000" w:themeColor="text1"/>
                <w:spacing w:val="-1"/>
                <w:szCs w:val="21"/>
                <w:highlight w:val="none"/>
              </w:rPr>
              <w:t>较大性重复过错</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1" w:line="276" w:lineRule="auto"/>
              <w:ind w:firstLine="21" w:firstLineChars="0"/>
              <w:jc w:val="center"/>
              <w:rPr>
                <w:rFonts w:ascii="宋体" w:hAnsi="宋体" w:cs="宋体"/>
                <w:color w:val="000000" w:themeColor="text1"/>
                <w:spacing w:val="-1"/>
                <w:szCs w:val="21"/>
                <w:highlight w:val="none"/>
              </w:rPr>
            </w:pPr>
            <w:r>
              <w:rPr>
                <w:rFonts w:ascii="宋体" w:hAnsi="宋体" w:cs="宋体"/>
                <w:color w:val="000000" w:themeColor="text1"/>
                <w:spacing w:val="-2"/>
                <w:szCs w:val="21"/>
                <w:highlight w:val="none"/>
              </w:rPr>
              <w:t>一般性事故</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5" w:line="276" w:lineRule="auto"/>
              <w:ind w:firstLine="17" w:firstLineChars="0"/>
              <w:jc w:val="center"/>
              <w:rPr>
                <w:rFonts w:ascii="宋体" w:hAnsi="宋体" w:cs="宋体"/>
                <w:color w:val="000000" w:themeColor="text1"/>
                <w:spacing w:val="-1"/>
                <w:szCs w:val="21"/>
                <w:highlight w:val="none"/>
              </w:rPr>
            </w:pPr>
            <w:r>
              <w:rPr>
                <w:rFonts w:ascii="宋体" w:hAnsi="宋体" w:cs="宋体"/>
                <w:color w:val="000000" w:themeColor="text1"/>
                <w:spacing w:val="-1"/>
                <w:szCs w:val="21"/>
                <w:highlight w:val="none"/>
              </w:rPr>
              <w:t>较大性事故</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vAlign w:val="top"/>
          </w:tcPr>
          <w:p>
            <w:pPr>
              <w:spacing w:before="32" w:line="276" w:lineRule="auto"/>
              <w:ind w:firstLine="18" w:firstLineChars="0"/>
              <w:jc w:val="center"/>
              <w:rPr>
                <w:rFonts w:ascii="宋体" w:hAnsi="宋体" w:cs="宋体"/>
                <w:color w:val="000000" w:themeColor="text1"/>
                <w:spacing w:val="-1"/>
                <w:szCs w:val="21"/>
                <w:highlight w:val="none"/>
              </w:rPr>
            </w:pPr>
            <w:r>
              <w:rPr>
                <w:rFonts w:ascii="宋体" w:hAnsi="宋体" w:cs="宋体"/>
                <w:color w:val="000000" w:themeColor="text1"/>
                <w:spacing w:val="-2"/>
                <w:szCs w:val="21"/>
                <w:highlight w:val="none"/>
              </w:rPr>
              <w:t>重大性事故</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1725" w:type="dxa"/>
            <w:vAlign w:val="top"/>
          </w:tcPr>
          <w:p>
            <w:pPr>
              <w:spacing w:before="34" w:line="276" w:lineRule="auto"/>
              <w:ind w:left="14" w:right="3" w:firstLine="1"/>
              <w:jc w:val="center"/>
              <w:rPr>
                <w:rFonts w:ascii="宋体" w:hAnsi="宋体" w:cs="宋体"/>
                <w:color w:val="000000" w:themeColor="text1"/>
                <w:szCs w:val="21"/>
                <w:highlight w:val="none"/>
              </w:rPr>
            </w:pPr>
            <w:r>
              <w:rPr>
                <w:rFonts w:ascii="宋体" w:hAnsi="宋体" w:cs="宋体"/>
                <w:color w:val="000000" w:themeColor="text1"/>
                <w:spacing w:val="2"/>
                <w:szCs w:val="21"/>
                <w:highlight w:val="none"/>
              </w:rPr>
              <w:t>整体服务综合考核</w:t>
            </w:r>
            <w:r>
              <w:rPr>
                <w:rFonts w:ascii="宋体" w:hAnsi="宋体" w:cs="宋体"/>
                <w:color w:val="000000" w:themeColor="text1"/>
                <w:spacing w:val="-1"/>
                <w:szCs w:val="21"/>
                <w:highlight w:val="none"/>
              </w:rPr>
              <w:t>评分（合计）</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725" w:type="dxa"/>
            <w:vAlign w:val="top"/>
          </w:tcPr>
          <w:p>
            <w:pPr>
              <w:spacing w:before="34" w:line="276" w:lineRule="auto"/>
              <w:ind w:firstLine="437"/>
              <w:rPr>
                <w:rFonts w:ascii="宋体" w:hAnsi="宋体" w:cs="宋体"/>
                <w:color w:val="000000" w:themeColor="text1"/>
                <w:szCs w:val="21"/>
                <w:highlight w:val="none"/>
              </w:rPr>
            </w:pPr>
            <w:r>
              <w:rPr>
                <w:rFonts w:ascii="宋体" w:hAnsi="宋体" w:cs="宋体"/>
                <w:color w:val="000000" w:themeColor="text1"/>
                <w:spacing w:val="-3"/>
                <w:szCs w:val="21"/>
                <w:highlight w:val="none"/>
              </w:rPr>
              <w:t>说明</w:t>
            </w:r>
          </w:p>
        </w:tc>
        <w:tc>
          <w:tcPr>
            <w:tcW w:w="6639" w:type="dxa"/>
            <w:gridSpan w:val="4"/>
            <w:vAlign w:val="top"/>
          </w:tcPr>
          <w:p>
            <w:pPr>
              <w:spacing w:before="35" w:line="276" w:lineRule="auto"/>
              <w:ind w:left="8"/>
              <w:rPr>
                <w:rFonts w:ascii="宋体" w:hAnsi="宋体" w:cs="宋体"/>
                <w:color w:val="000000" w:themeColor="text1"/>
                <w:szCs w:val="21"/>
                <w:highlight w:val="none"/>
              </w:rPr>
            </w:pPr>
            <w:r>
              <w:rPr>
                <w:rFonts w:ascii="宋体" w:hAnsi="宋体" w:cs="宋体"/>
                <w:color w:val="000000" w:themeColor="text1"/>
                <w:spacing w:val="-5"/>
                <w:szCs w:val="21"/>
                <w:highlight w:val="none"/>
              </w:rPr>
              <w:t>考核满分为100分，每获得1个分项：很满意得5分；满意得4分；基本满意得3分；不满意得0分。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725" w:type="dxa"/>
            <w:vAlign w:val="top"/>
          </w:tcPr>
          <w:p>
            <w:pPr>
              <w:spacing w:before="34" w:line="276" w:lineRule="auto"/>
              <w:ind w:firstLine="437"/>
              <w:rPr>
                <w:rFonts w:ascii="宋体" w:hAnsi="宋体" w:cs="宋体"/>
                <w:color w:val="000000" w:themeColor="text1"/>
                <w:szCs w:val="21"/>
                <w:highlight w:val="none"/>
              </w:rPr>
            </w:pPr>
            <w:r>
              <w:rPr>
                <w:rFonts w:ascii="宋体" w:hAnsi="宋体" w:cs="宋体"/>
                <w:color w:val="000000" w:themeColor="text1"/>
                <w:spacing w:val="-2"/>
                <w:szCs w:val="21"/>
                <w:highlight w:val="none"/>
              </w:rPr>
              <w:t>建议意见</w:t>
            </w:r>
          </w:p>
        </w:tc>
        <w:tc>
          <w:tcPr>
            <w:tcW w:w="6639" w:type="dxa"/>
            <w:gridSpan w:val="4"/>
            <w:vAlign w:val="top"/>
          </w:tcPr>
          <w:p>
            <w:pPr>
              <w:spacing w:line="276" w:lineRule="auto"/>
              <w:rPr>
                <w:rFonts w:ascii="宋体" w:hAnsi="宋体"/>
                <w:color w:val="000000" w:themeColor="text1"/>
                <w:szCs w:val="21"/>
                <w:highlight w:val="none"/>
              </w:rPr>
            </w:pPr>
          </w:p>
        </w:tc>
      </w:tr>
    </w:tbl>
    <w:p>
      <w:pPr>
        <w:jc w:val="left"/>
        <w:rPr>
          <w:rFonts w:ascii="宋体" w:hAnsi="宋体" w:cs="宋体"/>
          <w:color w:val="000000" w:themeColor="text1"/>
          <w:spacing w:val="-10"/>
          <w:szCs w:val="21"/>
          <w:highlight w:val="none"/>
        </w:rPr>
      </w:pPr>
      <w:r>
        <w:rPr>
          <w:rFonts w:hint="eastAsia" w:ascii="宋体" w:hAnsi="宋体" w:eastAsia="宋体" w:cs="Times New Roman"/>
          <w:color w:val="000000" w:themeColor="text1"/>
          <w:sz w:val="21"/>
          <w:szCs w:val="21"/>
          <w:highlight w:val="none"/>
          <w:lang w:eastAsia="zh-CN"/>
        </w:rPr>
        <w:t>说明：</w:t>
      </w:r>
      <w:r>
        <w:rPr>
          <w:rFonts w:hint="eastAsia" w:ascii="宋体" w:hAnsi="宋体" w:eastAsia="宋体" w:cs="Times New Roman"/>
          <w:color w:val="000000" w:themeColor="text1"/>
          <w:sz w:val="21"/>
          <w:szCs w:val="21"/>
          <w:highlight w:val="none"/>
          <w:lang w:val="en-US" w:eastAsia="zh-CN"/>
        </w:rPr>
        <w:t>考评单位考核评分（请打“√”）</w:t>
      </w:r>
      <w:r>
        <w:rPr>
          <w:rFonts w:hint="eastAsia" w:ascii="宋体" w:hAnsi="宋体" w:eastAsia="宋体" w:cs="Times New Roman"/>
          <w:color w:val="000000" w:themeColor="text1"/>
          <w:sz w:val="21"/>
          <w:szCs w:val="21"/>
          <w:highlight w:val="none"/>
        </w:rPr>
        <w:br w:type="page"/>
      </w:r>
      <w:r>
        <w:rPr>
          <w:rFonts w:ascii="宋体" w:hAnsi="宋体" w:cs="宋体"/>
          <w:color w:val="000000" w:themeColor="text1"/>
          <w:spacing w:val="-10"/>
          <w:szCs w:val="21"/>
          <w:highlight w:val="none"/>
        </w:rPr>
        <w:t>附</w:t>
      </w:r>
      <w:r>
        <w:rPr>
          <w:rFonts w:hint="eastAsia" w:ascii="宋体" w:hAnsi="宋体" w:cs="宋体"/>
          <w:color w:val="000000" w:themeColor="text1"/>
          <w:spacing w:val="-10"/>
          <w:szCs w:val="21"/>
          <w:highlight w:val="none"/>
          <w:lang w:eastAsia="zh-CN"/>
        </w:rPr>
        <w:t>表</w:t>
      </w:r>
      <w:r>
        <w:rPr>
          <w:rFonts w:ascii="宋体" w:hAnsi="宋体" w:cs="宋体"/>
          <w:color w:val="000000" w:themeColor="text1"/>
          <w:spacing w:val="-10"/>
          <w:szCs w:val="21"/>
          <w:highlight w:val="none"/>
        </w:rPr>
        <w:t>2：</w:t>
      </w:r>
    </w:p>
    <w:p>
      <w:pPr>
        <w:pStyle w:val="2"/>
        <w:rPr>
          <w:color w:val="000000" w:themeColor="text1"/>
          <w:highlight w:val="none"/>
        </w:rPr>
      </w:pPr>
    </w:p>
    <w:p>
      <w:pPr>
        <w:spacing w:line="276" w:lineRule="auto"/>
        <w:ind w:firstLine="0" w:firstLineChars="0"/>
        <w:jc w:val="center"/>
        <w:rPr>
          <w:color w:val="000000" w:themeColor="text1"/>
          <w:highlight w:val="none"/>
        </w:rPr>
      </w:pPr>
      <w:r>
        <w:rPr>
          <w:rFonts w:hint="eastAsia" w:ascii="宋体" w:hAnsi="宋体" w:cs="宋体"/>
          <w:color w:val="000000" w:themeColor="text1"/>
          <w:spacing w:val="-3"/>
          <w:szCs w:val="21"/>
          <w:highlight w:val="none"/>
          <w:lang w:eastAsia="zh-CN"/>
        </w:rPr>
        <w:t>劳务外包服务</w:t>
      </w:r>
      <w:r>
        <w:rPr>
          <w:rFonts w:hint="eastAsia" w:ascii="宋体" w:hAnsi="宋体" w:cs="宋体"/>
          <w:color w:val="000000" w:themeColor="text1"/>
          <w:spacing w:val="-3"/>
          <w:szCs w:val="21"/>
          <w:highlight w:val="none"/>
        </w:rPr>
        <w:t>综合考评统计表</w:t>
      </w:r>
    </w:p>
    <w:tbl>
      <w:tblPr>
        <w:tblStyle w:val="46"/>
        <w:tblpPr w:leftFromText="180" w:rightFromText="180" w:vertAnchor="text" w:horzAnchor="page" w:tblpX="1725" w:tblpY="257"/>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4"/>
        <w:gridCol w:w="709"/>
        <w:gridCol w:w="707"/>
        <w:gridCol w:w="850"/>
        <w:gridCol w:w="1133"/>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684" w:type="dxa"/>
            <w:shd w:val="clear" w:color="auto" w:fill="FFFFFF"/>
            <w:vAlign w:val="top"/>
          </w:tcPr>
          <w:p>
            <w:pPr>
              <w:spacing w:before="34" w:line="276" w:lineRule="auto"/>
              <w:ind w:firstLine="1643"/>
              <w:rPr>
                <w:rFonts w:ascii="宋体" w:hAnsi="宋体" w:cs="宋体"/>
                <w:color w:val="000000" w:themeColor="text1"/>
                <w:szCs w:val="21"/>
                <w:highlight w:val="none"/>
              </w:rPr>
            </w:pPr>
            <w:r>
              <w:rPr>
                <w:rFonts w:ascii="宋体" w:hAnsi="宋体" w:cs="宋体"/>
                <w:color w:val="000000" w:themeColor="text1"/>
                <w:spacing w:val="-3"/>
                <w:szCs w:val="21"/>
                <w:highlight w:val="none"/>
              </w:rPr>
              <w:t>项目</w:t>
            </w:r>
          </w:p>
        </w:tc>
        <w:tc>
          <w:tcPr>
            <w:tcW w:w="709" w:type="dxa"/>
            <w:shd w:val="clear" w:color="auto" w:fill="FFFFFF"/>
            <w:vAlign w:val="top"/>
          </w:tcPr>
          <w:p>
            <w:pPr>
              <w:spacing w:before="34" w:line="276" w:lineRule="auto"/>
              <w:ind w:firstLine="115"/>
              <w:rPr>
                <w:rFonts w:ascii="宋体" w:hAnsi="宋体" w:cs="宋体"/>
                <w:color w:val="000000" w:themeColor="text1"/>
                <w:szCs w:val="21"/>
                <w:highlight w:val="none"/>
              </w:rPr>
            </w:pPr>
            <w:r>
              <w:rPr>
                <w:rFonts w:ascii="宋体" w:hAnsi="宋体" w:cs="宋体"/>
                <w:color w:val="000000" w:themeColor="text1"/>
                <w:spacing w:val="-2"/>
                <w:szCs w:val="21"/>
                <w:highlight w:val="none"/>
              </w:rPr>
              <w:t>加分</w:t>
            </w:r>
          </w:p>
        </w:tc>
        <w:tc>
          <w:tcPr>
            <w:tcW w:w="707" w:type="dxa"/>
            <w:shd w:val="clear" w:color="auto" w:fill="FFFFFF"/>
            <w:vAlign w:val="top"/>
          </w:tcPr>
          <w:p>
            <w:pPr>
              <w:spacing w:before="34" w:line="276" w:lineRule="auto"/>
              <w:ind w:firstLine="140"/>
              <w:rPr>
                <w:rFonts w:ascii="宋体" w:hAnsi="宋体" w:cs="宋体"/>
                <w:color w:val="000000" w:themeColor="text1"/>
                <w:szCs w:val="21"/>
                <w:highlight w:val="none"/>
              </w:rPr>
            </w:pPr>
            <w:r>
              <w:rPr>
                <w:rFonts w:ascii="宋体" w:hAnsi="宋体" w:cs="宋体"/>
                <w:color w:val="000000" w:themeColor="text1"/>
                <w:spacing w:val="-3"/>
                <w:szCs w:val="21"/>
                <w:highlight w:val="none"/>
              </w:rPr>
              <w:t>扣分</w:t>
            </w:r>
          </w:p>
        </w:tc>
        <w:tc>
          <w:tcPr>
            <w:tcW w:w="850" w:type="dxa"/>
            <w:shd w:val="clear" w:color="auto" w:fill="FFFFFF"/>
            <w:vAlign w:val="top"/>
          </w:tcPr>
          <w:p>
            <w:pPr>
              <w:spacing w:before="34" w:line="276" w:lineRule="auto"/>
              <w:ind w:firstLine="252"/>
              <w:rPr>
                <w:rFonts w:ascii="宋体" w:hAnsi="宋体" w:cs="宋体"/>
                <w:color w:val="000000" w:themeColor="text1"/>
                <w:szCs w:val="21"/>
                <w:highlight w:val="none"/>
              </w:rPr>
            </w:pPr>
            <w:r>
              <w:rPr>
                <w:rFonts w:ascii="宋体" w:hAnsi="宋体" w:cs="宋体"/>
                <w:color w:val="000000" w:themeColor="text1"/>
                <w:spacing w:val="-2"/>
                <w:szCs w:val="21"/>
                <w:highlight w:val="none"/>
              </w:rPr>
              <w:t>合计</w:t>
            </w:r>
          </w:p>
        </w:tc>
        <w:tc>
          <w:tcPr>
            <w:tcW w:w="1133" w:type="dxa"/>
            <w:shd w:val="clear" w:color="auto" w:fill="FFFFFF"/>
            <w:vAlign w:val="top"/>
          </w:tcPr>
          <w:p>
            <w:pPr>
              <w:spacing w:before="34" w:line="276" w:lineRule="auto"/>
              <w:ind w:firstLine="135"/>
              <w:rPr>
                <w:rFonts w:ascii="宋体" w:hAnsi="宋体" w:cs="宋体"/>
                <w:color w:val="000000" w:themeColor="text1"/>
                <w:szCs w:val="21"/>
                <w:highlight w:val="none"/>
              </w:rPr>
            </w:pPr>
            <w:r>
              <w:rPr>
                <w:rFonts w:hint="eastAsia" w:ascii="宋体" w:hAnsi="宋体" w:cs="宋体"/>
                <w:color w:val="000000" w:themeColor="text1"/>
                <w:spacing w:val="-3"/>
                <w:szCs w:val="21"/>
                <w:highlight w:val="none"/>
                <w:lang w:val="en-US" w:eastAsia="zh-CN"/>
              </w:rPr>
              <w:t>扣减</w:t>
            </w:r>
            <w:r>
              <w:rPr>
                <w:rFonts w:ascii="宋体" w:hAnsi="宋体" w:cs="宋体"/>
                <w:color w:val="000000" w:themeColor="text1"/>
                <w:spacing w:val="-3"/>
                <w:szCs w:val="21"/>
                <w:highlight w:val="none"/>
              </w:rPr>
              <w:t>金额</w:t>
            </w:r>
          </w:p>
        </w:tc>
        <w:tc>
          <w:tcPr>
            <w:tcW w:w="1149" w:type="dxa"/>
            <w:shd w:val="clear" w:color="auto" w:fill="FFFFFF"/>
            <w:vAlign w:val="top"/>
          </w:tcPr>
          <w:p>
            <w:pPr>
              <w:spacing w:before="34" w:line="276" w:lineRule="auto"/>
              <w:ind w:firstLine="391"/>
              <w:rPr>
                <w:rFonts w:ascii="宋体" w:hAnsi="宋体" w:cs="宋体"/>
                <w:color w:val="000000" w:themeColor="text1"/>
                <w:szCs w:val="21"/>
                <w:highlight w:val="none"/>
              </w:rPr>
            </w:pPr>
            <w:r>
              <w:rPr>
                <w:rFonts w:ascii="宋体" w:hAnsi="宋体" w:cs="宋体"/>
                <w:color w:val="000000" w:themeColor="text1"/>
                <w:spacing w:val="-3"/>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84" w:type="dxa"/>
            <w:shd w:val="clear" w:color="auto" w:fill="FFFFFF"/>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管理服务综合考评</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服务管理奖罚</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84" w:type="dxa"/>
            <w:shd w:val="clear" w:color="auto" w:fill="FFFFFF"/>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2"/>
                <w:szCs w:val="21"/>
                <w:highlight w:val="none"/>
              </w:rPr>
              <w:t>全勤奖励</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28" w:line="276" w:lineRule="auto"/>
              <w:ind w:firstLine="17"/>
              <w:rPr>
                <w:rFonts w:hint="eastAsia" w:ascii="宋体" w:hAnsi="宋体" w:eastAsia="宋体" w:cs="宋体"/>
                <w:color w:val="000000" w:themeColor="text1"/>
                <w:szCs w:val="21"/>
                <w:highlight w:val="none"/>
                <w:lang w:eastAsia="zh-CN"/>
              </w:rPr>
            </w:pPr>
            <w:r>
              <w:rPr>
                <w:rFonts w:ascii="宋体" w:hAnsi="宋体" w:cs="宋体"/>
                <w:color w:val="000000" w:themeColor="text1"/>
                <w:spacing w:val="-2"/>
                <w:szCs w:val="21"/>
                <w:highlight w:val="none"/>
              </w:rPr>
              <w:t>缺勤</w:t>
            </w:r>
            <w:r>
              <w:rPr>
                <w:rFonts w:hint="eastAsia" w:ascii="宋体" w:hAnsi="宋体" w:cs="宋体"/>
                <w:color w:val="000000" w:themeColor="text1"/>
                <w:spacing w:val="-2"/>
                <w:szCs w:val="21"/>
                <w:highlight w:val="none"/>
                <w:lang w:val="en-US" w:eastAsia="zh-CN"/>
              </w:rPr>
              <w:t>处理</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3684" w:type="dxa"/>
            <w:shd w:val="clear" w:color="auto" w:fill="FFFFFF"/>
            <w:vAlign w:val="top"/>
          </w:tcPr>
          <w:p>
            <w:pPr>
              <w:spacing w:before="30" w:line="276" w:lineRule="auto"/>
              <w:ind w:left="17" w:right="25" w:hanging="1"/>
              <w:rPr>
                <w:rFonts w:ascii="宋体" w:hAnsi="宋体" w:cs="宋体"/>
                <w:color w:val="000000" w:themeColor="text1"/>
                <w:szCs w:val="21"/>
                <w:highlight w:val="none"/>
              </w:rPr>
            </w:pPr>
            <w:r>
              <w:rPr>
                <w:rFonts w:ascii="宋体" w:hAnsi="宋体" w:cs="宋体"/>
                <w:color w:val="000000" w:themeColor="text1"/>
                <w:spacing w:val="5"/>
                <w:szCs w:val="21"/>
                <w:highlight w:val="none"/>
              </w:rPr>
              <w:t>在经营活动中违反税收法规财务制度及</w:t>
            </w:r>
            <w:r>
              <w:rPr>
                <w:rFonts w:ascii="宋体" w:hAnsi="宋体" w:cs="宋体"/>
                <w:color w:val="000000" w:themeColor="text1"/>
                <w:spacing w:val="-1"/>
                <w:szCs w:val="21"/>
                <w:highlight w:val="none"/>
              </w:rPr>
              <w:t>其他违法违规记录</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0" w:line="276" w:lineRule="auto"/>
              <w:ind w:firstLine="16"/>
              <w:rPr>
                <w:rFonts w:ascii="宋体" w:hAnsi="宋体" w:cs="宋体"/>
                <w:color w:val="000000" w:themeColor="text1"/>
                <w:szCs w:val="21"/>
                <w:highlight w:val="none"/>
              </w:rPr>
            </w:pPr>
            <w:r>
              <w:rPr>
                <w:rFonts w:ascii="宋体" w:hAnsi="宋体" w:cs="宋体"/>
                <w:color w:val="000000" w:themeColor="text1"/>
                <w:spacing w:val="-1"/>
                <w:szCs w:val="21"/>
                <w:highlight w:val="none"/>
              </w:rPr>
              <w:t>在经营中未能履行合同承诺</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684" w:type="dxa"/>
            <w:tcBorders>
              <w:bottom w:val="nil"/>
            </w:tcBorders>
            <w:shd w:val="clear" w:color="auto" w:fill="FFFFFF"/>
            <w:vAlign w:val="top"/>
          </w:tcPr>
          <w:p>
            <w:pPr>
              <w:spacing w:before="30" w:line="276" w:lineRule="auto"/>
              <w:ind w:firstLine="21"/>
              <w:rPr>
                <w:rFonts w:ascii="宋体" w:hAnsi="宋体" w:cs="宋体"/>
                <w:color w:val="000000" w:themeColor="text1"/>
                <w:szCs w:val="21"/>
                <w:highlight w:val="none"/>
              </w:rPr>
            </w:pPr>
            <w:r>
              <w:rPr>
                <w:rFonts w:ascii="宋体" w:hAnsi="宋体" w:cs="宋体"/>
                <w:color w:val="000000" w:themeColor="text1"/>
                <w:spacing w:val="-1"/>
                <w:szCs w:val="21"/>
                <w:highlight w:val="none"/>
              </w:rPr>
              <w:t>浪费水、电、消耗品等公共资源</w:t>
            </w:r>
          </w:p>
        </w:tc>
        <w:tc>
          <w:tcPr>
            <w:tcW w:w="709" w:type="dxa"/>
            <w:tcBorders>
              <w:bottom w:val="nil"/>
            </w:tcBorders>
            <w:shd w:val="clear" w:color="auto" w:fill="FFFFFF"/>
            <w:vAlign w:val="top"/>
          </w:tcPr>
          <w:p>
            <w:pPr>
              <w:spacing w:line="276" w:lineRule="auto"/>
              <w:rPr>
                <w:rFonts w:ascii="宋体" w:hAnsi="宋体"/>
                <w:color w:val="000000" w:themeColor="text1"/>
                <w:szCs w:val="21"/>
                <w:highlight w:val="none"/>
              </w:rPr>
            </w:pPr>
          </w:p>
        </w:tc>
        <w:tc>
          <w:tcPr>
            <w:tcW w:w="707" w:type="dxa"/>
            <w:tcBorders>
              <w:bottom w:val="nil"/>
            </w:tcBorders>
            <w:shd w:val="clear" w:color="auto" w:fill="FFFFFF"/>
            <w:vAlign w:val="top"/>
          </w:tcPr>
          <w:p>
            <w:pPr>
              <w:spacing w:line="276" w:lineRule="auto"/>
              <w:rPr>
                <w:rFonts w:ascii="宋体" w:hAnsi="宋体"/>
                <w:color w:val="000000" w:themeColor="text1"/>
                <w:szCs w:val="21"/>
                <w:highlight w:val="none"/>
              </w:rPr>
            </w:pPr>
          </w:p>
        </w:tc>
        <w:tc>
          <w:tcPr>
            <w:tcW w:w="850" w:type="dxa"/>
            <w:tcBorders>
              <w:bottom w:val="nil"/>
            </w:tcBorders>
            <w:shd w:val="clear" w:color="auto" w:fill="FFFFFF"/>
            <w:vAlign w:val="top"/>
          </w:tcPr>
          <w:p>
            <w:pPr>
              <w:spacing w:line="276" w:lineRule="auto"/>
              <w:rPr>
                <w:rFonts w:ascii="宋体" w:hAnsi="宋体"/>
                <w:color w:val="000000" w:themeColor="text1"/>
                <w:szCs w:val="21"/>
                <w:highlight w:val="none"/>
              </w:rPr>
            </w:pPr>
          </w:p>
        </w:tc>
        <w:tc>
          <w:tcPr>
            <w:tcW w:w="1133" w:type="dxa"/>
            <w:tcBorders>
              <w:bottom w:val="nil"/>
            </w:tcBorders>
            <w:shd w:val="clear" w:color="auto" w:fill="FFFFFF"/>
            <w:vAlign w:val="top"/>
          </w:tcPr>
          <w:p>
            <w:pPr>
              <w:spacing w:line="276" w:lineRule="auto"/>
              <w:rPr>
                <w:rFonts w:ascii="宋体" w:hAnsi="宋体"/>
                <w:color w:val="000000" w:themeColor="text1"/>
                <w:szCs w:val="21"/>
                <w:highlight w:val="none"/>
              </w:rPr>
            </w:pPr>
          </w:p>
        </w:tc>
        <w:tc>
          <w:tcPr>
            <w:tcW w:w="1149" w:type="dxa"/>
            <w:tcBorders>
              <w:bottom w:val="nil"/>
            </w:tcBorders>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684" w:type="dxa"/>
            <w:tcBorders>
              <w:top w:val="single" w:color="auto" w:sz="4" w:space="0"/>
            </w:tcBorders>
            <w:shd w:val="clear" w:color="auto" w:fill="FFFFFF"/>
            <w:vAlign w:val="top"/>
          </w:tcPr>
          <w:p>
            <w:pPr>
              <w:spacing w:before="34"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一般性失误</w:t>
            </w:r>
          </w:p>
        </w:tc>
        <w:tc>
          <w:tcPr>
            <w:tcW w:w="709"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c>
          <w:tcPr>
            <w:tcW w:w="707"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c>
          <w:tcPr>
            <w:tcW w:w="850"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c>
          <w:tcPr>
            <w:tcW w:w="1133"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c>
          <w:tcPr>
            <w:tcW w:w="1149"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1"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一般性重复失误</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一般性重复过错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0"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较大性重复过错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0" w:line="276" w:lineRule="auto"/>
              <w:ind w:firstLine="18"/>
              <w:rPr>
                <w:rFonts w:ascii="宋体" w:hAnsi="宋体" w:cs="宋体"/>
                <w:color w:val="000000" w:themeColor="text1"/>
                <w:szCs w:val="21"/>
                <w:highlight w:val="none"/>
              </w:rPr>
            </w:pPr>
            <w:r>
              <w:rPr>
                <w:rFonts w:ascii="宋体" w:hAnsi="宋体" w:cs="宋体"/>
                <w:color w:val="000000" w:themeColor="text1"/>
                <w:spacing w:val="-2"/>
                <w:szCs w:val="21"/>
                <w:highlight w:val="none"/>
              </w:rPr>
              <w:t>重大性过错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0"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重大性重复大过错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1"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一般性事故</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5"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较大性事故</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2" w:line="276" w:lineRule="auto"/>
              <w:ind w:firstLine="18"/>
              <w:rPr>
                <w:rFonts w:ascii="宋体" w:hAnsi="宋体" w:cs="宋体"/>
                <w:color w:val="000000" w:themeColor="text1"/>
                <w:szCs w:val="21"/>
                <w:highlight w:val="none"/>
              </w:rPr>
            </w:pPr>
            <w:r>
              <w:rPr>
                <w:rFonts w:ascii="宋体" w:hAnsi="宋体" w:cs="宋体"/>
                <w:color w:val="000000" w:themeColor="text1"/>
                <w:spacing w:val="-2"/>
                <w:szCs w:val="21"/>
                <w:highlight w:val="none"/>
              </w:rPr>
              <w:t>重大性事故</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684" w:type="dxa"/>
            <w:shd w:val="clear" w:color="auto" w:fill="FFFFFF"/>
            <w:vAlign w:val="top"/>
          </w:tcPr>
          <w:p>
            <w:pPr>
              <w:spacing w:before="34" w:line="276" w:lineRule="auto"/>
              <w:ind w:left="20" w:right="25" w:hanging="3"/>
              <w:rPr>
                <w:rFonts w:ascii="宋体" w:hAnsi="宋体" w:cs="宋体"/>
                <w:color w:val="000000" w:themeColor="text1"/>
                <w:szCs w:val="21"/>
                <w:highlight w:val="none"/>
              </w:rPr>
            </w:pPr>
            <w:r>
              <w:rPr>
                <w:rFonts w:ascii="宋体" w:hAnsi="宋体" w:cs="宋体"/>
                <w:color w:val="000000" w:themeColor="text1"/>
                <w:spacing w:val="5"/>
                <w:szCs w:val="21"/>
                <w:highlight w:val="none"/>
              </w:rPr>
              <w:t>违反工作纪律、违返操作规程、违反各</w:t>
            </w:r>
            <w:r>
              <w:rPr>
                <w:rFonts w:ascii="宋体" w:hAnsi="宋体" w:cs="宋体"/>
                <w:color w:val="000000" w:themeColor="text1"/>
                <w:spacing w:val="-2"/>
                <w:szCs w:val="21"/>
                <w:highlight w:val="none"/>
              </w:rPr>
              <w:t>项管理制度</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3" w:line="276" w:lineRule="auto"/>
              <w:ind w:firstLine="27"/>
              <w:rPr>
                <w:rFonts w:ascii="宋体" w:hAnsi="宋体" w:cs="宋体"/>
                <w:color w:val="000000" w:themeColor="text1"/>
                <w:szCs w:val="21"/>
                <w:highlight w:val="none"/>
              </w:rPr>
            </w:pPr>
            <w:r>
              <w:rPr>
                <w:rFonts w:ascii="宋体" w:hAnsi="宋体" w:cs="宋体"/>
                <w:color w:val="000000" w:themeColor="text1"/>
                <w:spacing w:val="-2"/>
                <w:szCs w:val="21"/>
                <w:highlight w:val="none"/>
              </w:rPr>
              <w:t>噪音、气味等干扰工作秩序</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3"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招标文件和合同约定的其它相关事项</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3"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招标文件带星号条款</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684" w:type="dxa"/>
            <w:shd w:val="clear" w:color="auto" w:fill="FFFFFF"/>
            <w:vAlign w:val="top"/>
          </w:tcPr>
          <w:p>
            <w:pPr>
              <w:spacing w:before="34" w:line="276" w:lineRule="auto"/>
              <w:ind w:firstLine="20"/>
              <w:rPr>
                <w:rFonts w:ascii="宋体" w:hAnsi="宋体" w:cs="宋体"/>
                <w:color w:val="000000" w:themeColor="text1"/>
                <w:szCs w:val="21"/>
                <w:highlight w:val="none"/>
              </w:rPr>
            </w:pPr>
            <w:r>
              <w:rPr>
                <w:rFonts w:ascii="宋体" w:hAnsi="宋体" w:cs="宋体"/>
                <w:color w:val="000000" w:themeColor="text1"/>
                <w:spacing w:val="-3"/>
                <w:szCs w:val="21"/>
                <w:highlight w:val="none"/>
              </w:rPr>
              <w:t>总计</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bl>
    <w:p>
      <w:pPr>
        <w:spacing w:before="68" w:line="276" w:lineRule="auto"/>
        <w:ind w:firstLine="474"/>
        <w:rPr>
          <w:rFonts w:ascii="宋体" w:hAnsi="宋体" w:cs="宋体"/>
          <w:color w:val="000000" w:themeColor="text1"/>
          <w:spacing w:val="-9"/>
          <w:szCs w:val="21"/>
          <w:highlight w:val="none"/>
        </w:rPr>
      </w:pPr>
    </w:p>
    <w:p>
      <w:pPr>
        <w:spacing w:before="68" w:line="276" w:lineRule="auto"/>
        <w:ind w:firstLine="474"/>
        <w:rPr>
          <w:rFonts w:ascii="宋体" w:hAnsi="宋体" w:cs="宋体"/>
          <w:color w:val="000000" w:themeColor="text1"/>
          <w:szCs w:val="21"/>
          <w:highlight w:val="none"/>
        </w:rPr>
      </w:pPr>
      <w:r>
        <w:rPr>
          <w:rFonts w:ascii="宋体" w:hAnsi="宋体"/>
          <w:color w:val="000000" w:themeColor="text1"/>
          <w:szCs w:val="21"/>
          <w:highlight w:val="none"/>
        </w:rPr>
        <w:br w:type="page"/>
      </w:r>
      <w:r>
        <w:rPr>
          <w:rFonts w:hint="eastAsia" w:ascii="宋体" w:hAnsi="宋体" w:cs="宋体"/>
          <w:color w:val="000000" w:themeColor="text1"/>
          <w:spacing w:val="-9"/>
          <w:szCs w:val="21"/>
          <w:highlight w:val="none"/>
        </w:rPr>
        <w:t>附表</w:t>
      </w:r>
      <w:r>
        <w:rPr>
          <w:rFonts w:ascii="宋体" w:hAnsi="宋体" w:cs="宋体"/>
          <w:color w:val="000000" w:themeColor="text1"/>
          <w:spacing w:val="-9"/>
          <w:szCs w:val="21"/>
          <w:highlight w:val="none"/>
        </w:rPr>
        <w:t>3：</w:t>
      </w:r>
    </w:p>
    <w:p>
      <w:pPr>
        <w:spacing w:before="196" w:line="276" w:lineRule="auto"/>
        <w:ind w:firstLine="3058"/>
        <w:rPr>
          <w:rFonts w:ascii="宋体" w:hAnsi="宋体" w:cs="宋体"/>
          <w:color w:val="000000" w:themeColor="text1"/>
          <w:szCs w:val="21"/>
          <w:highlight w:val="none"/>
        </w:rPr>
      </w:pPr>
      <w:r>
        <w:rPr>
          <w:rFonts w:hint="eastAsia" w:ascii="宋体" w:hAnsi="宋体" w:cs="宋体"/>
          <w:color w:val="000000" w:themeColor="text1"/>
          <w:spacing w:val="-4"/>
          <w:szCs w:val="21"/>
          <w:highlight w:val="none"/>
          <w:lang w:eastAsia="zh-CN"/>
        </w:rPr>
        <w:t>劳务外包服务</w:t>
      </w:r>
      <w:r>
        <w:rPr>
          <w:rFonts w:hint="eastAsia" w:ascii="宋体" w:hAnsi="宋体" w:cs="宋体"/>
          <w:color w:val="000000" w:themeColor="text1"/>
          <w:spacing w:val="-4"/>
          <w:szCs w:val="21"/>
          <w:highlight w:val="none"/>
          <w:lang w:val="en-US" w:eastAsia="zh-CN"/>
        </w:rPr>
        <w:t>处理</w:t>
      </w:r>
      <w:r>
        <w:rPr>
          <w:rFonts w:ascii="宋体" w:hAnsi="宋体" w:cs="宋体"/>
          <w:color w:val="000000" w:themeColor="text1"/>
          <w:spacing w:val="-4"/>
          <w:szCs w:val="21"/>
          <w:highlight w:val="none"/>
        </w:rPr>
        <w:t>单（参考表格）</w:t>
      </w:r>
    </w:p>
    <w:p>
      <w:pPr>
        <w:spacing w:line="276" w:lineRule="auto"/>
        <w:rPr>
          <w:rFonts w:ascii="宋体" w:hAnsi="宋体"/>
          <w:color w:val="000000" w:themeColor="text1"/>
          <w:szCs w:val="21"/>
          <w:highlight w:val="none"/>
        </w:rPr>
      </w:pPr>
    </w:p>
    <w:tbl>
      <w:tblPr>
        <w:tblStyle w:val="46"/>
        <w:tblW w:w="0" w:type="auto"/>
        <w:tblInd w:w="4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1"/>
        <w:gridCol w:w="1160"/>
        <w:gridCol w:w="360"/>
        <w:gridCol w:w="452"/>
        <w:gridCol w:w="1061"/>
        <w:gridCol w:w="1057"/>
        <w:gridCol w:w="466"/>
        <w:gridCol w:w="1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81" w:type="dxa"/>
            <w:shd w:val="clear" w:color="auto" w:fill="FFFFFF"/>
            <w:vAlign w:val="top"/>
          </w:tcPr>
          <w:p>
            <w:pPr>
              <w:spacing w:before="34" w:line="276" w:lineRule="auto"/>
              <w:ind w:firstLine="20"/>
              <w:rPr>
                <w:rFonts w:ascii="宋体" w:hAnsi="宋体" w:cs="宋体"/>
                <w:color w:val="000000" w:themeColor="text1"/>
                <w:szCs w:val="21"/>
                <w:highlight w:val="none"/>
              </w:rPr>
            </w:pPr>
            <w:r>
              <w:rPr>
                <w:rFonts w:ascii="宋体" w:hAnsi="宋体" w:cs="宋体"/>
                <w:color w:val="000000" w:themeColor="text1"/>
                <w:spacing w:val="3"/>
                <w:szCs w:val="21"/>
                <w:highlight w:val="none"/>
              </w:rPr>
              <w:t>投诉单位（部门</w:t>
            </w:r>
            <w:r>
              <w:rPr>
                <w:rFonts w:ascii="宋体" w:hAnsi="宋体" w:cs="宋体"/>
                <w:color w:val="000000" w:themeColor="text1"/>
                <w:spacing w:val="-60"/>
                <w:szCs w:val="21"/>
                <w:highlight w:val="none"/>
              </w:rPr>
              <w:t>）：</w:t>
            </w:r>
          </w:p>
        </w:tc>
        <w:tc>
          <w:tcPr>
            <w:tcW w:w="1520" w:type="dxa"/>
            <w:gridSpan w:val="2"/>
            <w:shd w:val="clear" w:color="auto" w:fill="FFFFFF"/>
            <w:vAlign w:val="top"/>
          </w:tcPr>
          <w:p>
            <w:pPr>
              <w:spacing w:before="34" w:line="276" w:lineRule="auto"/>
              <w:ind w:firstLine="46"/>
              <w:rPr>
                <w:rFonts w:ascii="宋体" w:hAnsi="宋体" w:cs="宋体"/>
                <w:color w:val="000000" w:themeColor="text1"/>
                <w:szCs w:val="21"/>
                <w:highlight w:val="none"/>
              </w:rPr>
            </w:pPr>
            <w:r>
              <w:rPr>
                <w:rFonts w:ascii="宋体" w:hAnsi="宋体" w:cs="宋体"/>
                <w:color w:val="000000" w:themeColor="text1"/>
                <w:spacing w:val="-2"/>
                <w:szCs w:val="21"/>
                <w:highlight w:val="none"/>
              </w:rPr>
              <w:t>投诉人：</w:t>
            </w:r>
          </w:p>
        </w:tc>
        <w:tc>
          <w:tcPr>
            <w:tcW w:w="1513" w:type="dxa"/>
            <w:gridSpan w:val="2"/>
            <w:shd w:val="clear" w:color="auto" w:fill="FFFFFF"/>
            <w:vAlign w:val="top"/>
          </w:tcPr>
          <w:p>
            <w:pPr>
              <w:spacing w:before="34" w:line="276" w:lineRule="auto"/>
              <w:ind w:firstLine="52"/>
              <w:rPr>
                <w:rFonts w:ascii="宋体" w:hAnsi="宋体" w:cs="宋体"/>
                <w:color w:val="000000" w:themeColor="text1"/>
                <w:szCs w:val="21"/>
                <w:highlight w:val="none"/>
              </w:rPr>
            </w:pPr>
            <w:r>
              <w:rPr>
                <w:rFonts w:ascii="宋体" w:hAnsi="宋体" w:cs="宋体"/>
                <w:color w:val="000000" w:themeColor="text1"/>
                <w:spacing w:val="-2"/>
                <w:szCs w:val="21"/>
                <w:highlight w:val="none"/>
              </w:rPr>
              <w:t>证明人：</w:t>
            </w:r>
          </w:p>
        </w:tc>
        <w:tc>
          <w:tcPr>
            <w:tcW w:w="1523" w:type="dxa"/>
            <w:gridSpan w:val="2"/>
            <w:shd w:val="clear" w:color="auto" w:fill="FFFFFF"/>
            <w:vAlign w:val="top"/>
          </w:tcPr>
          <w:p>
            <w:pPr>
              <w:spacing w:before="34" w:line="276" w:lineRule="auto"/>
              <w:ind w:firstLine="61"/>
              <w:rPr>
                <w:rFonts w:ascii="宋体" w:hAnsi="宋体" w:cs="宋体"/>
                <w:color w:val="000000" w:themeColor="text1"/>
                <w:szCs w:val="21"/>
                <w:highlight w:val="none"/>
              </w:rPr>
            </w:pPr>
            <w:r>
              <w:rPr>
                <w:rFonts w:ascii="宋体" w:hAnsi="宋体" w:cs="宋体"/>
                <w:color w:val="000000" w:themeColor="text1"/>
                <w:spacing w:val="-7"/>
                <w:szCs w:val="21"/>
                <w:highlight w:val="none"/>
              </w:rPr>
              <w:t>投诉现场：</w:t>
            </w:r>
          </w:p>
        </w:tc>
        <w:tc>
          <w:tcPr>
            <w:tcW w:w="1597" w:type="dxa"/>
            <w:shd w:val="clear" w:color="auto" w:fill="FFFFFF"/>
            <w:vAlign w:val="top"/>
          </w:tcPr>
          <w:p>
            <w:pPr>
              <w:spacing w:before="34" w:line="276" w:lineRule="auto"/>
              <w:ind w:firstLine="69"/>
              <w:rPr>
                <w:rFonts w:ascii="宋体" w:hAnsi="宋体" w:cs="宋体"/>
                <w:color w:val="000000" w:themeColor="text1"/>
                <w:szCs w:val="21"/>
                <w:highlight w:val="none"/>
              </w:rPr>
            </w:pPr>
            <w:r>
              <w:rPr>
                <w:rFonts w:hint="eastAsia" w:ascii="宋体" w:hAnsi="宋体" w:cs="宋体"/>
                <w:color w:val="000000" w:themeColor="text1"/>
                <w:spacing w:val="-7"/>
                <w:szCs w:val="21"/>
                <w:highlight w:val="none"/>
                <w:lang w:val="en-US" w:eastAsia="zh-CN"/>
              </w:rPr>
              <w:t>处理</w:t>
            </w:r>
            <w:r>
              <w:rPr>
                <w:rFonts w:ascii="宋体" w:hAnsi="宋体" w:cs="宋体"/>
                <w:color w:val="000000" w:themeColor="text1"/>
                <w:spacing w:val="-7"/>
                <w:szCs w:val="21"/>
                <w:highlight w:val="none"/>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434" w:type="dxa"/>
            <w:gridSpan w:val="8"/>
            <w:shd w:val="clear" w:color="auto" w:fill="FFFFFF"/>
            <w:vAlign w:val="top"/>
          </w:tcPr>
          <w:p>
            <w:pPr>
              <w:spacing w:before="29" w:line="276" w:lineRule="auto"/>
              <w:ind w:firstLine="21"/>
              <w:rPr>
                <w:rFonts w:ascii="宋体" w:hAnsi="宋体" w:cs="宋体"/>
                <w:color w:val="000000" w:themeColor="text1"/>
                <w:szCs w:val="21"/>
                <w:highlight w:val="none"/>
              </w:rPr>
            </w:pPr>
            <w:r>
              <w:rPr>
                <w:rFonts w:hint="eastAsia" w:ascii="宋体" w:hAnsi="宋体" w:cs="宋体"/>
                <w:color w:val="000000" w:themeColor="text1"/>
                <w:spacing w:val="-7"/>
                <w:szCs w:val="21"/>
                <w:highlight w:val="none"/>
                <w:lang w:val="en-US" w:eastAsia="zh-CN"/>
              </w:rPr>
              <w:t>处理</w:t>
            </w:r>
            <w:r>
              <w:rPr>
                <w:rFonts w:ascii="宋体" w:hAnsi="宋体" w:cs="宋体"/>
                <w:color w:val="000000" w:themeColor="text1"/>
                <w:spacing w:val="-7"/>
                <w:szCs w:val="21"/>
                <w:highlight w:val="none"/>
              </w:rPr>
              <w:t>事由：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434" w:type="dxa"/>
            <w:gridSpan w:val="8"/>
            <w:shd w:val="clear" w:color="auto" w:fill="FFFFFF"/>
            <w:vAlign w:val="top"/>
          </w:tcPr>
          <w:p>
            <w:pPr>
              <w:spacing w:before="30" w:line="276" w:lineRule="auto"/>
              <w:ind w:firstLine="16"/>
              <w:rPr>
                <w:rFonts w:ascii="宋体" w:hAnsi="宋体" w:cs="宋体"/>
                <w:color w:val="000000" w:themeColor="text1"/>
                <w:szCs w:val="21"/>
                <w:highlight w:val="none"/>
              </w:rPr>
            </w:pPr>
            <w:r>
              <w:rPr>
                <w:rFonts w:ascii="宋体" w:hAnsi="宋体" w:cs="宋体"/>
                <w:color w:val="000000" w:themeColor="text1"/>
                <w:spacing w:val="-6"/>
                <w:szCs w:val="21"/>
                <w:highlight w:val="none"/>
              </w:rPr>
              <w:t>对应条款：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81" w:type="dxa"/>
            <w:shd w:val="clear" w:color="auto" w:fill="FFFFFF"/>
            <w:vAlign w:val="top"/>
          </w:tcPr>
          <w:p>
            <w:pPr>
              <w:spacing w:before="30" w:line="276" w:lineRule="auto"/>
              <w:ind w:firstLine="21"/>
              <w:rPr>
                <w:rFonts w:ascii="宋体" w:hAnsi="宋体" w:cs="宋体"/>
                <w:color w:val="000000" w:themeColor="text1"/>
                <w:szCs w:val="21"/>
                <w:highlight w:val="none"/>
              </w:rPr>
            </w:pPr>
            <w:r>
              <w:rPr>
                <w:rFonts w:ascii="宋体" w:hAnsi="宋体" w:cs="宋体"/>
                <w:color w:val="000000" w:themeColor="text1"/>
                <w:spacing w:val="-13"/>
                <w:szCs w:val="21"/>
                <w:highlight w:val="none"/>
              </w:rPr>
              <w:t>扣分：</w:t>
            </w:r>
          </w:p>
        </w:tc>
        <w:tc>
          <w:tcPr>
            <w:tcW w:w="1972" w:type="dxa"/>
            <w:gridSpan w:val="3"/>
            <w:shd w:val="clear" w:color="auto" w:fill="FFFFFF"/>
            <w:vAlign w:val="top"/>
          </w:tcPr>
          <w:p>
            <w:pPr>
              <w:spacing w:before="31" w:line="276" w:lineRule="auto"/>
              <w:ind w:firstLine="43"/>
              <w:rPr>
                <w:rFonts w:ascii="宋体" w:hAnsi="宋体" w:cs="宋体"/>
                <w:color w:val="000000" w:themeColor="text1"/>
                <w:szCs w:val="21"/>
                <w:highlight w:val="none"/>
              </w:rPr>
            </w:pPr>
            <w:r>
              <w:rPr>
                <w:rFonts w:ascii="宋体" w:hAnsi="宋体" w:cs="宋体"/>
                <w:color w:val="000000" w:themeColor="text1"/>
                <w:spacing w:val="-2"/>
                <w:position w:val="17"/>
                <w:szCs w:val="21"/>
                <w:highlight w:val="none"/>
              </w:rPr>
              <w:t>损失值：</w:t>
            </w:r>
          </w:p>
          <w:p>
            <w:pPr>
              <w:spacing w:line="276" w:lineRule="auto"/>
              <w:ind w:firstLine="41"/>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c>
          <w:tcPr>
            <w:tcW w:w="2118" w:type="dxa"/>
            <w:gridSpan w:val="2"/>
            <w:shd w:val="clear" w:color="auto" w:fill="FFFFFF"/>
            <w:vAlign w:val="top"/>
          </w:tcPr>
          <w:p>
            <w:pPr>
              <w:spacing w:before="31" w:line="276" w:lineRule="auto"/>
              <w:ind w:firstLine="53"/>
              <w:rPr>
                <w:rFonts w:ascii="宋体" w:hAnsi="宋体" w:cs="宋体"/>
                <w:color w:val="000000" w:themeColor="text1"/>
                <w:szCs w:val="21"/>
                <w:highlight w:val="none"/>
              </w:rPr>
            </w:pPr>
            <w:r>
              <w:rPr>
                <w:rFonts w:hint="eastAsia" w:ascii="宋体" w:hAnsi="宋体" w:cs="宋体"/>
                <w:color w:val="000000" w:themeColor="text1"/>
                <w:spacing w:val="-7"/>
                <w:position w:val="17"/>
                <w:szCs w:val="21"/>
                <w:highlight w:val="none"/>
                <w:lang w:val="en-US" w:eastAsia="zh-CN"/>
              </w:rPr>
              <w:t>扣减服务费</w:t>
            </w:r>
            <w:r>
              <w:rPr>
                <w:rFonts w:ascii="宋体" w:hAnsi="宋体" w:cs="宋体"/>
                <w:color w:val="000000" w:themeColor="text1"/>
                <w:spacing w:val="-7"/>
                <w:position w:val="17"/>
                <w:szCs w:val="21"/>
                <w:highlight w:val="none"/>
              </w:rPr>
              <w:t>金额：</w:t>
            </w:r>
          </w:p>
          <w:p>
            <w:pPr>
              <w:spacing w:line="276" w:lineRule="auto"/>
              <w:ind w:firstLine="47"/>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c>
          <w:tcPr>
            <w:tcW w:w="2063" w:type="dxa"/>
            <w:gridSpan w:val="2"/>
            <w:shd w:val="clear" w:color="auto" w:fill="FFFFFF"/>
            <w:vAlign w:val="top"/>
          </w:tcPr>
          <w:p>
            <w:pPr>
              <w:spacing w:before="31" w:line="276" w:lineRule="auto"/>
              <w:ind w:firstLine="58"/>
              <w:rPr>
                <w:rFonts w:ascii="宋体" w:hAnsi="宋体" w:cs="宋体"/>
                <w:color w:val="000000" w:themeColor="text1"/>
                <w:szCs w:val="21"/>
                <w:highlight w:val="none"/>
              </w:rPr>
            </w:pPr>
            <w:r>
              <w:rPr>
                <w:rFonts w:ascii="宋体" w:hAnsi="宋体" w:cs="宋体"/>
                <w:color w:val="000000" w:themeColor="text1"/>
                <w:spacing w:val="-7"/>
                <w:position w:val="17"/>
                <w:szCs w:val="21"/>
                <w:highlight w:val="none"/>
              </w:rPr>
              <w:t>合计金额：</w:t>
            </w:r>
          </w:p>
          <w:p>
            <w:pPr>
              <w:spacing w:line="276" w:lineRule="auto"/>
              <w:ind w:firstLine="55"/>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441" w:type="dxa"/>
            <w:gridSpan w:val="2"/>
            <w:shd w:val="clear" w:color="auto" w:fill="FFFFFF"/>
            <w:vAlign w:val="top"/>
          </w:tcPr>
          <w:p>
            <w:pPr>
              <w:spacing w:before="31" w:line="276" w:lineRule="auto"/>
              <w:ind w:firstLine="17"/>
              <w:rPr>
                <w:rFonts w:ascii="宋体" w:hAnsi="宋体" w:cs="宋体"/>
                <w:color w:val="000000" w:themeColor="text1"/>
                <w:szCs w:val="21"/>
                <w:highlight w:val="none"/>
              </w:rPr>
            </w:pPr>
            <w:r>
              <w:rPr>
                <w:rFonts w:hint="eastAsia" w:ascii="宋体" w:hAnsi="宋体" w:cs="宋体"/>
                <w:color w:val="000000" w:themeColor="text1"/>
                <w:spacing w:val="-1"/>
                <w:szCs w:val="21"/>
                <w:highlight w:val="none"/>
                <w:lang w:eastAsia="zh-CN"/>
              </w:rPr>
              <w:t>劳务</w:t>
            </w:r>
            <w:r>
              <w:rPr>
                <w:rFonts w:ascii="宋体" w:hAnsi="宋体" w:cs="宋体"/>
                <w:color w:val="000000" w:themeColor="text1"/>
                <w:spacing w:val="-1"/>
                <w:szCs w:val="21"/>
                <w:highlight w:val="none"/>
              </w:rPr>
              <w:t>公司被投诉人确认</w:t>
            </w:r>
          </w:p>
        </w:tc>
        <w:tc>
          <w:tcPr>
            <w:tcW w:w="4993" w:type="dxa"/>
            <w:gridSpan w:val="6"/>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vAlign w:val="top"/>
          </w:tcPr>
          <w:p>
            <w:pPr>
              <w:spacing w:before="31" w:line="276" w:lineRule="auto"/>
              <w:ind w:firstLine="17"/>
              <w:rPr>
                <w:rFonts w:ascii="宋体" w:hAnsi="宋体" w:cs="宋体"/>
                <w:color w:val="000000" w:themeColor="text1"/>
                <w:szCs w:val="21"/>
                <w:highlight w:val="none"/>
              </w:rPr>
            </w:pPr>
            <w:r>
              <w:rPr>
                <w:rFonts w:hint="eastAsia" w:ascii="宋体" w:hAnsi="宋体" w:cs="宋体"/>
                <w:color w:val="000000" w:themeColor="text1"/>
                <w:spacing w:val="-1"/>
                <w:szCs w:val="21"/>
                <w:highlight w:val="none"/>
                <w:lang w:eastAsia="zh-CN"/>
              </w:rPr>
              <w:t>劳务</w:t>
            </w:r>
            <w:r>
              <w:rPr>
                <w:rFonts w:ascii="宋体" w:hAnsi="宋体" w:cs="宋体"/>
                <w:color w:val="000000" w:themeColor="text1"/>
                <w:spacing w:val="-1"/>
                <w:szCs w:val="21"/>
                <w:highlight w:val="none"/>
              </w:rPr>
              <w:t>公司项目负责人确认</w:t>
            </w:r>
          </w:p>
        </w:tc>
        <w:tc>
          <w:tcPr>
            <w:tcW w:w="4993" w:type="dxa"/>
            <w:gridSpan w:val="6"/>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vAlign w:val="top"/>
          </w:tcPr>
          <w:p>
            <w:pPr>
              <w:spacing w:before="32"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管理员确认</w:t>
            </w:r>
          </w:p>
        </w:tc>
        <w:tc>
          <w:tcPr>
            <w:tcW w:w="4993" w:type="dxa"/>
            <w:gridSpan w:val="6"/>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41" w:type="dxa"/>
            <w:gridSpan w:val="2"/>
            <w:shd w:val="clear" w:color="auto" w:fill="FFFFFF"/>
            <w:vAlign w:val="top"/>
          </w:tcPr>
          <w:p>
            <w:pPr>
              <w:spacing w:before="32"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负责人确认</w:t>
            </w:r>
          </w:p>
        </w:tc>
        <w:tc>
          <w:tcPr>
            <w:tcW w:w="4993" w:type="dxa"/>
            <w:gridSpan w:val="6"/>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2281" w:type="dxa"/>
            <w:tcBorders>
              <w:right w:val="single" w:color="auto" w:sz="4" w:space="0"/>
            </w:tcBorders>
            <w:vAlign w:val="top"/>
          </w:tcPr>
          <w:p>
            <w:pPr>
              <w:spacing w:before="33" w:line="276" w:lineRule="auto"/>
              <w:ind w:firstLine="20"/>
              <w:rPr>
                <w:rFonts w:ascii="宋体" w:hAnsi="宋体" w:cs="宋体"/>
                <w:color w:val="000000" w:themeColor="text1"/>
                <w:szCs w:val="21"/>
                <w:highlight w:val="none"/>
              </w:rPr>
            </w:pPr>
            <w:r>
              <w:rPr>
                <w:rFonts w:ascii="宋体" w:hAnsi="宋体" w:cs="宋体"/>
                <w:color w:val="000000" w:themeColor="text1"/>
                <w:spacing w:val="-13"/>
                <w:szCs w:val="21"/>
                <w:highlight w:val="none"/>
              </w:rPr>
              <w:t>备注：</w:t>
            </w:r>
          </w:p>
        </w:tc>
        <w:tc>
          <w:tcPr>
            <w:tcW w:w="6153" w:type="dxa"/>
            <w:gridSpan w:val="7"/>
            <w:tcBorders>
              <w:left w:val="single" w:color="auto" w:sz="4" w:space="0"/>
            </w:tcBorders>
            <w:vAlign w:val="top"/>
          </w:tcPr>
          <w:p>
            <w:pPr>
              <w:spacing w:line="276" w:lineRule="auto"/>
              <w:rPr>
                <w:rFonts w:ascii="宋体" w:hAnsi="宋体"/>
                <w:color w:val="000000" w:themeColor="text1"/>
                <w:szCs w:val="21"/>
                <w:highlight w:val="none"/>
              </w:rPr>
            </w:pPr>
          </w:p>
          <w:p>
            <w:pPr>
              <w:spacing w:before="69" w:line="276" w:lineRule="auto"/>
              <w:ind w:left="3697" w:right="1023" w:hanging="457"/>
              <w:rPr>
                <w:rFonts w:hint="eastAsia" w:ascii="宋体" w:hAnsi="宋体" w:cs="宋体"/>
                <w:color w:val="000000" w:themeColor="text1"/>
                <w:spacing w:val="-1"/>
                <w:szCs w:val="21"/>
                <w:highlight w:val="none"/>
                <w:lang w:eastAsia="zh-CN"/>
              </w:rPr>
            </w:pPr>
            <w:r>
              <w:rPr>
                <w:rFonts w:hint="eastAsia" w:ascii="宋体" w:hAnsi="宋体" w:cs="宋体"/>
                <w:color w:val="000000" w:themeColor="text1"/>
                <w:spacing w:val="-1"/>
                <w:szCs w:val="21"/>
                <w:highlight w:val="none"/>
                <w:lang w:eastAsia="zh-CN"/>
              </w:rPr>
              <w:t>办公室</w:t>
            </w:r>
          </w:p>
          <w:p>
            <w:pPr>
              <w:spacing w:before="69" w:line="276" w:lineRule="auto"/>
              <w:ind w:left="3697" w:right="1023" w:hanging="457"/>
              <w:rPr>
                <w:rFonts w:ascii="宋体" w:hAnsi="宋体" w:cs="宋体"/>
                <w:color w:val="000000" w:themeColor="text1"/>
                <w:szCs w:val="21"/>
                <w:highlight w:val="none"/>
              </w:rPr>
            </w:pPr>
            <w:r>
              <w:rPr>
                <w:rFonts w:ascii="宋体" w:hAnsi="宋体" w:cs="宋体"/>
                <w:color w:val="000000" w:themeColor="text1"/>
                <w:spacing w:val="-7"/>
                <w:szCs w:val="21"/>
                <w:highlight w:val="none"/>
              </w:rPr>
              <w:t>年</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 xml:space="preserve">  </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月</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 xml:space="preserve">   日</w:t>
            </w:r>
          </w:p>
        </w:tc>
      </w:tr>
    </w:tbl>
    <w:p>
      <w:pPr>
        <w:snapToGrid w:val="0"/>
        <w:spacing w:line="396" w:lineRule="auto"/>
        <w:ind w:firstLine="640" w:firstLineChars="200"/>
        <w:rPr>
          <w:rFonts w:ascii="仿宋_GB2312" w:hAnsi="仿宋_GB2312" w:eastAsia="仿宋_GB2312" w:cs="仿宋_GB2312"/>
          <w:color w:val="000000" w:themeColor="text1"/>
          <w:sz w:val="32"/>
          <w:szCs w:val="32"/>
          <w:highlight w:val="none"/>
        </w:rPr>
      </w:pPr>
    </w:p>
    <w:p>
      <w:pPr>
        <w:rPr>
          <w:color w:val="000000" w:themeColor="text1"/>
          <w:highlight w:val="none"/>
        </w:rPr>
      </w:pPr>
    </w:p>
    <w:p>
      <w:pPr>
        <w:jc w:val="center"/>
        <w:rPr>
          <w:rFonts w:hint="eastAsia" w:ascii="宋体" w:hAnsi="宋体"/>
          <w:b/>
          <w:color w:val="000000" w:themeColor="text1"/>
          <w:sz w:val="30"/>
          <w:szCs w:val="30"/>
          <w:highlight w:val="none"/>
        </w:rPr>
      </w:pPr>
    </w:p>
    <w:p>
      <w:pPr>
        <w:jc w:val="center"/>
        <w:rPr>
          <w:rFonts w:hint="eastAsia" w:ascii="宋体" w:hAnsi="宋体"/>
          <w:b/>
          <w:color w:val="000000" w:themeColor="text1"/>
          <w:sz w:val="36"/>
          <w:szCs w:val="36"/>
          <w:highlight w:val="none"/>
        </w:rPr>
      </w:pPr>
    </w:p>
    <w:p>
      <w:pPr>
        <w:pStyle w:val="54"/>
        <w:rPr>
          <w:rFonts w:hint="eastAsia" w:ascii="宋体" w:hAnsi="宋体"/>
          <w:b/>
          <w:color w:val="000000" w:themeColor="text1"/>
          <w:sz w:val="36"/>
          <w:szCs w:val="36"/>
          <w:highlight w:val="none"/>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lang w:eastAsia="zh-CN"/>
        </w:rPr>
      </w:pP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br w:type="page"/>
      </w:r>
    </w:p>
    <w:p>
      <w:pPr>
        <w:pStyle w:val="3"/>
        <w:numPr>
          <w:ilvl w:val="0"/>
          <w:numId w:val="0"/>
        </w:numPr>
        <w:spacing w:beforeLines="0"/>
        <w:rPr>
          <w:color w:val="000000" w:themeColor="text1"/>
          <w:highlight w:val="none"/>
        </w:rPr>
      </w:pPr>
      <w:bookmarkStart w:id="1731" w:name="_Toc339020105"/>
      <w:bookmarkStart w:id="1732" w:name="_Toc365985188"/>
      <w:bookmarkStart w:id="1733" w:name="_Toc341348348"/>
      <w:bookmarkStart w:id="1734" w:name="_Toc333935356"/>
      <w:bookmarkStart w:id="1735" w:name="_Toc366072539"/>
      <w:bookmarkStart w:id="1736" w:name="_Toc345513911"/>
      <w:bookmarkStart w:id="1737" w:name="_Toc339441097"/>
      <w:bookmarkStart w:id="1738" w:name="_Toc333237798"/>
      <w:bookmarkStart w:id="1739" w:name="_Toc336681590"/>
      <w:bookmarkStart w:id="1740" w:name="_Toc339020025"/>
      <w:bookmarkStart w:id="1741" w:name="_Toc31309"/>
      <w:bookmarkStart w:id="1742" w:name="_Toc339019899"/>
      <w:bookmarkStart w:id="1743" w:name="_Toc365967082"/>
      <w:bookmarkStart w:id="1744" w:name="_Toc350438759"/>
      <w:bookmarkStart w:id="1745" w:name="_Toc339020243"/>
      <w:bookmarkStart w:id="1746" w:name="_Toc349127636"/>
      <w:bookmarkStart w:id="1747" w:name="_Toc330459995"/>
      <w:bookmarkStart w:id="1748" w:name="_Toc342060384"/>
      <w:bookmarkStart w:id="1749" w:name="_Toc340672879"/>
      <w:bookmarkStart w:id="1750" w:name="_Toc350756460"/>
      <w:bookmarkStart w:id="1751" w:name="_Toc342296770"/>
      <w:bookmarkStart w:id="1752" w:name="_Toc340507452"/>
      <w:bookmarkStart w:id="1753" w:name="_Toc340677080"/>
      <w:bookmarkStart w:id="1754" w:name="_Toc331512908"/>
      <w:bookmarkStart w:id="1755" w:name="_Toc336681945"/>
      <w:bookmarkStart w:id="1756" w:name="_Toc333237687"/>
      <w:bookmarkStart w:id="1757" w:name="_Toc339362310"/>
      <w:bookmarkStart w:id="1758" w:name="_Toc349143599"/>
      <w:bookmarkStart w:id="1759" w:name="_Toc332206718"/>
      <w:bookmarkStart w:id="1760" w:name="_Toc333935697"/>
      <w:bookmarkStart w:id="1761" w:name="_Toc500861025"/>
      <w:bookmarkStart w:id="1762" w:name="_Toc331684048"/>
      <w:bookmarkStart w:id="1763" w:name="_Toc337632368"/>
      <w:bookmarkStart w:id="1764" w:name="_Toc332270356"/>
      <w:bookmarkStart w:id="1765" w:name="_Toc491658678"/>
      <w:bookmarkStart w:id="1766" w:name="_Toc333238643"/>
      <w:r>
        <w:rPr>
          <w:rFonts w:hint="eastAsia"/>
          <w:color w:val="000000" w:themeColor="text1"/>
          <w:highlight w:val="none"/>
        </w:rPr>
        <w:t>第五部分</w:t>
      </w:r>
      <w:bookmarkStart w:id="1767" w:name="_Hlt97188172"/>
      <w:bookmarkEnd w:id="1767"/>
      <w:r>
        <w:rPr>
          <w:rFonts w:hint="eastAsia"/>
          <w:color w:val="000000" w:themeColor="text1"/>
          <w:highlight w:val="none"/>
        </w:rPr>
        <w:t>投标文件格式</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Start w:id="1768" w:name="_Hlt21938933"/>
      <w:bookmarkEnd w:id="1768"/>
    </w:p>
    <w:p>
      <w:pPr>
        <w:pStyle w:val="4"/>
        <w:numPr>
          <w:ilvl w:val="1"/>
          <w:numId w:val="0"/>
        </w:numPr>
        <w:rPr>
          <w:color w:val="000000" w:themeColor="text1"/>
          <w:sz w:val="24"/>
          <w:highlight w:val="none"/>
        </w:rPr>
      </w:pPr>
      <w:bookmarkStart w:id="1769" w:name="_Toc18699"/>
      <w:bookmarkStart w:id="1770" w:name="_Toc21613"/>
      <w:r>
        <w:rPr>
          <w:rFonts w:hint="eastAsia"/>
          <w:color w:val="000000" w:themeColor="text1"/>
          <w:sz w:val="24"/>
          <w:highlight w:val="none"/>
        </w:rPr>
        <w:t>资格审查封面格式</w:t>
      </w:r>
      <w:bookmarkEnd w:id="1769"/>
      <w:bookmarkEnd w:id="1770"/>
    </w:p>
    <w:p>
      <w:pPr>
        <w:pStyle w:val="5"/>
        <w:rPr>
          <w:rFonts w:hAnsi="宋体"/>
          <w:bCs/>
          <w:color w:val="000000" w:themeColor="text1"/>
          <w:sz w:val="21"/>
          <w:highlight w:val="none"/>
        </w:rPr>
      </w:pP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 xml:space="preserve">1、投标内容应当编有目录、页码，按页码排序并装订成册。  </w:t>
      </w:r>
    </w:p>
    <w:p>
      <w:pPr>
        <w:pStyle w:val="5"/>
        <w:spacing w:line="360" w:lineRule="auto"/>
        <w:rPr>
          <w:rFonts w:hAnsi="宋体"/>
          <w:b/>
          <w:color w:val="000000" w:themeColor="text1"/>
          <w:sz w:val="21"/>
          <w:szCs w:val="21"/>
          <w:highlight w:val="none"/>
        </w:rPr>
      </w:pPr>
      <w:r>
        <w:rPr>
          <w:rFonts w:hAnsi="宋体"/>
          <w:bCs/>
          <w:color w:val="000000" w:themeColor="text1"/>
          <w:sz w:val="21"/>
          <w:highlight w:val="none"/>
        </w:rPr>
        <w:t>2</w:t>
      </w:r>
      <w:r>
        <w:rPr>
          <w:rFonts w:hint="eastAsia" w:hAnsi="宋体"/>
          <w:bCs/>
          <w:color w:val="000000" w:themeColor="text1"/>
          <w:sz w:val="21"/>
          <w:highlight w:val="none"/>
        </w:rPr>
        <w:t>、文件的封面格式由投</w:t>
      </w:r>
      <w:r>
        <w:rPr>
          <w:rFonts w:hint="eastAsia" w:hAnsi="宋体"/>
          <w:bCs/>
          <w:color w:val="000000" w:themeColor="text1"/>
          <w:sz w:val="21"/>
          <w:szCs w:val="21"/>
          <w:highlight w:val="none"/>
        </w:rPr>
        <w:t>标人自拟</w:t>
      </w:r>
      <w:r>
        <w:rPr>
          <w:rFonts w:hint="eastAsia" w:hAnsi="宋体"/>
          <w:bCs/>
          <w:color w:val="000000" w:themeColor="text1"/>
          <w:sz w:val="21"/>
          <w:highlight w:val="none"/>
        </w:rPr>
        <w:t>，并应注明“投标文件、项目编号、项目名称、投标人名称及地址、法定代表人（负责人）或授权代理人、联系电话、传真、邮编，并加盖投标人公章。</w:t>
      </w: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360" w:lineRule="auto"/>
        <w:jc w:val="center"/>
        <w:rPr>
          <w:rFonts w:hAnsi="宋体"/>
          <w:bCs/>
          <w:color w:val="000000" w:themeColor="text1"/>
          <w:sz w:val="52"/>
          <w:szCs w:val="52"/>
          <w:highlight w:val="none"/>
        </w:rPr>
      </w:pPr>
      <w:r>
        <w:rPr>
          <w:rFonts w:hint="eastAsia" w:hAnsi="宋体"/>
          <w:b/>
          <w:bCs/>
          <w:color w:val="000000" w:themeColor="text1"/>
          <w:sz w:val="52"/>
          <w:szCs w:val="52"/>
          <w:highlight w:val="none"/>
        </w:rPr>
        <w:t>投标文件（□正本、□副本</w:t>
      </w:r>
      <w:r>
        <w:rPr>
          <w:rFonts w:hint="eastAsia" w:hAnsi="宋体"/>
          <w:bCs/>
          <w:color w:val="000000" w:themeColor="text1"/>
          <w:sz w:val="52"/>
          <w:szCs w:val="52"/>
          <w:highlight w:val="none"/>
        </w:rPr>
        <w:t>）</w:t>
      </w:r>
    </w:p>
    <w:p>
      <w:pPr>
        <w:pStyle w:val="5"/>
        <w:spacing w:line="360" w:lineRule="auto"/>
        <w:jc w:val="center"/>
        <w:rPr>
          <w:rFonts w:hAnsi="宋体"/>
          <w:bCs/>
          <w:color w:val="000000" w:themeColor="text1"/>
          <w:sz w:val="52"/>
          <w:szCs w:val="52"/>
          <w:highlight w:val="none"/>
        </w:rPr>
      </w:pPr>
      <w:r>
        <w:rPr>
          <w:rFonts w:hint="eastAsia" w:hAnsi="宋体"/>
          <w:b/>
          <w:color w:val="000000" w:themeColor="text1"/>
          <w:sz w:val="44"/>
          <w:szCs w:val="44"/>
          <w:highlight w:val="none"/>
        </w:rPr>
        <w:t>（资格审查文件）</w:t>
      </w: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440" w:lineRule="exact"/>
        <w:jc w:val="center"/>
        <w:rPr>
          <w:rFonts w:hAnsi="宋体"/>
          <w:bCs/>
          <w:color w:val="000000" w:themeColor="text1"/>
          <w:sz w:val="21"/>
          <w:highlight w:val="none"/>
        </w:rPr>
      </w:pPr>
    </w:p>
    <w:p>
      <w:pPr>
        <w:pStyle w:val="5"/>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采购项目名称，由投标人填写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投标人名称（公章）：</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投标人地址：</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pPr>
        <w:pStyle w:val="5"/>
        <w:spacing w:line="440" w:lineRule="exact"/>
        <w:rPr>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pPr>
        <w:tabs>
          <w:tab w:val="left" w:pos="1004"/>
          <w:tab w:val="left" w:pos="4267"/>
        </w:tabs>
        <w:spacing w:line="400" w:lineRule="exact"/>
        <w:rPr>
          <w:rFonts w:ascii="宋体" w:hAnsi="宋体"/>
          <w:bCs/>
          <w:color w:val="000000" w:themeColor="text1"/>
          <w:highlight w:val="none"/>
        </w:rPr>
      </w:pPr>
    </w:p>
    <w:p>
      <w:pPr>
        <w:tabs>
          <w:tab w:val="left" w:pos="1004"/>
          <w:tab w:val="left" w:pos="4267"/>
        </w:tabs>
        <w:spacing w:line="400" w:lineRule="exact"/>
        <w:rPr>
          <w:rFonts w:ascii="宋体" w:hAnsi="宋体"/>
          <w:bCs/>
          <w:color w:val="000000" w:themeColor="text1"/>
          <w:highlight w:val="none"/>
        </w:rPr>
      </w:pPr>
    </w:p>
    <w:p>
      <w:pPr>
        <w:tabs>
          <w:tab w:val="left" w:pos="1004"/>
          <w:tab w:val="left" w:pos="4267"/>
        </w:tabs>
        <w:spacing w:line="400" w:lineRule="exact"/>
        <w:rPr>
          <w:rFonts w:ascii="宋体" w:hAnsi="宋体"/>
          <w:bCs/>
          <w:color w:val="000000" w:themeColor="text1"/>
          <w:highlight w:val="none"/>
        </w:rPr>
      </w:pPr>
    </w:p>
    <w:p>
      <w:pPr>
        <w:pStyle w:val="4"/>
        <w:numPr>
          <w:ilvl w:val="7"/>
          <w:numId w:val="7"/>
        </w:numPr>
        <w:tabs>
          <w:tab w:val="clear" w:pos="720"/>
        </w:tabs>
        <w:spacing w:before="240" w:after="240" w:line="360" w:lineRule="exact"/>
        <w:ind w:left="0" w:firstLine="0"/>
        <w:rPr>
          <w:color w:val="000000" w:themeColor="text1"/>
          <w:sz w:val="24"/>
          <w:highlight w:val="none"/>
        </w:rPr>
      </w:pPr>
      <w:r>
        <w:rPr>
          <w:rFonts w:hint="eastAsia"/>
          <w:color w:val="000000" w:themeColor="text1"/>
          <w:sz w:val="24"/>
          <w:highlight w:val="none"/>
        </w:rPr>
        <w:t xml:space="preserve">  </w:t>
      </w:r>
      <w:bookmarkStart w:id="1771" w:name="_Toc31809"/>
      <w:bookmarkStart w:id="1772" w:name="_Toc18800"/>
      <w:r>
        <w:rPr>
          <w:rFonts w:hint="eastAsia"/>
          <w:color w:val="000000" w:themeColor="text1"/>
          <w:sz w:val="24"/>
          <w:highlight w:val="none"/>
        </w:rPr>
        <w:t>自查表</w:t>
      </w:r>
      <w:bookmarkEnd w:id="1771"/>
      <w:bookmarkEnd w:id="1772"/>
    </w:p>
    <w:p>
      <w:pPr>
        <w:pStyle w:val="4"/>
        <w:numPr>
          <w:ilvl w:val="1"/>
          <w:numId w:val="0"/>
        </w:numPr>
        <w:tabs>
          <w:tab w:val="left" w:pos="4320"/>
        </w:tabs>
        <w:spacing w:before="240" w:after="60" w:line="360" w:lineRule="exact"/>
        <w:rPr>
          <w:rFonts w:ascii="宋体"/>
          <w:b/>
          <w:bCs w:val="0"/>
          <w:color w:val="000000" w:themeColor="text1"/>
          <w:szCs w:val="21"/>
          <w:highlight w:val="none"/>
        </w:rPr>
      </w:pPr>
      <w:bookmarkStart w:id="1773" w:name="_Toc15898"/>
      <w:r>
        <w:rPr>
          <w:rFonts w:hint="eastAsia" w:ascii="宋体"/>
          <w:b/>
          <w:bCs w:val="0"/>
          <w:color w:val="000000" w:themeColor="text1"/>
          <w:szCs w:val="21"/>
          <w:highlight w:val="none"/>
        </w:rPr>
        <w:t xml:space="preserve"> </w:t>
      </w:r>
      <w:bookmarkStart w:id="1774" w:name="_Toc17330"/>
      <w:r>
        <w:rPr>
          <w:rFonts w:hint="eastAsia" w:ascii="宋体"/>
          <w:b/>
          <w:bCs w:val="0"/>
          <w:color w:val="000000" w:themeColor="text1"/>
          <w:szCs w:val="21"/>
          <w:highlight w:val="none"/>
        </w:rPr>
        <w:t>资格性自查表</w:t>
      </w:r>
      <w:bookmarkEnd w:id="1773"/>
      <w:bookmarkEnd w:id="1774"/>
    </w:p>
    <w:p>
      <w:pPr>
        <w:jc w:val="center"/>
        <w:rPr>
          <w:rFonts w:ascii="宋体" w:hAnsi="宋体"/>
          <w:b/>
          <w:bCs/>
          <w:color w:val="000000" w:themeColor="text1"/>
          <w:szCs w:val="21"/>
          <w:highlight w:val="none"/>
        </w:rPr>
      </w:pPr>
    </w:p>
    <w:tbl>
      <w:tblPr>
        <w:tblStyle w:val="46"/>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366"/>
        <w:gridCol w:w="3659"/>
        <w:gridCol w:w="198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gridSpan w:val="2"/>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3659"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招标文件要求</w:t>
            </w:r>
          </w:p>
        </w:tc>
        <w:tc>
          <w:tcPr>
            <w:tcW w:w="1980"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pPr>
              <w:tabs>
                <w:tab w:val="left" w:pos="480"/>
              </w:tabs>
              <w:jc w:val="both"/>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2489"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597" w:type="dxa"/>
            <w:vMerge w:val="restart"/>
            <w:vAlign w:val="center"/>
          </w:tcPr>
          <w:p>
            <w:pPr>
              <w:rPr>
                <w:color w:val="000000" w:themeColor="text1"/>
                <w:highlight w:val="none"/>
              </w:rPr>
            </w:pPr>
            <w:r>
              <w:rPr>
                <w:rFonts w:hint="eastAsia"/>
                <w:color w:val="000000" w:themeColor="text1"/>
                <w:highlight w:val="none"/>
              </w:rPr>
              <w:t>资格性检查</w:t>
            </w:r>
          </w:p>
        </w:tc>
        <w:tc>
          <w:tcPr>
            <w:tcW w:w="1366" w:type="dxa"/>
            <w:vMerge w:val="restart"/>
            <w:vAlign w:val="center"/>
          </w:tcPr>
          <w:p>
            <w:pPr>
              <w:rPr>
                <w:color w:val="000000" w:themeColor="text1"/>
                <w:highlight w:val="none"/>
              </w:rPr>
            </w:pPr>
            <w:r>
              <w:rPr>
                <w:rFonts w:hint="eastAsia"/>
                <w:color w:val="000000" w:themeColor="text1"/>
                <w:highlight w:val="none"/>
              </w:rPr>
              <w:t>投标人资格要求</w:t>
            </w:r>
          </w:p>
        </w:tc>
        <w:tc>
          <w:tcPr>
            <w:tcW w:w="3659" w:type="dxa"/>
            <w:vAlign w:val="center"/>
          </w:tcPr>
          <w:p>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投标人应具备《中华人民共和国政府采购法》第二十二条规定的条件</w:t>
            </w:r>
          </w:p>
          <w:p>
            <w:pPr>
              <w:tabs>
                <w:tab w:val="left" w:pos="0"/>
              </w:tabs>
              <w:rPr>
                <w:rFonts w:ascii="宋体" w:hAnsi="宋体"/>
                <w:b/>
                <w:bCs/>
                <w:color w:val="000000" w:themeColor="text1"/>
                <w:szCs w:val="21"/>
                <w:highlight w:val="none"/>
              </w:rPr>
            </w:pPr>
          </w:p>
        </w:tc>
        <w:tc>
          <w:tcPr>
            <w:tcW w:w="1980" w:type="dxa"/>
            <w:vAlign w:val="center"/>
          </w:tcPr>
          <w:p>
            <w:pPr>
              <w:tabs>
                <w:tab w:val="left" w:pos="480"/>
              </w:tabs>
              <w:ind w:left="480" w:hanging="480"/>
              <w:rPr>
                <w:rFonts w:ascii="宋体" w:hAnsi="宋体"/>
                <w:b/>
                <w:bCs/>
                <w:color w:val="000000" w:themeColor="text1"/>
                <w:szCs w:val="21"/>
                <w:highlight w:val="none"/>
              </w:rPr>
            </w:pPr>
          </w:p>
        </w:tc>
        <w:tc>
          <w:tcPr>
            <w:tcW w:w="2489" w:type="dxa"/>
            <w:vAlign w:val="center"/>
          </w:tcPr>
          <w:p>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见投标文件</w:t>
            </w:r>
          </w:p>
          <w:p>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第（  ）页</w:t>
            </w:r>
          </w:p>
          <w:p>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要求：提交合法有效的营业执照复印件加盖公章、</w:t>
            </w:r>
            <w:r>
              <w:rPr>
                <w:rFonts w:hint="eastAsia" w:ascii="宋体" w:hAnsi="宋体"/>
                <w:color w:val="000000" w:themeColor="text1"/>
                <w:kern w:val="0"/>
                <w:szCs w:val="21"/>
                <w:highlight w:val="none"/>
              </w:rPr>
              <w:t>财务报表</w:t>
            </w:r>
            <w:r>
              <w:rPr>
                <w:rFonts w:hint="eastAsia" w:ascii="宋体" w:hAnsi="宋体"/>
                <w:color w:val="000000" w:themeColor="text1"/>
                <w:szCs w:val="21"/>
                <w:highlight w:val="none"/>
              </w:rPr>
              <w:t>复印件加盖公章、缴税证明复印件加盖公章、社会保险证明复印件加盖公章、无重大违法记录声明函原件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97" w:type="dxa"/>
            <w:vMerge w:val="continue"/>
            <w:vAlign w:val="center"/>
          </w:tcPr>
          <w:p>
            <w:pPr>
              <w:tabs>
                <w:tab w:val="left" w:pos="480"/>
              </w:tabs>
              <w:ind w:left="480" w:hanging="480"/>
              <w:rPr>
                <w:rFonts w:hint="eastAsia" w:ascii="宋体" w:hAnsi="宋体"/>
                <w:color w:val="000000" w:themeColor="text1"/>
                <w:szCs w:val="21"/>
                <w:highlight w:val="none"/>
              </w:rPr>
            </w:pPr>
          </w:p>
        </w:tc>
        <w:tc>
          <w:tcPr>
            <w:tcW w:w="1366" w:type="dxa"/>
            <w:vMerge w:val="continue"/>
            <w:vAlign w:val="center"/>
          </w:tcPr>
          <w:p>
            <w:pPr>
              <w:tabs>
                <w:tab w:val="left" w:pos="146"/>
              </w:tabs>
              <w:ind w:left="146"/>
              <w:rPr>
                <w:rFonts w:hint="eastAsia" w:ascii="宋体" w:hAnsi="宋体"/>
                <w:color w:val="000000" w:themeColor="text1"/>
                <w:szCs w:val="21"/>
                <w:highlight w:val="none"/>
              </w:rPr>
            </w:pPr>
          </w:p>
        </w:tc>
        <w:tc>
          <w:tcPr>
            <w:tcW w:w="3659" w:type="dxa"/>
            <w:vAlign w:val="center"/>
          </w:tcPr>
          <w:p>
            <w:pPr>
              <w:tabs>
                <w:tab w:val="left" w:pos="0"/>
              </w:tabs>
              <w:rPr>
                <w:rFonts w:hint="eastAsia" w:ascii="宋体" w:hAnsi="宋体" w:eastAsia="宋体"/>
                <w:b/>
                <w:bCs/>
                <w:color w:val="000000" w:themeColor="text1"/>
                <w:szCs w:val="21"/>
                <w:highlight w:val="none"/>
                <w:lang w:eastAsia="zh-CN"/>
              </w:rPr>
            </w:pPr>
            <w:r>
              <w:rPr>
                <w:rFonts w:ascii="宋体" w:hAnsi="宋体" w:cs="Futura-Heavy"/>
                <w:color w:val="000000" w:themeColor="text1"/>
                <w:szCs w:val="21"/>
                <w:highlight w:val="none"/>
                <w:shd w:val="clear" w:color="auto" w:fill="FFFFFF"/>
              </w:rPr>
              <w:t>为采购项目提供整体设计、规范编制或者项目管理、监理、检测等服务的供应商，不再参加该采购项目的其他采购活动。（</w:t>
            </w:r>
            <w:r>
              <w:rPr>
                <w:rFonts w:hint="eastAsia" w:ascii="宋体" w:hAnsi="宋体"/>
                <w:color w:val="000000" w:themeColor="text1"/>
                <w:szCs w:val="21"/>
                <w:highlight w:val="none"/>
                <w:lang w:val="en-US" w:eastAsia="zh-CN"/>
              </w:rPr>
              <w:t>提供《投标函》</w:t>
            </w:r>
            <w:r>
              <w:rPr>
                <w:rFonts w:ascii="宋体" w:hAnsi="宋体" w:cs="Futura-Heavy"/>
                <w:color w:val="000000" w:themeColor="text1"/>
                <w:szCs w:val="21"/>
                <w:highlight w:val="none"/>
                <w:shd w:val="clear" w:color="auto" w:fill="FFFFFF"/>
              </w:rPr>
              <w:t>）</w:t>
            </w:r>
          </w:p>
        </w:tc>
        <w:tc>
          <w:tcPr>
            <w:tcW w:w="1980" w:type="dxa"/>
            <w:vAlign w:val="center"/>
          </w:tcPr>
          <w:p>
            <w:pPr>
              <w:tabs>
                <w:tab w:val="left" w:pos="480"/>
              </w:tabs>
              <w:ind w:left="480" w:hanging="480"/>
              <w:rPr>
                <w:rFonts w:ascii="宋体" w:hAnsi="宋体"/>
                <w:b/>
                <w:bCs/>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97" w:type="dxa"/>
            <w:vMerge w:val="continue"/>
            <w:vAlign w:val="center"/>
          </w:tcPr>
          <w:p>
            <w:pPr>
              <w:tabs>
                <w:tab w:val="left" w:pos="480"/>
              </w:tabs>
              <w:ind w:left="480" w:hanging="480"/>
              <w:jc w:val="center"/>
              <w:rPr>
                <w:rFonts w:ascii="宋体" w:hAnsi="宋体"/>
                <w:color w:val="000000" w:themeColor="text1"/>
                <w:szCs w:val="21"/>
                <w:highlight w:val="none"/>
              </w:rPr>
            </w:pPr>
          </w:p>
        </w:tc>
        <w:tc>
          <w:tcPr>
            <w:tcW w:w="1366" w:type="dxa"/>
            <w:vMerge w:val="continue"/>
            <w:vAlign w:val="center"/>
          </w:tcPr>
          <w:p>
            <w:pPr>
              <w:tabs>
                <w:tab w:val="left" w:pos="146"/>
              </w:tabs>
              <w:ind w:left="146"/>
              <w:rPr>
                <w:rFonts w:ascii="宋体" w:hAnsi="宋体"/>
                <w:color w:val="000000" w:themeColor="text1"/>
                <w:szCs w:val="21"/>
                <w:highlight w:val="none"/>
              </w:rPr>
            </w:pPr>
          </w:p>
        </w:tc>
        <w:tc>
          <w:tcPr>
            <w:tcW w:w="3659" w:type="dxa"/>
            <w:vAlign w:val="center"/>
          </w:tcPr>
          <w:p>
            <w:pPr>
              <w:tabs>
                <w:tab w:val="left" w:pos="0"/>
              </w:tabs>
              <w:rPr>
                <w:rFonts w:ascii="宋体" w:hAnsi="宋体"/>
                <w:color w:val="000000" w:themeColor="text1"/>
                <w:szCs w:val="21"/>
                <w:highlight w:val="none"/>
              </w:rPr>
            </w:pPr>
            <w:r>
              <w:rPr>
                <w:rFonts w:ascii="宋体" w:hAnsi="宋体" w:cs="Futura-Heavy"/>
                <w:color w:val="000000" w:themeColor="text1"/>
                <w:szCs w:val="21"/>
                <w:highlight w:val="none"/>
                <w:shd w:val="clear" w:color="auto" w:fill="FFFFFF"/>
              </w:rPr>
              <w:t>单位负责人为同一人或者存在直接控股、管理关系的不同供应商，不得参加同一合同项下的政府采购活动。（</w:t>
            </w:r>
            <w:r>
              <w:rPr>
                <w:rFonts w:hint="eastAsia" w:ascii="宋体" w:hAnsi="宋体"/>
                <w:color w:val="000000" w:themeColor="text1"/>
                <w:szCs w:val="21"/>
                <w:highlight w:val="none"/>
                <w:lang w:val="en-US" w:eastAsia="zh-CN"/>
              </w:rPr>
              <w:t>提供《投标函》</w:t>
            </w:r>
            <w:r>
              <w:rPr>
                <w:rFonts w:ascii="宋体" w:hAnsi="宋体" w:cs="Futura-Heavy"/>
                <w:color w:val="000000" w:themeColor="text1"/>
                <w:szCs w:val="21"/>
                <w:highlight w:val="none"/>
                <w:shd w:val="clear" w:color="auto" w:fill="FFFFFF"/>
              </w:rPr>
              <w:t>）</w:t>
            </w:r>
          </w:p>
        </w:tc>
        <w:tc>
          <w:tcPr>
            <w:tcW w:w="1980" w:type="dxa"/>
            <w:vAlign w:val="center"/>
          </w:tcPr>
          <w:p>
            <w:pPr>
              <w:tabs>
                <w:tab w:val="left" w:pos="480"/>
              </w:tabs>
              <w:ind w:left="480" w:hanging="480"/>
              <w:rPr>
                <w:rFonts w:ascii="宋体" w:hAnsi="宋体"/>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jc w:val="center"/>
        </w:trPr>
        <w:tc>
          <w:tcPr>
            <w:tcW w:w="597" w:type="dxa"/>
            <w:vMerge w:val="continue"/>
            <w:vAlign w:val="center"/>
          </w:tcPr>
          <w:p>
            <w:pPr>
              <w:tabs>
                <w:tab w:val="left" w:pos="480"/>
              </w:tabs>
              <w:ind w:left="480" w:hanging="480"/>
              <w:jc w:val="center"/>
              <w:rPr>
                <w:rFonts w:ascii="宋体" w:hAnsi="宋体"/>
                <w:color w:val="000000" w:themeColor="text1"/>
                <w:szCs w:val="21"/>
                <w:highlight w:val="none"/>
              </w:rPr>
            </w:pPr>
          </w:p>
        </w:tc>
        <w:tc>
          <w:tcPr>
            <w:tcW w:w="1366" w:type="dxa"/>
            <w:vMerge w:val="continue"/>
            <w:vAlign w:val="center"/>
          </w:tcPr>
          <w:p>
            <w:pPr>
              <w:tabs>
                <w:tab w:val="left" w:pos="146"/>
              </w:tabs>
              <w:ind w:left="146"/>
              <w:rPr>
                <w:rFonts w:ascii="宋体" w:hAnsi="宋体"/>
                <w:color w:val="000000" w:themeColor="text1"/>
                <w:szCs w:val="21"/>
                <w:highlight w:val="none"/>
              </w:rPr>
            </w:pPr>
          </w:p>
        </w:tc>
        <w:tc>
          <w:tcPr>
            <w:tcW w:w="3659" w:type="dxa"/>
            <w:vAlign w:val="center"/>
          </w:tcPr>
          <w:p>
            <w:pPr>
              <w:widowControl w:val="0"/>
              <w:shd w:val="clear" w:color="auto" w:fill="FFFFFF"/>
              <w:wordWrap/>
              <w:adjustRightInd/>
              <w:spacing w:line="240" w:lineRule="auto"/>
              <w:jc w:val="left"/>
              <w:textAlignment w:val="auto"/>
              <w:rPr>
                <w:rFonts w:ascii="宋体" w:hAnsi="宋体" w:cs="Futura-Heavy"/>
                <w:color w:val="000000" w:themeColor="text1"/>
                <w:szCs w:val="21"/>
                <w:highlight w:val="none"/>
                <w:shd w:val="clear" w:color="auto" w:fill="FFFFFF"/>
              </w:rPr>
            </w:pPr>
            <w:r>
              <w:rPr>
                <w:rFonts w:ascii="宋体" w:hAnsi="宋体" w:cs="Futura-Heavy"/>
                <w:color w:val="000000" w:themeColor="text1"/>
                <w:szCs w:val="21"/>
                <w:highlight w:val="none"/>
                <w:shd w:val="clear" w:color="auto" w:fill="FFFFFF"/>
              </w:rPr>
              <w:t>投标人未被列入“信用中国”网站(</w:t>
            </w:r>
            <w:r>
              <w:rPr>
                <w:rFonts w:eastAsia="等线"/>
                <w:color w:val="000000" w:themeColor="text1"/>
                <w:szCs w:val="20"/>
                <w:highlight w:val="none"/>
              </w:rPr>
              <w:fldChar w:fldCharType="begin"/>
            </w:r>
            <w:r>
              <w:rPr>
                <w:color w:val="000000" w:themeColor="text1"/>
                <w:highlight w:val="none"/>
              </w:rPr>
              <w:instrText xml:space="preserve"> HYPERLINK "http://www.creditchina.gov.cn" </w:instrText>
            </w:r>
            <w:r>
              <w:rPr>
                <w:rFonts w:eastAsia="等线"/>
                <w:color w:val="000000" w:themeColor="text1"/>
                <w:szCs w:val="20"/>
                <w:highlight w:val="none"/>
              </w:rPr>
              <w:fldChar w:fldCharType="separate"/>
            </w:r>
            <w:r>
              <w:rPr>
                <w:rStyle w:val="51"/>
                <w:rFonts w:ascii="宋体" w:hAnsi="宋体" w:cs="Futura-Heavy"/>
                <w:color w:val="000000" w:themeColor="text1"/>
                <w:szCs w:val="21"/>
                <w:highlight w:val="none"/>
                <w:shd w:val="clear" w:color="auto" w:fill="FFFFFF"/>
              </w:rPr>
              <w:t>www.creditchina.gov.cn</w:t>
            </w:r>
            <w:r>
              <w:rPr>
                <w:rFonts w:ascii="宋体" w:hAnsi="宋体" w:cs="Futura-Heavy"/>
                <w:color w:val="000000" w:themeColor="text1"/>
                <w:szCs w:val="21"/>
                <w:highlight w:val="none"/>
                <w:shd w:val="clear" w:color="auto" w:fill="FFFFFF"/>
              </w:rPr>
              <w:fldChar w:fldCharType="end"/>
            </w:r>
            <w:r>
              <w:rPr>
                <w:rFonts w:ascii="宋体" w:hAnsi="宋体" w:cs="Futura-Heavy"/>
                <w:color w:val="000000" w:themeColor="text1"/>
                <w:szCs w:val="21"/>
                <w:highlight w:val="none"/>
                <w:shd w:val="clear" w:color="auto" w:fill="FFFFFF"/>
              </w:rPr>
              <w:t xml:space="preserve">)以下任意名单之一：①失信被执行人名单；②重大税收违法案件当事人名单；③政府采购严重违法失信名单。同时，不处于中国政府采购网（www.ccgp.gov.cn </w:t>
            </w:r>
            <w:r>
              <w:rPr>
                <w:rFonts w:hint="eastAsia" w:ascii="宋体" w:hAnsi="宋体" w:cs="Futura-Heavy"/>
                <w:color w:val="000000" w:themeColor="text1"/>
                <w:szCs w:val="21"/>
                <w:highlight w:val="none"/>
                <w:shd w:val="clear" w:color="auto" w:fill="FFFFFF"/>
              </w:rPr>
              <w:t>）“政府采购严重违法失信行为信息记录”中的禁止参加政府采购活动期间。（以采购代理机构于评审当天在上述网站查询结果为准，如在上述网站查询结果均显示没有相关记录，视为没有上述不良信用记录。同时对信用信息查询记录和证据截图存档。如相关失信记录已失效，供应商须提供相关证明资料。）</w:t>
            </w:r>
          </w:p>
        </w:tc>
        <w:tc>
          <w:tcPr>
            <w:tcW w:w="1980" w:type="dxa"/>
            <w:vAlign w:val="center"/>
          </w:tcPr>
          <w:p>
            <w:pPr>
              <w:tabs>
                <w:tab w:val="left" w:pos="480"/>
              </w:tabs>
              <w:ind w:left="480" w:hanging="480"/>
              <w:rPr>
                <w:rFonts w:ascii="宋体" w:hAnsi="宋体"/>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597" w:type="dxa"/>
            <w:vMerge w:val="continue"/>
            <w:vAlign w:val="center"/>
          </w:tcPr>
          <w:p>
            <w:pPr>
              <w:tabs>
                <w:tab w:val="left" w:pos="480"/>
              </w:tabs>
              <w:ind w:left="480" w:hanging="480"/>
              <w:jc w:val="center"/>
              <w:rPr>
                <w:rFonts w:ascii="宋体" w:hAnsi="宋体"/>
                <w:color w:val="000000" w:themeColor="text1"/>
                <w:szCs w:val="21"/>
                <w:highlight w:val="none"/>
              </w:rPr>
            </w:pPr>
          </w:p>
        </w:tc>
        <w:tc>
          <w:tcPr>
            <w:tcW w:w="1366" w:type="dxa"/>
            <w:vAlign w:val="center"/>
          </w:tcPr>
          <w:p>
            <w:pPr>
              <w:tabs>
                <w:tab w:val="left" w:pos="146"/>
              </w:tabs>
              <w:rPr>
                <w:rFonts w:ascii="宋体" w:hAnsi="宋体"/>
                <w:color w:val="000000" w:themeColor="text1"/>
                <w:szCs w:val="21"/>
                <w:highlight w:val="none"/>
              </w:rPr>
            </w:pPr>
            <w:r>
              <w:rPr>
                <w:rFonts w:hint="eastAsia" w:ascii="宋体" w:hAnsi="宋体" w:cs="Futura-Heavy"/>
                <w:color w:val="000000" w:themeColor="text1"/>
                <w:szCs w:val="21"/>
                <w:highlight w:val="none"/>
                <w:shd w:val="clear" w:color="auto" w:fill="FFFFFF"/>
              </w:rPr>
              <w:t>本项目属于专门面向中小企业采购</w:t>
            </w:r>
          </w:p>
        </w:tc>
        <w:tc>
          <w:tcPr>
            <w:tcW w:w="3659" w:type="dxa"/>
            <w:vAlign w:val="center"/>
          </w:tcPr>
          <w:p>
            <w:pPr>
              <w:tabs>
                <w:tab w:val="left" w:pos="0"/>
              </w:tabs>
              <w:jc w:val="both"/>
              <w:rPr>
                <w:rFonts w:hint="eastAsia" w:ascii="宋体" w:hAnsi="宋体" w:eastAsia="宋体" w:cs="Futura-Heavy"/>
                <w:color w:val="000000" w:themeColor="text1"/>
                <w:szCs w:val="21"/>
                <w:highlight w:val="none"/>
                <w:shd w:val="clear" w:color="auto" w:fill="FFFFFF"/>
                <w:lang w:val="en-US" w:eastAsia="zh-CN"/>
              </w:rPr>
            </w:pPr>
            <w:r>
              <w:rPr>
                <w:rFonts w:hint="eastAsia"/>
                <w:color w:val="000000" w:themeColor="text1"/>
                <w:highlight w:val="none"/>
                <w:lang w:eastAsia="zh-CN"/>
              </w:rPr>
              <w:t>本项目属于专门面向中小企业采购。为落实《政府采购促进中小企业发展管理办法》（财库〔2020〕46号）政策，投标人为中型企业的，必须承诺中标后分包一定比例给小微企业，其中分包给小微企业的合同金额比例不低于 60%。（提供《分包意向协议书》或《分包承诺书》）。</w:t>
            </w:r>
            <w:r>
              <w:rPr>
                <w:rFonts w:hint="eastAsia"/>
                <w:color w:val="000000" w:themeColor="text1"/>
                <w:highlight w:val="none"/>
              </w:rPr>
              <w:t>（所属行业为：</w:t>
            </w:r>
            <w:r>
              <w:rPr>
                <w:rFonts w:hint="eastAsia" w:ascii="宋体" w:hAnsi="宋体"/>
                <w:color w:val="000000" w:themeColor="text1"/>
                <w:szCs w:val="21"/>
                <w:highlight w:val="none"/>
              </w:rPr>
              <w:t>租赁和商务服务业</w:t>
            </w:r>
            <w:r>
              <w:rPr>
                <w:rFonts w:hint="eastAsia"/>
                <w:color w:val="000000" w:themeColor="text1"/>
                <w:highlight w:val="none"/>
              </w:rPr>
              <w:t>）</w:t>
            </w:r>
          </w:p>
        </w:tc>
        <w:tc>
          <w:tcPr>
            <w:tcW w:w="1980" w:type="dxa"/>
            <w:vAlign w:val="center"/>
          </w:tcPr>
          <w:p>
            <w:pPr>
              <w:tabs>
                <w:tab w:val="left" w:pos="480"/>
              </w:tabs>
              <w:ind w:left="480" w:hanging="480"/>
              <w:rPr>
                <w:rFonts w:ascii="宋体" w:hAnsi="宋体"/>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97" w:type="dxa"/>
            <w:vMerge w:val="continue"/>
            <w:vAlign w:val="center"/>
          </w:tcPr>
          <w:p>
            <w:pPr>
              <w:tabs>
                <w:tab w:val="left" w:pos="480"/>
              </w:tabs>
              <w:ind w:left="480" w:hanging="480"/>
              <w:jc w:val="center"/>
              <w:rPr>
                <w:rFonts w:ascii="宋体" w:hAnsi="宋体"/>
                <w:color w:val="000000" w:themeColor="text1"/>
                <w:szCs w:val="21"/>
                <w:highlight w:val="none"/>
              </w:rPr>
            </w:pPr>
          </w:p>
        </w:tc>
        <w:tc>
          <w:tcPr>
            <w:tcW w:w="1366" w:type="dxa"/>
            <w:vAlign w:val="center"/>
          </w:tcPr>
          <w:p>
            <w:pPr>
              <w:tabs>
                <w:tab w:val="left" w:pos="146"/>
              </w:tabs>
              <w:rPr>
                <w:rFonts w:ascii="宋体" w:hAnsi="宋体"/>
                <w:b/>
                <w:bCs/>
                <w:color w:val="000000" w:themeColor="text1"/>
                <w:szCs w:val="21"/>
                <w:highlight w:val="none"/>
              </w:rPr>
            </w:pPr>
            <w:r>
              <w:rPr>
                <w:rFonts w:hint="eastAsia" w:ascii="宋体" w:hAnsi="宋体"/>
                <w:color w:val="000000" w:themeColor="text1"/>
                <w:szCs w:val="21"/>
                <w:highlight w:val="none"/>
              </w:rPr>
              <w:t>不接受联合体投标</w:t>
            </w:r>
          </w:p>
        </w:tc>
        <w:tc>
          <w:tcPr>
            <w:tcW w:w="3659" w:type="dxa"/>
            <w:vAlign w:val="center"/>
          </w:tcPr>
          <w:p>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980" w:type="dxa"/>
            <w:vAlign w:val="center"/>
          </w:tcPr>
          <w:p>
            <w:pPr>
              <w:tabs>
                <w:tab w:val="left" w:pos="480"/>
              </w:tabs>
              <w:ind w:left="-107" w:leftChars="-51" w:firstLine="106"/>
              <w:rPr>
                <w:rFonts w:ascii="宋体" w:hAnsi="宋体"/>
                <w:b/>
                <w:bCs/>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bl>
    <w:p>
      <w:pPr>
        <w:tabs>
          <w:tab w:val="center" w:pos="4483"/>
        </w:tabs>
        <w:ind w:left="315" w:leftChars="50" w:hanging="210" w:hangingChars="100"/>
        <w:rPr>
          <w:rFonts w:ascii="宋体" w:hAnsi="宋体"/>
          <w:color w:val="000000" w:themeColor="text1"/>
          <w:szCs w:val="21"/>
          <w:highlight w:val="none"/>
        </w:rPr>
      </w:pPr>
    </w:p>
    <w:p>
      <w:pPr>
        <w:tabs>
          <w:tab w:val="center" w:pos="4483"/>
        </w:tabs>
        <w:ind w:left="525" w:leftChars="50" w:hanging="420" w:hangingChars="200"/>
        <w:rPr>
          <w:rFonts w:ascii="宋体" w:hAnsi="宋体"/>
          <w:color w:val="000000" w:themeColor="text1"/>
          <w:szCs w:val="21"/>
          <w:highlight w:val="none"/>
        </w:rPr>
      </w:pPr>
      <w:r>
        <w:rPr>
          <w:rFonts w:hint="eastAsia" w:ascii="宋体" w:hAnsi="宋体"/>
          <w:color w:val="000000" w:themeColor="text1"/>
          <w:szCs w:val="21"/>
          <w:highlight w:val="none"/>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将会直接导致无效投标。</w:t>
      </w:r>
      <w:r>
        <w:rPr>
          <w:rFonts w:hint="eastAsia" w:ascii="宋体" w:hAnsi="宋体"/>
          <w:bCs/>
          <w:color w:val="000000" w:themeColor="text1"/>
          <w:szCs w:val="21"/>
          <w:highlight w:val="none"/>
        </w:rPr>
        <w:t>不能继续参与后续评标，有效投标人少于3家的将导致废标。废标后，除采购任务取消情形外，应当重新组织采购。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pPr>
        <w:tabs>
          <w:tab w:val="center" w:pos="4483"/>
        </w:tabs>
        <w:ind w:left="525" w:leftChars="50" w:hanging="420" w:hangingChars="200"/>
        <w:rPr>
          <w:rFonts w:ascii="宋体" w:hAnsi="宋体"/>
          <w:bCs/>
          <w:color w:val="000000" w:themeColor="text1"/>
          <w:szCs w:val="21"/>
          <w:highlight w:val="none"/>
        </w:rPr>
      </w:pPr>
      <w:r>
        <w:rPr>
          <w:rFonts w:ascii="宋体" w:hAnsi="宋体"/>
          <w:bCs/>
          <w:color w:val="000000" w:themeColor="text1"/>
          <w:szCs w:val="21"/>
          <w:highlight w:val="none"/>
        </w:rPr>
        <w:t xml:space="preserve">   </w:t>
      </w:r>
    </w:p>
    <w:p>
      <w:pPr>
        <w:adjustRightInd w:val="0"/>
        <w:snapToGrid w:val="0"/>
        <w:spacing w:line="300" w:lineRule="auto"/>
        <w:rPr>
          <w:color w:val="000000" w:themeColor="text1"/>
          <w:szCs w:val="21"/>
          <w:highlight w:val="none"/>
        </w:rPr>
      </w:pPr>
    </w:p>
    <w:p>
      <w:pPr>
        <w:adjustRightInd w:val="0"/>
        <w:snapToGrid w:val="0"/>
        <w:spacing w:line="30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pPr>
        <w:adjustRightInd w:val="0"/>
        <w:snapToGrid w:val="0"/>
        <w:spacing w:line="300" w:lineRule="auto"/>
        <w:rPr>
          <w:color w:val="000000" w:themeColor="text1"/>
          <w:sz w:val="24"/>
          <w:highlight w:val="none"/>
        </w:rPr>
      </w:pPr>
    </w:p>
    <w:p>
      <w:pPr>
        <w:adjustRightInd w:val="0"/>
        <w:snapToGrid w:val="0"/>
        <w:spacing w:line="300" w:lineRule="auto"/>
        <w:rPr>
          <w:color w:val="000000" w:themeColor="text1"/>
          <w:sz w:val="24"/>
          <w:highlight w:val="none"/>
        </w:rPr>
      </w:pPr>
    </w:p>
    <w:p>
      <w:pPr>
        <w:adjustRightInd w:val="0"/>
        <w:snapToGrid w:val="0"/>
        <w:spacing w:line="300" w:lineRule="auto"/>
        <w:rPr>
          <w:color w:val="000000" w:themeColor="text1"/>
          <w:sz w:val="24"/>
          <w:highlight w:val="none"/>
        </w:rPr>
      </w:pPr>
    </w:p>
    <w:p>
      <w:pPr>
        <w:tabs>
          <w:tab w:val="left" w:pos="1004"/>
          <w:tab w:val="left" w:pos="4267"/>
        </w:tabs>
        <w:spacing w:line="400" w:lineRule="exact"/>
        <w:rPr>
          <w:rFonts w:ascii="宋体" w:hAnsi="宋体"/>
          <w:bCs/>
          <w:color w:val="000000" w:themeColor="text1"/>
          <w:highlight w:val="none"/>
        </w:rPr>
        <w:sectPr>
          <w:footerReference r:id="rId12" w:type="first"/>
          <w:footerReference r:id="rId11" w:type="default"/>
          <w:pgSz w:w="11906" w:h="16838"/>
          <w:pgMar w:top="1474" w:right="1418" w:bottom="1474" w:left="1418" w:header="851" w:footer="851" w:gutter="0"/>
          <w:cols w:space="720" w:num="1"/>
          <w:titlePg/>
          <w:docGrid w:linePitch="312" w:charSpace="0"/>
        </w:sectPr>
      </w:pPr>
    </w:p>
    <w:p>
      <w:pPr>
        <w:pStyle w:val="4"/>
        <w:numPr>
          <w:ilvl w:val="1"/>
          <w:numId w:val="0"/>
        </w:numPr>
        <w:rPr>
          <w:color w:val="000000" w:themeColor="text1"/>
          <w:highlight w:val="none"/>
        </w:rPr>
      </w:pPr>
      <w:bookmarkStart w:id="1775" w:name="_Toc21470"/>
      <w:bookmarkStart w:id="1776" w:name="_Toc24255"/>
      <w:r>
        <w:rPr>
          <w:rFonts w:hint="eastAsia"/>
          <w:color w:val="000000" w:themeColor="text1"/>
          <w:highlight w:val="none"/>
        </w:rPr>
        <w:t>（一）资格审查文件要求提交的有效证明文件</w:t>
      </w:r>
      <w:bookmarkEnd w:id="1775"/>
      <w:bookmarkEnd w:id="1776"/>
    </w:p>
    <w:p>
      <w:pPr>
        <w:adjustRightInd w:val="0"/>
        <w:snapToGrid w:val="0"/>
        <w:spacing w:line="360" w:lineRule="auto"/>
        <w:jc w:val="left"/>
        <w:rPr>
          <w:rFonts w:ascii="宋体" w:hAnsi="宋体"/>
          <w:b/>
          <w:bCs/>
          <w:cap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pPr>
        <w:adjustRightInd w:val="0"/>
        <w:snapToGrid w:val="0"/>
        <w:spacing w:line="360" w:lineRule="auto"/>
        <w:ind w:left="1050" w:hanging="1050" w:hangingChars="500"/>
        <w:jc w:val="left"/>
        <w:rPr>
          <w:rFonts w:ascii="宋体" w:hAnsi="宋体"/>
          <w:bC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p>
    <w:p>
      <w:pPr>
        <w:pStyle w:val="5"/>
        <w:rPr>
          <w:color w:val="000000" w:themeColor="text1"/>
          <w:highlight w:val="none"/>
        </w:rPr>
      </w:pP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1、合法有效的营业执照复印件加盖公章；</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w:t>
      </w:r>
      <w:r>
        <w:rPr>
          <w:rFonts w:hint="eastAsia" w:ascii="宋体" w:hAnsi="宋体"/>
          <w:color w:val="000000" w:themeColor="text1"/>
          <w:kern w:val="0"/>
          <w:szCs w:val="21"/>
          <w:highlight w:val="none"/>
        </w:rPr>
        <w:t>财务报表</w:t>
      </w:r>
      <w:r>
        <w:rPr>
          <w:rFonts w:hint="eastAsia" w:ascii="宋体" w:hAnsi="宋体"/>
          <w:color w:val="000000" w:themeColor="text1"/>
          <w:szCs w:val="21"/>
          <w:highlight w:val="none"/>
        </w:rPr>
        <w:t>复印件加盖公章；</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3、缴税证明复印件加盖公章；</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4、社会保险证明复印件加盖公章；</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5、</w:t>
      </w:r>
      <w:r>
        <w:rPr>
          <w:rFonts w:hint="eastAsia" w:hAnsi="黑体"/>
          <w:color w:val="000000" w:themeColor="text1"/>
          <w:szCs w:val="21"/>
          <w:highlight w:val="none"/>
        </w:rPr>
        <w:t>无重大违法记录声明函</w:t>
      </w:r>
      <w:r>
        <w:rPr>
          <w:rFonts w:hint="eastAsia" w:ascii="宋体" w:hAnsi="宋体"/>
          <w:color w:val="000000" w:themeColor="text1"/>
          <w:szCs w:val="21"/>
          <w:highlight w:val="none"/>
        </w:rPr>
        <w:t>；</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6、相关资质证明文件：</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7、</w:t>
      </w:r>
      <w:r>
        <w:rPr>
          <w:rFonts w:ascii="宋体" w:hAnsi="宋体"/>
          <w:color w:val="000000" w:themeColor="text1"/>
          <w:szCs w:val="21"/>
          <w:highlight w:val="none"/>
        </w:rPr>
        <w:t>………</w:t>
      </w:r>
    </w:p>
    <w:p>
      <w:pPr>
        <w:pStyle w:val="5"/>
        <w:rPr>
          <w:rFonts w:hAnsi="宋体"/>
          <w:bCs/>
          <w:color w:val="000000" w:themeColor="text1"/>
          <w:sz w:val="21"/>
          <w:szCs w:val="21"/>
          <w:highlight w:val="none"/>
        </w:rPr>
      </w:pPr>
    </w:p>
    <w:p>
      <w:pPr>
        <w:pStyle w:val="5"/>
        <w:rPr>
          <w:rFonts w:hAnsi="宋体"/>
          <w:bCs/>
          <w:color w:val="000000" w:themeColor="text1"/>
          <w:sz w:val="21"/>
          <w:szCs w:val="21"/>
          <w:highlight w:val="none"/>
        </w:rPr>
      </w:pPr>
    </w:p>
    <w:p>
      <w:pPr>
        <w:pStyle w:val="5"/>
        <w:rPr>
          <w:rFonts w:hAnsi="宋体"/>
          <w:bCs/>
          <w:color w:val="000000" w:themeColor="text1"/>
          <w:sz w:val="21"/>
          <w:szCs w:val="21"/>
          <w:highlight w:val="none"/>
        </w:rPr>
      </w:pPr>
    </w:p>
    <w:p>
      <w:pPr>
        <w:pStyle w:val="5"/>
        <w:rPr>
          <w:rFonts w:hAnsi="宋体"/>
          <w:bCs/>
          <w:color w:val="000000" w:themeColor="text1"/>
          <w:sz w:val="21"/>
          <w:szCs w:val="21"/>
          <w:highlight w:val="none"/>
        </w:rPr>
      </w:pPr>
    </w:p>
    <w:p>
      <w:pPr>
        <w:pStyle w:val="5"/>
        <w:rPr>
          <w:rFonts w:hAnsi="宋体"/>
          <w:color w:val="000000" w:themeColor="text1"/>
          <w:sz w:val="21"/>
          <w:szCs w:val="21"/>
          <w:highlight w:val="none"/>
        </w:rPr>
      </w:pPr>
      <w:r>
        <w:rPr>
          <w:rFonts w:hint="eastAsia" w:hAnsi="宋体"/>
          <w:bCs/>
          <w:color w:val="000000" w:themeColor="text1"/>
          <w:sz w:val="21"/>
          <w:szCs w:val="21"/>
          <w:highlight w:val="none"/>
        </w:rPr>
        <w:t>提供招标文件要求的资格</w:t>
      </w:r>
      <w:r>
        <w:rPr>
          <w:rFonts w:hint="eastAsia" w:hAnsi="宋体"/>
          <w:color w:val="000000" w:themeColor="text1"/>
          <w:sz w:val="21"/>
          <w:szCs w:val="21"/>
          <w:highlight w:val="none"/>
        </w:rPr>
        <w:t>证明文件复印件加盖公章。</w:t>
      </w: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4"/>
        <w:numPr>
          <w:ilvl w:val="1"/>
          <w:numId w:val="0"/>
        </w:numPr>
        <w:rPr>
          <w:rFonts w:hAnsi="黑体"/>
          <w:color w:val="000000" w:themeColor="text1"/>
          <w:szCs w:val="21"/>
          <w:highlight w:val="none"/>
        </w:rPr>
      </w:pPr>
      <w:bookmarkStart w:id="1777" w:name="_Toc26194"/>
      <w:bookmarkStart w:id="1778" w:name="_Toc28431"/>
      <w:r>
        <w:rPr>
          <w:rFonts w:hint="eastAsia" w:hAnsi="黑体"/>
          <w:color w:val="000000" w:themeColor="text1"/>
          <w:szCs w:val="21"/>
          <w:highlight w:val="none"/>
        </w:rPr>
        <w:t>（二）无重大违法记录声明函</w:t>
      </w:r>
      <w:bookmarkEnd w:id="1777"/>
      <w:bookmarkEnd w:id="1778"/>
    </w:p>
    <w:p>
      <w:pPr>
        <w:pStyle w:val="5"/>
        <w:spacing w:line="360" w:lineRule="auto"/>
        <w:ind w:left="420" w:firstLine="0"/>
        <w:rPr>
          <w:color w:val="000000" w:themeColor="text1"/>
          <w:highlight w:val="none"/>
        </w:rPr>
      </w:pPr>
    </w:p>
    <w:p>
      <w:pPr>
        <w:spacing w:line="360" w:lineRule="auto"/>
        <w:rPr>
          <w:color w:val="000000" w:themeColor="text1"/>
          <w:szCs w:val="21"/>
          <w:highlight w:val="none"/>
        </w:rPr>
      </w:pPr>
      <w:r>
        <w:rPr>
          <w:rFonts w:hint="eastAsia"/>
          <w:color w:val="000000" w:themeColor="text1"/>
          <w:szCs w:val="21"/>
          <w:highlight w:val="none"/>
        </w:rPr>
        <w:t>致广东业信采购招标有限公司：</w:t>
      </w:r>
    </w:p>
    <w:p>
      <w:pPr>
        <w:spacing w:line="360" w:lineRule="auto"/>
        <w:rPr>
          <w:rFonts w:ascii="宋体" w:hAnsi="宋体"/>
          <w:bCs/>
          <w:color w:val="000000" w:themeColor="text1"/>
          <w:highlight w:val="none"/>
          <w:u w:val="single"/>
        </w:rPr>
      </w:pPr>
      <w:r>
        <w:rPr>
          <w:rFonts w:hint="eastAsia"/>
          <w:color w:val="000000" w:themeColor="text1"/>
          <w:szCs w:val="21"/>
          <w:highlight w:val="none"/>
        </w:rPr>
        <w:t xml:space="preserve">    针对贵</w:t>
      </w:r>
      <w:r>
        <w:rPr>
          <w:rFonts w:hint="eastAsia" w:ascii="宋体" w:hAnsi="宋体"/>
          <w:color w:val="000000" w:themeColor="text1"/>
          <w:szCs w:val="21"/>
          <w:highlight w:val="none"/>
        </w:rPr>
        <w:t>方</w:t>
      </w:r>
      <w:r>
        <w:rPr>
          <w:rFonts w:hint="eastAsia"/>
          <w:color w:val="000000" w:themeColor="text1"/>
          <w:szCs w:val="21"/>
          <w:highlight w:val="none"/>
        </w:rPr>
        <w:t>组织的（项目名称：</w:t>
      </w:r>
      <w:r>
        <w:rPr>
          <w:rFonts w:hint="eastAsia"/>
          <w:color w:val="000000" w:themeColor="text1"/>
          <w:szCs w:val="21"/>
          <w:highlight w:val="none"/>
          <w:u w:val="single"/>
        </w:rPr>
        <w:t xml:space="preserve">                         </w:t>
      </w:r>
      <w:r>
        <w:rPr>
          <w:rFonts w:hint="eastAsia"/>
          <w:color w:val="000000" w:themeColor="text1"/>
          <w:szCs w:val="21"/>
          <w:highlight w:val="none"/>
        </w:rPr>
        <w:t>）（项目编号：</w:t>
      </w:r>
      <w:r>
        <w:rPr>
          <w:rFonts w:hint="eastAsia" w:ascii="宋体" w:hAnsi="宋体"/>
          <w:bCs/>
          <w:color w:val="000000" w:themeColor="text1"/>
          <w:highlight w:val="none"/>
          <w:u w:val="single"/>
        </w:rPr>
        <w:t xml:space="preserve">            </w:t>
      </w:r>
      <w:r>
        <w:rPr>
          <w:rFonts w:hint="eastAsia"/>
          <w:color w:val="000000" w:themeColor="text1"/>
          <w:szCs w:val="21"/>
          <w:highlight w:val="none"/>
        </w:rPr>
        <w:t>），我方郑重承诺：</w:t>
      </w:r>
    </w:p>
    <w:p>
      <w:pPr>
        <w:spacing w:line="360" w:lineRule="auto"/>
        <w:rPr>
          <w:color w:val="000000" w:themeColor="text1"/>
          <w:szCs w:val="21"/>
          <w:highlight w:val="none"/>
        </w:rPr>
      </w:pPr>
      <w:r>
        <w:rPr>
          <w:rFonts w:hint="eastAsia"/>
          <w:color w:val="000000" w:themeColor="text1"/>
          <w:szCs w:val="21"/>
          <w:highlight w:val="none"/>
        </w:rPr>
        <w:t xml:space="preserve">    参加本次政府采购活动前三年内，在经营活动中没有重大违法记录。</w:t>
      </w:r>
    </w:p>
    <w:p>
      <w:pPr>
        <w:spacing w:line="360" w:lineRule="auto"/>
        <w:rPr>
          <w:color w:val="000000" w:themeColor="text1"/>
          <w:szCs w:val="21"/>
          <w:highlight w:val="none"/>
        </w:rPr>
      </w:pPr>
      <w:r>
        <w:rPr>
          <w:rFonts w:hint="eastAsia"/>
          <w:color w:val="000000" w:themeColor="text1"/>
          <w:szCs w:val="21"/>
          <w:highlight w:val="none"/>
        </w:rPr>
        <w:t xml:space="preserve">    本公司对上述声明的真实性负责。如有虚假，将依法承担相关责任。</w:t>
      </w:r>
    </w:p>
    <w:p>
      <w:pPr>
        <w:spacing w:line="360" w:lineRule="auto"/>
        <w:rPr>
          <w:color w:val="000000" w:themeColor="text1"/>
          <w:szCs w:val="21"/>
          <w:highlight w:val="none"/>
        </w:rPr>
      </w:pPr>
      <w:r>
        <w:rPr>
          <w:rFonts w:hint="eastAsia"/>
          <w:color w:val="000000" w:themeColor="text1"/>
          <w:szCs w:val="21"/>
          <w:highlight w:val="none"/>
        </w:rPr>
        <w:t xml:space="preserve">    特此声明。</w:t>
      </w: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rPr>
          <w:color w:val="000000" w:themeColor="text1"/>
          <w:szCs w:val="21"/>
          <w:highlight w:val="non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pPr>
        <w:spacing w:line="360" w:lineRule="auto"/>
        <w:rPr>
          <w:color w:val="000000" w:themeColor="text1"/>
          <w:szCs w:val="21"/>
          <w:highlight w:val="none"/>
          <w:u w:val="single"/>
        </w:rPr>
      </w:pPr>
      <w:r>
        <w:rPr>
          <w:rFonts w:hint="eastAsia"/>
          <w:color w:val="000000" w:themeColor="text1"/>
          <w:szCs w:val="21"/>
          <w:highlight w:val="none"/>
        </w:rPr>
        <w:t>投标人名称（公章）：</w:t>
      </w:r>
      <w:r>
        <w:rPr>
          <w:rFonts w:hint="eastAsia"/>
          <w:color w:val="000000" w:themeColor="text1"/>
          <w:szCs w:val="21"/>
          <w:highlight w:val="none"/>
          <w:u w:val="single"/>
        </w:rPr>
        <w:t xml:space="preserve">                        </w:t>
      </w:r>
    </w:p>
    <w:p>
      <w:pPr>
        <w:spacing w:line="360" w:lineRule="auto"/>
        <w:rPr>
          <w:color w:val="000000" w:themeColor="text1"/>
          <w:szCs w:val="21"/>
          <w:highlight w:val="none"/>
          <w:u w:val="singl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firstLine="0"/>
        <w:rPr>
          <w:color w:val="000000" w:themeColor="text1"/>
          <w:highlight w:val="none"/>
        </w:rPr>
      </w:pPr>
    </w:p>
    <w:p>
      <w:pPr>
        <w:tabs>
          <w:tab w:val="center" w:pos="4483"/>
        </w:tabs>
        <w:rPr>
          <w:rFonts w:ascii="宋体" w:hAnsi="宋体"/>
          <w:bCs/>
          <w:color w:val="000000" w:themeColor="text1"/>
          <w:szCs w:val="21"/>
          <w:highlight w:val="none"/>
        </w:rPr>
      </w:pPr>
    </w:p>
    <w:p>
      <w:pPr>
        <w:tabs>
          <w:tab w:val="center" w:pos="4483"/>
        </w:tabs>
        <w:rPr>
          <w:rFonts w:ascii="宋体" w:hAnsi="宋体"/>
          <w:bCs/>
          <w:color w:val="000000" w:themeColor="text1"/>
          <w:szCs w:val="21"/>
          <w:highlight w:val="none"/>
        </w:rPr>
      </w:pPr>
    </w:p>
    <w:p>
      <w:pPr>
        <w:pStyle w:val="4"/>
        <w:numPr>
          <w:ilvl w:val="7"/>
          <w:numId w:val="7"/>
        </w:numPr>
        <w:tabs>
          <w:tab w:val="clear" w:pos="720"/>
        </w:tabs>
        <w:ind w:left="720"/>
        <w:rPr>
          <w:color w:val="000000" w:themeColor="text1"/>
          <w:highlight w:val="none"/>
        </w:rPr>
      </w:pPr>
      <w:bookmarkStart w:id="1779" w:name="_Toc23785"/>
      <w:bookmarkStart w:id="1780" w:name="_Toc5256"/>
      <w:r>
        <w:rPr>
          <w:rFonts w:hint="eastAsia"/>
          <w:color w:val="000000" w:themeColor="text1"/>
          <w:highlight w:val="none"/>
        </w:rPr>
        <w:t>投标文件商务及技术部分</w:t>
      </w:r>
      <w:bookmarkEnd w:id="1779"/>
      <w:bookmarkEnd w:id="1780"/>
    </w:p>
    <w:p>
      <w:pPr>
        <w:pStyle w:val="4"/>
        <w:numPr>
          <w:ilvl w:val="1"/>
          <w:numId w:val="0"/>
        </w:numPr>
        <w:rPr>
          <w:color w:val="000000" w:themeColor="text1"/>
          <w:sz w:val="24"/>
          <w:highlight w:val="none"/>
        </w:rPr>
      </w:pPr>
      <w:bookmarkStart w:id="1781" w:name="_Toc11625"/>
      <w:r>
        <w:rPr>
          <w:rFonts w:hint="eastAsia"/>
          <w:color w:val="000000" w:themeColor="text1"/>
          <w:sz w:val="24"/>
          <w:highlight w:val="none"/>
        </w:rPr>
        <w:t>商务及技术封面格式</w:t>
      </w:r>
      <w:bookmarkEnd w:id="1781"/>
    </w:p>
    <w:p>
      <w:pPr>
        <w:pStyle w:val="5"/>
        <w:rPr>
          <w:rFonts w:hAnsi="宋体"/>
          <w:bCs/>
          <w:color w:val="000000" w:themeColor="text1"/>
          <w:sz w:val="21"/>
          <w:highlight w:val="none"/>
        </w:rPr>
      </w:pPr>
    </w:p>
    <w:p>
      <w:pPr>
        <w:pStyle w:val="5"/>
        <w:spacing w:line="360" w:lineRule="auto"/>
        <w:rPr>
          <w:rFonts w:hAnsi="宋体"/>
          <w:bCs/>
          <w:color w:val="000000" w:themeColor="text1"/>
          <w:sz w:val="21"/>
          <w:highlight w:val="none"/>
        </w:rPr>
      </w:pPr>
      <w:r>
        <w:rPr>
          <w:rFonts w:hAnsi="宋体"/>
          <w:bCs/>
          <w:color w:val="000000" w:themeColor="text1"/>
          <w:sz w:val="21"/>
          <w:highlight w:val="none"/>
        </w:rPr>
        <w:t>1</w:t>
      </w:r>
      <w:r>
        <w:rPr>
          <w:rFonts w:hint="eastAsia" w:hAnsi="宋体"/>
          <w:bCs/>
          <w:color w:val="000000" w:themeColor="text1"/>
          <w:sz w:val="21"/>
          <w:highlight w:val="none"/>
        </w:rPr>
        <w:t xml:space="preserve">、投标内容应当编有目录、页码，按页码排序并装订成册。   </w:t>
      </w:r>
    </w:p>
    <w:p>
      <w:pPr>
        <w:pStyle w:val="5"/>
        <w:spacing w:line="360" w:lineRule="auto"/>
        <w:rPr>
          <w:rFonts w:hAnsi="宋体"/>
          <w:b/>
          <w:color w:val="000000" w:themeColor="text1"/>
          <w:sz w:val="21"/>
          <w:szCs w:val="21"/>
          <w:highlight w:val="none"/>
        </w:rPr>
      </w:pPr>
      <w:r>
        <w:rPr>
          <w:rFonts w:hAnsi="宋体"/>
          <w:bCs/>
          <w:color w:val="000000" w:themeColor="text1"/>
          <w:sz w:val="21"/>
          <w:highlight w:val="none"/>
        </w:rPr>
        <w:t>2</w:t>
      </w:r>
      <w:r>
        <w:rPr>
          <w:rFonts w:hint="eastAsia" w:hAnsi="宋体"/>
          <w:bCs/>
          <w:color w:val="000000" w:themeColor="text1"/>
          <w:sz w:val="21"/>
          <w:highlight w:val="none"/>
        </w:rPr>
        <w:t>、文件的封面格式由投</w:t>
      </w:r>
      <w:r>
        <w:rPr>
          <w:rFonts w:hint="eastAsia" w:hAnsi="宋体"/>
          <w:bCs/>
          <w:color w:val="000000" w:themeColor="text1"/>
          <w:sz w:val="21"/>
          <w:szCs w:val="21"/>
          <w:highlight w:val="none"/>
        </w:rPr>
        <w:t>标人自拟</w:t>
      </w:r>
      <w:r>
        <w:rPr>
          <w:rFonts w:hint="eastAsia" w:hAnsi="宋体"/>
          <w:bCs/>
          <w:color w:val="000000" w:themeColor="text1"/>
          <w:sz w:val="21"/>
          <w:highlight w:val="none"/>
        </w:rPr>
        <w:t>，并应注明“投标文件、项目编号、项目名称、投标人名称及地址、法定代表人（负责人）或授权代理人、联系电话、传真、邮编，并加盖投标人公章。</w:t>
      </w: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440" w:lineRule="exact"/>
        <w:ind w:firstLine="0"/>
        <w:jc w:val="both"/>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360" w:lineRule="auto"/>
        <w:jc w:val="center"/>
        <w:rPr>
          <w:rFonts w:hAnsi="宋体"/>
          <w:bCs/>
          <w:color w:val="000000" w:themeColor="text1"/>
          <w:sz w:val="52"/>
          <w:szCs w:val="52"/>
          <w:highlight w:val="none"/>
        </w:rPr>
      </w:pPr>
      <w:r>
        <w:rPr>
          <w:rFonts w:hint="eastAsia" w:hAnsi="宋体"/>
          <w:b/>
          <w:bCs/>
          <w:color w:val="000000" w:themeColor="text1"/>
          <w:sz w:val="52"/>
          <w:szCs w:val="52"/>
          <w:highlight w:val="none"/>
        </w:rPr>
        <w:t>投标文件（□正本、□副本</w:t>
      </w:r>
      <w:r>
        <w:rPr>
          <w:rFonts w:hint="eastAsia" w:hAnsi="宋体"/>
          <w:bCs/>
          <w:color w:val="000000" w:themeColor="text1"/>
          <w:sz w:val="52"/>
          <w:szCs w:val="52"/>
          <w:highlight w:val="none"/>
        </w:rPr>
        <w:t>）</w:t>
      </w:r>
    </w:p>
    <w:p>
      <w:pPr>
        <w:pStyle w:val="5"/>
        <w:spacing w:line="360" w:lineRule="auto"/>
        <w:jc w:val="center"/>
        <w:rPr>
          <w:rFonts w:hAnsi="宋体"/>
          <w:bCs/>
          <w:color w:val="000000" w:themeColor="text1"/>
          <w:sz w:val="52"/>
          <w:szCs w:val="52"/>
          <w:highlight w:val="none"/>
        </w:rPr>
      </w:pPr>
      <w:r>
        <w:rPr>
          <w:rFonts w:hint="eastAsia" w:hAnsi="宋体"/>
          <w:b/>
          <w:color w:val="000000" w:themeColor="text1"/>
          <w:sz w:val="44"/>
          <w:szCs w:val="44"/>
          <w:highlight w:val="none"/>
        </w:rPr>
        <w:t>（商务及技术文件）</w:t>
      </w: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440" w:lineRule="exact"/>
        <w:jc w:val="center"/>
        <w:rPr>
          <w:rFonts w:hAnsi="宋体"/>
          <w:bCs/>
          <w:color w:val="000000" w:themeColor="text1"/>
          <w:sz w:val="21"/>
          <w:highlight w:val="none"/>
        </w:rPr>
      </w:pPr>
    </w:p>
    <w:p>
      <w:pPr>
        <w:pStyle w:val="5"/>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采购项目名称，由投标人填写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投标人名称（公章）：</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投标人地址：</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pPr>
        <w:pStyle w:val="5"/>
        <w:spacing w:line="440" w:lineRule="exact"/>
        <w:rPr>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pPr>
        <w:tabs>
          <w:tab w:val="left" w:pos="1004"/>
          <w:tab w:val="left" w:pos="4267"/>
        </w:tabs>
        <w:spacing w:line="400" w:lineRule="exact"/>
        <w:rPr>
          <w:rFonts w:ascii="宋体" w:hAnsi="宋体"/>
          <w:bCs/>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ind w:firstLine="0"/>
        <w:rPr>
          <w:color w:val="000000" w:themeColor="text1"/>
          <w:highlight w:val="none"/>
        </w:rPr>
      </w:pPr>
    </w:p>
    <w:p>
      <w:pPr>
        <w:pStyle w:val="4"/>
        <w:numPr>
          <w:ilvl w:val="1"/>
          <w:numId w:val="0"/>
        </w:numPr>
        <w:tabs>
          <w:tab w:val="left" w:pos="4320"/>
        </w:tabs>
        <w:spacing w:before="240" w:after="60" w:line="360" w:lineRule="exact"/>
        <w:rPr>
          <w:rFonts w:ascii="宋体"/>
          <w:b/>
          <w:bCs w:val="0"/>
          <w:color w:val="000000" w:themeColor="text1"/>
          <w:szCs w:val="21"/>
          <w:highlight w:val="none"/>
        </w:rPr>
      </w:pPr>
      <w:bookmarkStart w:id="1782" w:name="_Toc19051"/>
      <w:r>
        <w:rPr>
          <w:rFonts w:hint="eastAsia" w:ascii="宋体"/>
          <w:b/>
          <w:bCs w:val="0"/>
          <w:color w:val="000000" w:themeColor="text1"/>
          <w:szCs w:val="21"/>
          <w:highlight w:val="none"/>
        </w:rPr>
        <w:t>符合性自查表</w:t>
      </w:r>
      <w:bookmarkEnd w:id="1782"/>
    </w:p>
    <w:p>
      <w:pPr>
        <w:jc w:val="center"/>
        <w:rPr>
          <w:rFonts w:ascii="宋体" w:hAnsi="宋体"/>
          <w:b/>
          <w:bCs/>
          <w:color w:val="000000" w:themeColor="text1"/>
          <w:szCs w:val="21"/>
          <w:highlight w:val="none"/>
        </w:rPr>
      </w:pPr>
    </w:p>
    <w:tbl>
      <w:tblPr>
        <w:tblStyle w:val="4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1958"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招标文件要求</w:t>
            </w:r>
          </w:p>
        </w:tc>
        <w:tc>
          <w:tcPr>
            <w:tcW w:w="1975"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1964"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restart"/>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color w:val="000000" w:themeColor="text1"/>
                <w:szCs w:val="21"/>
                <w:highlight w:val="none"/>
              </w:rPr>
              <w:t>符合性审查</w:t>
            </w:r>
          </w:p>
        </w:tc>
        <w:tc>
          <w:tcPr>
            <w:tcW w:w="2300" w:type="dxa"/>
            <w:vAlign w:val="center"/>
          </w:tcPr>
          <w:p>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须满足</w:t>
            </w:r>
            <w:r>
              <w:rPr>
                <w:rFonts w:hint="eastAsia" w:ascii="宋体" w:hAnsi="宋体"/>
                <w:color w:val="000000" w:themeColor="text1"/>
                <w:szCs w:val="21"/>
                <w:highlight w:val="none"/>
                <w:lang w:val="en-US" w:eastAsia="zh-CN"/>
              </w:rPr>
              <w:t>带“★”号</w:t>
            </w:r>
            <w:r>
              <w:rPr>
                <w:rFonts w:hint="eastAsia" w:ascii="宋体" w:hAnsi="宋体"/>
                <w:color w:val="000000" w:themeColor="text1"/>
                <w:szCs w:val="21"/>
                <w:highlight w:val="none"/>
              </w:rPr>
              <w:t>要求</w:t>
            </w:r>
          </w:p>
        </w:tc>
        <w:tc>
          <w:tcPr>
            <w:tcW w:w="1958" w:type="dxa"/>
            <w:vAlign w:val="center"/>
          </w:tcPr>
          <w:p>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pPr>
              <w:tabs>
                <w:tab w:val="left" w:pos="480"/>
              </w:tabs>
              <w:ind w:left="480" w:hanging="480"/>
              <w:rPr>
                <w:rFonts w:ascii="宋体" w:hAnsi="宋体"/>
                <w:b/>
                <w:bCs/>
                <w:color w:val="000000" w:themeColor="text1"/>
                <w:szCs w:val="21"/>
                <w:highlight w:val="none"/>
              </w:rPr>
            </w:pPr>
          </w:p>
        </w:tc>
        <w:tc>
          <w:tcPr>
            <w:tcW w:w="196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center"/>
          </w:tcPr>
          <w:p>
            <w:pPr>
              <w:tabs>
                <w:tab w:val="left" w:pos="480"/>
              </w:tabs>
              <w:ind w:left="480" w:hanging="480"/>
              <w:jc w:val="center"/>
              <w:rPr>
                <w:rFonts w:hint="eastAsia" w:ascii="宋体" w:hAnsi="宋体"/>
                <w:color w:val="000000" w:themeColor="text1"/>
                <w:szCs w:val="21"/>
                <w:highlight w:val="none"/>
              </w:rPr>
            </w:pPr>
          </w:p>
        </w:tc>
        <w:tc>
          <w:tcPr>
            <w:tcW w:w="2300" w:type="dxa"/>
            <w:vAlign w:val="center"/>
          </w:tcPr>
          <w:p>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rPr>
            </w:pPr>
            <w:r>
              <w:rPr>
                <w:rFonts w:hint="eastAsia" w:ascii="宋体" w:hAnsi="宋体"/>
                <w:color w:val="000000" w:themeColor="text1"/>
                <w:szCs w:val="21"/>
                <w:highlight w:val="none"/>
              </w:rPr>
              <w:t>服务期须满足要求</w:t>
            </w:r>
          </w:p>
        </w:tc>
        <w:tc>
          <w:tcPr>
            <w:tcW w:w="1958" w:type="dxa"/>
            <w:vAlign w:val="center"/>
          </w:tcPr>
          <w:p>
            <w:pPr>
              <w:tabs>
                <w:tab w:val="left" w:pos="0"/>
              </w:tabs>
              <w:rPr>
                <w:rFonts w:hint="eastAsia" w:ascii="宋体" w:hAnsi="宋体" w:eastAsia="宋体" w:cs="Times New Roman"/>
                <w:b/>
                <w:bCs/>
                <w:color w:val="000000" w:themeColor="text1"/>
                <w:kern w:val="2"/>
                <w:sz w:val="21"/>
                <w:szCs w:val="21"/>
                <w:highlight w:val="none"/>
                <w:lang w:val="en-US" w:eastAsia="zh-CN" w:bidi="ar-SA"/>
              </w:rPr>
            </w:pPr>
            <w:r>
              <w:rPr>
                <w:rFonts w:hint="eastAsia" w:ascii="宋体" w:hAnsi="宋体"/>
                <w:color w:val="000000" w:themeColor="text1"/>
                <w:szCs w:val="21"/>
                <w:highlight w:val="none"/>
              </w:rPr>
              <w:t>按招标文件要求</w:t>
            </w:r>
          </w:p>
        </w:tc>
        <w:tc>
          <w:tcPr>
            <w:tcW w:w="1975" w:type="dxa"/>
            <w:vAlign w:val="center"/>
          </w:tcPr>
          <w:p>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rPr>
            </w:pPr>
          </w:p>
        </w:tc>
        <w:tc>
          <w:tcPr>
            <w:tcW w:w="196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top"/>
          </w:tcPr>
          <w:p>
            <w:pPr>
              <w:tabs>
                <w:tab w:val="left" w:pos="480"/>
              </w:tabs>
              <w:ind w:left="480" w:hanging="480"/>
              <w:jc w:val="center"/>
              <w:rPr>
                <w:rFonts w:ascii="宋体" w:hAnsi="宋体"/>
                <w:b/>
                <w:bCs/>
                <w:color w:val="000000" w:themeColor="text1"/>
                <w:szCs w:val="21"/>
                <w:highlight w:val="none"/>
              </w:rPr>
            </w:pPr>
          </w:p>
        </w:tc>
        <w:tc>
          <w:tcPr>
            <w:tcW w:w="2300" w:type="dxa"/>
            <w:vAlign w:val="center"/>
          </w:tcPr>
          <w:p>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投标报价未超出报价上限</w:t>
            </w:r>
          </w:p>
        </w:tc>
        <w:tc>
          <w:tcPr>
            <w:tcW w:w="1958" w:type="dxa"/>
            <w:vAlign w:val="center"/>
          </w:tcPr>
          <w:p>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pPr>
              <w:tabs>
                <w:tab w:val="left" w:pos="480"/>
              </w:tabs>
              <w:ind w:left="480" w:hanging="480"/>
              <w:rPr>
                <w:rFonts w:ascii="宋体" w:hAnsi="宋体"/>
                <w:b/>
                <w:bCs/>
                <w:color w:val="000000" w:themeColor="text1"/>
                <w:szCs w:val="21"/>
                <w:highlight w:val="none"/>
              </w:rPr>
            </w:pPr>
          </w:p>
        </w:tc>
        <w:tc>
          <w:tcPr>
            <w:tcW w:w="196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top"/>
          </w:tcPr>
          <w:p>
            <w:pPr>
              <w:tabs>
                <w:tab w:val="left" w:pos="480"/>
              </w:tabs>
              <w:ind w:left="480" w:hanging="480"/>
              <w:jc w:val="center"/>
              <w:rPr>
                <w:rFonts w:ascii="宋体" w:hAnsi="宋体"/>
                <w:b/>
                <w:bCs/>
                <w:color w:val="000000" w:themeColor="text1"/>
                <w:szCs w:val="21"/>
                <w:highlight w:val="none"/>
              </w:rPr>
            </w:pPr>
          </w:p>
        </w:tc>
        <w:tc>
          <w:tcPr>
            <w:tcW w:w="2300" w:type="dxa"/>
            <w:vAlign w:val="center"/>
          </w:tcPr>
          <w:p>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保证金须满足要求</w:t>
            </w:r>
          </w:p>
        </w:tc>
        <w:tc>
          <w:tcPr>
            <w:tcW w:w="1958" w:type="dxa"/>
            <w:vAlign w:val="center"/>
          </w:tcPr>
          <w:p>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pPr>
              <w:tabs>
                <w:tab w:val="left" w:pos="480"/>
              </w:tabs>
              <w:ind w:left="480" w:hanging="480"/>
              <w:rPr>
                <w:rFonts w:ascii="宋体" w:hAnsi="宋体"/>
                <w:color w:val="000000" w:themeColor="text1"/>
                <w:szCs w:val="21"/>
                <w:highlight w:val="none"/>
              </w:rPr>
            </w:pPr>
          </w:p>
        </w:tc>
        <w:tc>
          <w:tcPr>
            <w:tcW w:w="196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top"/>
          </w:tcPr>
          <w:p>
            <w:pPr>
              <w:tabs>
                <w:tab w:val="left" w:pos="480"/>
              </w:tabs>
              <w:ind w:left="480" w:hanging="480"/>
              <w:jc w:val="center"/>
              <w:rPr>
                <w:rFonts w:ascii="宋体" w:hAnsi="宋体"/>
                <w:b/>
                <w:bCs/>
                <w:color w:val="000000" w:themeColor="text1"/>
                <w:szCs w:val="21"/>
                <w:highlight w:val="none"/>
              </w:rPr>
            </w:pPr>
          </w:p>
        </w:tc>
        <w:tc>
          <w:tcPr>
            <w:tcW w:w="2300" w:type="dxa"/>
            <w:vAlign w:val="center"/>
          </w:tcPr>
          <w:p>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法定代表人/负责人资格证明书及授权委托书</w:t>
            </w:r>
          </w:p>
        </w:tc>
        <w:tc>
          <w:tcPr>
            <w:tcW w:w="1958" w:type="dxa"/>
            <w:vAlign w:val="center"/>
          </w:tcPr>
          <w:p>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按对应格式文件签署、盖章(原件)</w:t>
            </w:r>
          </w:p>
        </w:tc>
        <w:tc>
          <w:tcPr>
            <w:tcW w:w="1975" w:type="dxa"/>
            <w:vAlign w:val="center"/>
          </w:tcPr>
          <w:p>
            <w:pPr>
              <w:pStyle w:val="9"/>
              <w:rPr>
                <w:rFonts w:ascii="宋体" w:hAnsi="宋体"/>
                <w:bCs/>
                <w:color w:val="000000" w:themeColor="text1"/>
                <w:szCs w:val="21"/>
                <w:highlight w:val="none"/>
              </w:rPr>
            </w:pPr>
          </w:p>
        </w:tc>
        <w:tc>
          <w:tcPr>
            <w:tcW w:w="196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top"/>
          </w:tcPr>
          <w:p>
            <w:pPr>
              <w:tabs>
                <w:tab w:val="left" w:pos="480"/>
              </w:tabs>
              <w:ind w:left="480" w:hanging="480"/>
              <w:jc w:val="center"/>
              <w:rPr>
                <w:rFonts w:ascii="宋体" w:hAnsi="宋体"/>
                <w:b/>
                <w:bCs/>
                <w:color w:val="000000" w:themeColor="text1"/>
                <w:szCs w:val="21"/>
                <w:highlight w:val="none"/>
              </w:rPr>
            </w:pPr>
          </w:p>
        </w:tc>
        <w:tc>
          <w:tcPr>
            <w:tcW w:w="2300" w:type="dxa"/>
            <w:vAlign w:val="center"/>
          </w:tcPr>
          <w:p>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其他要求</w:t>
            </w:r>
          </w:p>
        </w:tc>
        <w:tc>
          <w:tcPr>
            <w:tcW w:w="1958" w:type="dxa"/>
            <w:vAlign w:val="center"/>
          </w:tcPr>
          <w:p>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按投标资料清单中规定提供“必须提交”的文件资料</w:t>
            </w:r>
          </w:p>
        </w:tc>
        <w:tc>
          <w:tcPr>
            <w:tcW w:w="1975" w:type="dxa"/>
            <w:vAlign w:val="center"/>
          </w:tcPr>
          <w:p>
            <w:pPr>
              <w:tabs>
                <w:tab w:val="left" w:pos="480"/>
              </w:tabs>
              <w:ind w:left="480" w:hanging="480"/>
              <w:rPr>
                <w:color w:val="000000" w:themeColor="text1"/>
                <w:highlight w:val="none"/>
              </w:rPr>
            </w:pPr>
          </w:p>
        </w:tc>
        <w:tc>
          <w:tcPr>
            <w:tcW w:w="196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bl>
    <w:p>
      <w:pPr>
        <w:tabs>
          <w:tab w:val="center" w:pos="4483"/>
        </w:tabs>
        <w:ind w:left="315" w:leftChars="50" w:hanging="210" w:hangingChars="100"/>
        <w:rPr>
          <w:rFonts w:ascii="宋体" w:hAnsi="宋体"/>
          <w:color w:val="000000" w:themeColor="text1"/>
          <w:szCs w:val="21"/>
          <w:highlight w:val="none"/>
        </w:rPr>
      </w:pPr>
    </w:p>
    <w:p>
      <w:pPr>
        <w:tabs>
          <w:tab w:val="center" w:pos="4483"/>
        </w:tabs>
        <w:ind w:left="525" w:leftChars="50" w:hanging="420" w:hangingChars="200"/>
        <w:rPr>
          <w:rFonts w:ascii="宋体" w:hAnsi="宋体"/>
          <w:color w:val="000000" w:themeColor="text1"/>
          <w:szCs w:val="21"/>
          <w:highlight w:val="none"/>
        </w:rPr>
      </w:pPr>
      <w:r>
        <w:rPr>
          <w:rFonts w:hint="eastAsia" w:ascii="宋体" w:hAnsi="宋体"/>
          <w:color w:val="000000" w:themeColor="text1"/>
          <w:szCs w:val="21"/>
          <w:highlight w:val="none"/>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将会直接导致无效投标。</w:t>
      </w:r>
      <w:r>
        <w:rPr>
          <w:rFonts w:hint="eastAsia" w:ascii="宋体" w:hAnsi="宋体"/>
          <w:bCs/>
          <w:color w:val="000000" w:themeColor="text1"/>
          <w:szCs w:val="21"/>
          <w:highlight w:val="none"/>
        </w:rPr>
        <w:t>不能继续参与后续评标，有效投标人少于3家的将导致废标。废标后，除采购任务取消情形外，应当重新组织采购。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pPr>
        <w:tabs>
          <w:tab w:val="center" w:pos="4483"/>
        </w:tabs>
        <w:ind w:left="525" w:leftChars="50" w:hanging="420" w:hangingChars="200"/>
        <w:rPr>
          <w:rFonts w:ascii="宋体" w:hAnsi="宋体"/>
          <w:color w:val="000000" w:themeColor="text1"/>
          <w:szCs w:val="21"/>
          <w:highlight w:val="none"/>
        </w:rPr>
      </w:pPr>
      <w:r>
        <w:rPr>
          <w:rFonts w:hint="eastAsia" w:ascii="宋体" w:hAnsi="宋体"/>
          <w:color w:val="000000" w:themeColor="text1"/>
          <w:szCs w:val="21"/>
          <w:highlight w:val="none"/>
        </w:rPr>
        <w:t xml:space="preserve">    2.</w:t>
      </w:r>
      <w:r>
        <w:rPr>
          <w:rFonts w:hint="eastAsia" w:ascii="宋体" w:hAnsi="宋体"/>
          <w:bCs/>
          <w:color w:val="000000" w:themeColor="text1"/>
          <w:szCs w:val="21"/>
          <w:highlight w:val="none"/>
        </w:rPr>
        <w:t>投标人的投标文件为法定代表人（负责人）签署并由法定代表人（负责人）亲自递交投标文件和参加开标会的，可不提供“法定代表人（负责人）授权书”及“代理人身份证”。</w:t>
      </w:r>
    </w:p>
    <w:p>
      <w:pPr>
        <w:tabs>
          <w:tab w:val="center" w:pos="4483"/>
        </w:tabs>
        <w:ind w:left="525" w:leftChars="50" w:hanging="420" w:hangingChars="200"/>
        <w:rPr>
          <w:color w:val="000000" w:themeColor="text1"/>
          <w:szCs w:val="21"/>
          <w:highlight w:val="none"/>
        </w:rPr>
      </w:pP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p>
    <w:p>
      <w:pPr>
        <w:adjustRightInd w:val="0"/>
        <w:snapToGrid w:val="0"/>
        <w:spacing w:line="300" w:lineRule="auto"/>
        <w:rPr>
          <w:color w:val="000000" w:themeColor="text1"/>
          <w:szCs w:val="21"/>
          <w:highlight w:val="none"/>
        </w:rPr>
      </w:pPr>
    </w:p>
    <w:p>
      <w:pPr>
        <w:adjustRightInd w:val="0"/>
        <w:snapToGrid w:val="0"/>
        <w:spacing w:line="30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pPr>
        <w:pStyle w:val="4"/>
        <w:numPr>
          <w:ilvl w:val="1"/>
          <w:numId w:val="0"/>
        </w:numPr>
        <w:tabs>
          <w:tab w:val="left" w:pos="4320"/>
        </w:tabs>
        <w:spacing w:before="240" w:after="60" w:line="480" w:lineRule="exact"/>
        <w:rPr>
          <w:rFonts w:ascii="宋体"/>
          <w:b/>
          <w:color w:val="000000" w:themeColor="text1"/>
          <w:szCs w:val="21"/>
          <w:highlight w:val="none"/>
        </w:rPr>
      </w:pPr>
      <w:r>
        <w:rPr>
          <w:rFonts w:ascii="宋体"/>
          <w:b/>
          <w:bCs w:val="0"/>
          <w:color w:val="000000" w:themeColor="text1"/>
          <w:szCs w:val="21"/>
          <w:highlight w:val="none"/>
        </w:rPr>
        <w:t xml:space="preserve">  </w:t>
      </w:r>
      <w:bookmarkStart w:id="1783" w:name="_Toc26704"/>
      <w:r>
        <w:rPr>
          <w:rFonts w:hint="eastAsia" w:ascii="宋体"/>
          <w:b/>
          <w:color w:val="000000" w:themeColor="text1"/>
          <w:szCs w:val="21"/>
          <w:highlight w:val="none"/>
        </w:rPr>
        <w:t xml:space="preserve"> </w:t>
      </w:r>
      <w:bookmarkStart w:id="1784" w:name="_Toc29136"/>
      <w:r>
        <w:rPr>
          <w:rFonts w:hint="eastAsia" w:ascii="宋体"/>
          <w:b/>
          <w:color w:val="000000" w:themeColor="text1"/>
          <w:szCs w:val="21"/>
          <w:highlight w:val="none"/>
        </w:rPr>
        <w:t>评审项目投标资料表</w:t>
      </w:r>
      <w:bookmarkEnd w:id="1783"/>
      <w:bookmarkEnd w:id="1784"/>
    </w:p>
    <w:p>
      <w:pPr>
        <w:jc w:val="center"/>
        <w:rPr>
          <w:rFonts w:ascii="宋体" w:hAnsi="宋体" w:eastAsia="黑体"/>
          <w:b/>
          <w:color w:val="000000" w:themeColor="text1"/>
          <w:kern w:val="44"/>
          <w:szCs w:val="21"/>
          <w:highlight w:val="none"/>
        </w:rPr>
      </w:pPr>
    </w:p>
    <w:tbl>
      <w:tblPr>
        <w:tblStyle w:val="46"/>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pPr>
              <w:pStyle w:val="224"/>
              <w:adjustRightInd/>
              <w:spacing w:before="0" w:after="0" w:line="240" w:lineRule="auto"/>
              <w:textAlignment w:val="auto"/>
              <w:rPr>
                <w:rFonts w:ascii="宋体" w:hAnsi="宋体"/>
                <w:color w:val="000000" w:themeColor="text1"/>
                <w:spacing w:val="0"/>
                <w:kern w:val="2"/>
                <w:sz w:val="21"/>
                <w:szCs w:val="21"/>
                <w:highlight w:val="none"/>
              </w:rPr>
            </w:pPr>
            <w:r>
              <w:rPr>
                <w:rFonts w:hint="eastAsia" w:ascii="宋体" w:hAnsi="宋体"/>
                <w:color w:val="000000" w:themeColor="text1"/>
                <w:spacing w:val="0"/>
                <w:kern w:val="2"/>
                <w:sz w:val="21"/>
                <w:szCs w:val="21"/>
                <w:highlight w:val="none"/>
              </w:rPr>
              <w:t>评审分项</w:t>
            </w:r>
          </w:p>
        </w:tc>
        <w:tc>
          <w:tcPr>
            <w:tcW w:w="5202" w:type="dxa"/>
            <w:vAlign w:val="center"/>
          </w:tcPr>
          <w:p>
            <w:pPr>
              <w:pStyle w:val="224"/>
              <w:adjustRightInd/>
              <w:spacing w:before="0" w:after="0" w:line="240" w:lineRule="auto"/>
              <w:textAlignment w:val="auto"/>
              <w:rPr>
                <w:rFonts w:ascii="宋体" w:hAnsi="宋体"/>
                <w:color w:val="000000" w:themeColor="text1"/>
                <w:spacing w:val="0"/>
                <w:kern w:val="2"/>
                <w:sz w:val="21"/>
                <w:szCs w:val="21"/>
                <w:highlight w:val="none"/>
              </w:rPr>
            </w:pPr>
            <w:r>
              <w:rPr>
                <w:rFonts w:hint="eastAsia" w:ascii="宋体" w:hAnsi="宋体"/>
                <w:color w:val="000000" w:themeColor="text1"/>
                <w:spacing w:val="0"/>
                <w:kern w:val="2"/>
                <w:sz w:val="21"/>
                <w:szCs w:val="21"/>
                <w:highlight w:val="none"/>
              </w:rPr>
              <w:t>评审细则</w:t>
            </w:r>
          </w:p>
        </w:tc>
        <w:tc>
          <w:tcPr>
            <w:tcW w:w="2300" w:type="dxa"/>
            <w:vAlign w:val="center"/>
          </w:tcPr>
          <w:p>
            <w:pPr>
              <w:pStyle w:val="224"/>
              <w:adjustRightInd/>
              <w:spacing w:before="0" w:after="0" w:line="240" w:lineRule="auto"/>
              <w:textAlignment w:val="auto"/>
              <w:rPr>
                <w:rFonts w:ascii="宋体" w:hAnsi="宋体"/>
                <w:color w:val="000000" w:themeColor="text1"/>
                <w:spacing w:val="0"/>
                <w:kern w:val="2"/>
                <w:sz w:val="21"/>
                <w:szCs w:val="21"/>
                <w:highlight w:val="none"/>
              </w:rPr>
            </w:pPr>
            <w:r>
              <w:rPr>
                <w:rFonts w:hint="eastAsia" w:ascii="宋体" w:hAnsi="宋体"/>
                <w:color w:val="000000" w:themeColor="text1"/>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pPr>
              <w:pStyle w:val="53"/>
              <w:tabs>
                <w:tab w:val="clear" w:pos="360"/>
              </w:tabs>
              <w:jc w:val="both"/>
              <w:rPr>
                <w:rFonts w:ascii="宋体" w:hAnsi="宋体" w:eastAsia="宋体" w:cs="Times New Roman"/>
                <w:color w:val="000000" w:themeColor="text1"/>
                <w:sz w:val="2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pPr>
              <w:pStyle w:val="32"/>
              <w:ind w:left="420" w:firstLine="420"/>
              <w:jc w:val="cente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bl>
    <w:p>
      <w:pPr>
        <w:adjustRightInd w:val="0"/>
        <w:snapToGrid w:val="0"/>
        <w:spacing w:line="300" w:lineRule="auto"/>
        <w:rPr>
          <w:rFonts w:ascii="宋体" w:hAnsi="宋体"/>
          <w:color w:val="000000" w:themeColor="text1"/>
          <w:szCs w:val="21"/>
          <w:highlight w:val="none"/>
        </w:rPr>
      </w:pPr>
    </w:p>
    <w:p>
      <w:pPr>
        <w:adjustRightInd w:val="0"/>
        <w:snapToGrid w:val="0"/>
        <w:spacing w:line="30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pPr>
        <w:pStyle w:val="5"/>
        <w:rPr>
          <w:color w:val="000000" w:themeColor="text1"/>
          <w:highlight w:val="none"/>
        </w:rPr>
      </w:pPr>
    </w:p>
    <w:p>
      <w:pPr>
        <w:pStyle w:val="5"/>
        <w:rPr>
          <w:color w:val="000000" w:themeColor="text1"/>
          <w:highlight w:val="none"/>
        </w:rPr>
      </w:pPr>
    </w:p>
    <w:bookmarkEnd w:id="1448"/>
    <w:bookmarkEnd w:id="1449"/>
    <w:bookmarkEnd w:id="1450"/>
    <w:bookmarkEnd w:id="1451"/>
    <w:bookmarkEnd w:id="1452"/>
    <w:p>
      <w:pPr>
        <w:tabs>
          <w:tab w:val="center" w:pos="4483"/>
        </w:tabs>
        <w:rPr>
          <w:rFonts w:ascii="宋体" w:hAnsi="宋体"/>
          <w:bCs/>
          <w:color w:val="000000" w:themeColor="text1"/>
          <w:szCs w:val="21"/>
          <w:highlight w:val="none"/>
        </w:rPr>
      </w:pPr>
      <w:bookmarkStart w:id="1785" w:name="_Toc479991610"/>
      <w:bookmarkStart w:id="1786" w:name="_Toc480021081"/>
      <w:bookmarkStart w:id="1787" w:name="_Toc6397150"/>
      <w:bookmarkStart w:id="1788" w:name="_Toc468606057"/>
      <w:bookmarkStart w:id="1789" w:name="_Toc480010736"/>
      <w:bookmarkStart w:id="1790" w:name="_Toc467987851"/>
      <w:bookmarkStart w:id="1791" w:name="_Toc468157564"/>
      <w:bookmarkStart w:id="1792" w:name="_Toc467236768"/>
      <w:bookmarkStart w:id="1793" w:name="_Toc500861026"/>
      <w:bookmarkStart w:id="1794" w:name="_Toc480020285"/>
      <w:bookmarkStart w:id="1795" w:name="_Toc6727971"/>
      <w:bookmarkStart w:id="1796" w:name="_Toc454701405"/>
      <w:bookmarkStart w:id="1797" w:name="_Toc491658679"/>
      <w:bookmarkStart w:id="1798" w:name="_Toc458262638"/>
    </w:p>
    <w:p>
      <w:pPr>
        <w:pStyle w:val="4"/>
        <w:numPr>
          <w:ilvl w:val="1"/>
          <w:numId w:val="0"/>
        </w:numPr>
        <w:rPr>
          <w:color w:val="000000" w:themeColor="text1"/>
          <w:highlight w:val="none"/>
        </w:rPr>
      </w:pPr>
      <w:bookmarkStart w:id="1799" w:name="_Toc17042"/>
      <w:bookmarkStart w:id="1800" w:name="_Toc13455"/>
      <w:r>
        <w:rPr>
          <w:rFonts w:hint="eastAsia"/>
          <w:color w:val="000000" w:themeColor="text1"/>
          <w:highlight w:val="none"/>
        </w:rPr>
        <w:t>（一）法定代表人（负责人）证明书</w:t>
      </w:r>
      <w:bookmarkEnd w:id="1799"/>
      <w:bookmarkEnd w:id="1800"/>
    </w:p>
    <w:p>
      <w:pPr>
        <w:pStyle w:val="5"/>
        <w:rPr>
          <w:color w:val="000000" w:themeColor="text1"/>
          <w:highlight w:val="none"/>
        </w:rPr>
      </w:pP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单位法定代表人（负责人）姓名     </w:t>
      </w:r>
      <w:r>
        <w:rPr>
          <w:rFonts w:hint="eastAsia" w:ascii="宋体" w:hAnsi="宋体"/>
          <w:color w:val="000000" w:themeColor="text1"/>
          <w:highlight w:val="none"/>
        </w:rPr>
        <w:t>同志，现任</w:t>
      </w:r>
      <w:r>
        <w:rPr>
          <w:rFonts w:hint="eastAsia" w:ascii="宋体" w:hAnsi="宋体"/>
          <w:color w:val="000000" w:themeColor="text1"/>
          <w:highlight w:val="none"/>
          <w:u w:val="single"/>
        </w:rPr>
        <w:t xml:space="preserve">       投标人名称                  </w:t>
      </w:r>
      <w:r>
        <w:rPr>
          <w:rFonts w:hint="eastAsia" w:ascii="宋体" w:hAnsi="宋体"/>
          <w:color w:val="000000" w:themeColor="text1"/>
          <w:highlight w:val="none"/>
        </w:rPr>
        <w:t>的</w:t>
      </w:r>
      <w:r>
        <w:rPr>
          <w:rFonts w:hint="eastAsia" w:ascii="宋体" w:hAnsi="宋体"/>
          <w:color w:val="000000" w:themeColor="text1"/>
          <w:highlight w:val="none"/>
          <w:u w:val="single"/>
        </w:rPr>
        <w:t xml:space="preserve">   职务    </w:t>
      </w:r>
      <w:r>
        <w:rPr>
          <w:rFonts w:hint="eastAsia" w:ascii="宋体" w:hAnsi="宋体"/>
          <w:color w:val="000000" w:themeColor="text1"/>
          <w:highlight w:val="none"/>
        </w:rPr>
        <w:t>，为法定代表人（负责人），特此证明。</w:t>
      </w: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 xml:space="preserve">      </w:t>
      </w:r>
    </w:p>
    <w:p>
      <w:pPr>
        <w:spacing w:line="560" w:lineRule="exact"/>
        <w:ind w:firstLine="420" w:firstLineChars="200"/>
        <w:rPr>
          <w:rFonts w:ascii="宋体" w:hAnsi="宋体"/>
          <w:color w:val="000000" w:themeColor="text1"/>
          <w:highlight w:val="none"/>
          <w:u w:val="single"/>
        </w:rPr>
      </w:pPr>
      <w:r>
        <w:rPr>
          <w:rFonts w:hint="eastAsia" w:ascii="宋体" w:hAnsi="宋体"/>
          <w:color w:val="000000" w:themeColor="text1"/>
          <w:highlight w:val="none"/>
        </w:rPr>
        <w:t>签发单位：</w:t>
      </w:r>
      <w:r>
        <w:rPr>
          <w:rFonts w:hint="eastAsia" w:ascii="宋体" w:hAnsi="宋体"/>
          <w:color w:val="000000" w:themeColor="text1"/>
          <w:highlight w:val="none"/>
          <w:u w:val="single"/>
        </w:rPr>
        <w:t xml:space="preserve">（名称并加盖公章）                      </w:t>
      </w: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pPr>
        <w:spacing w:line="560" w:lineRule="exact"/>
        <w:ind w:firstLine="420" w:firstLineChars="200"/>
        <w:rPr>
          <w:rFonts w:ascii="宋体" w:hAnsi="宋体"/>
          <w:color w:val="000000" w:themeColor="text1"/>
          <w:highlight w:val="none"/>
        </w:rPr>
      </w:pP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附：代表人性别：</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年龄：</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岁    </w:t>
      </w:r>
    </w:p>
    <w:p>
      <w:pPr>
        <w:spacing w:line="480" w:lineRule="exact"/>
        <w:ind w:firstLine="420" w:firstLineChars="200"/>
        <w:rPr>
          <w:rFonts w:ascii="宋体" w:hAnsi="宋体"/>
          <w:color w:val="000000" w:themeColor="text1"/>
          <w:highlight w:val="none"/>
        </w:rPr>
      </w:pPr>
    </w:p>
    <w:p>
      <w:pPr>
        <w:spacing w:line="480" w:lineRule="exact"/>
        <w:ind w:firstLine="420" w:firstLineChars="200"/>
        <w:rPr>
          <w:rFonts w:ascii="宋体" w:hAnsi="宋体"/>
          <w:color w:val="000000" w:themeColor="text1"/>
          <w:highlight w:val="none"/>
        </w:rPr>
      </w:pPr>
      <w:r>
        <w:rPr>
          <w:rFonts w:hint="eastAsia" w:ascii="宋体" w:hAnsi="宋体"/>
          <w:color w:val="000000" w:themeColor="text1"/>
          <w:highlight w:val="none"/>
        </w:rPr>
        <w:t>说明： 内容必须填写真实、清楚，涂改无效，不得转让、买卖。</w:t>
      </w:r>
    </w:p>
    <w:p>
      <w:pPr>
        <w:spacing w:line="480" w:lineRule="exact"/>
        <w:ind w:firstLine="420" w:firstLineChars="200"/>
        <w:rPr>
          <w:rFonts w:ascii="宋体" w:hAnsi="宋体"/>
          <w:color w:val="000000" w:themeColor="text1"/>
          <w:highlight w:val="none"/>
        </w:rPr>
      </w:pPr>
    </w:p>
    <w:p>
      <w:pPr>
        <w:pStyle w:val="5"/>
        <w:rPr>
          <w:rFonts w:hAnsi="宋体"/>
          <w:color w:val="000000" w:themeColor="text1"/>
          <w:sz w:val="21"/>
          <w:highlight w:val="none"/>
        </w:rPr>
      </w:pPr>
    </w:p>
    <w:p>
      <w:pPr>
        <w:pStyle w:val="5"/>
        <w:rPr>
          <w:color w:val="000000" w:themeColor="text1"/>
          <w:highlight w:val="none"/>
        </w:rPr>
        <w:sectPr>
          <w:footerReference r:id="rId13" w:type="default"/>
          <w:pgSz w:w="11906" w:h="16838"/>
          <w:pgMar w:top="1474" w:right="1418" w:bottom="1474" w:left="1418" w:header="851" w:footer="851" w:gutter="0"/>
          <w:cols w:space="720" w:num="1"/>
          <w:titlePg/>
          <w:docGrid w:linePitch="312" w:charSpace="0"/>
        </w:sectPr>
      </w:pPr>
      <w:r>
        <w:rPr>
          <w:rFonts w:ascii="宋体" w:hAnsi="Times New Roman" w:eastAsia="宋体" w:cs="Times New Roman"/>
          <w:color w:val="000000" w:themeColor="text1"/>
          <w:kern w:val="0"/>
          <w:sz w:val="34"/>
          <w:szCs w:val="20"/>
          <w:highlight w:val="none"/>
          <w:lang w:val="en-US" w:eastAsia="zh-CN" w:bidi="ar-SA"/>
        </w:rPr>
        <w:pict>
          <v:shape id="自选图形 2" o:spid="_x0000_s1027" o:spt="176" type="#_x0000_t176" style="position:absolute;left:0pt;margin-left:68.25pt;margin-top:27.3pt;height:135.65pt;width:273.55pt;z-index:251660288;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
                <w:p>
                  <w:pPr>
                    <w:jc w:val="center"/>
                  </w:pPr>
                  <w:r>
                    <w:rPr>
                      <w:rFonts w:hint="eastAsia"/>
                    </w:rPr>
                    <w:t>身份证正反面复印件</w:t>
                  </w:r>
                </w:p>
              </w:txbxContent>
            </v:textbox>
          </v:shape>
        </w:pict>
      </w:r>
    </w:p>
    <w:p>
      <w:pPr>
        <w:pStyle w:val="4"/>
        <w:numPr>
          <w:ilvl w:val="1"/>
          <w:numId w:val="0"/>
        </w:numPr>
        <w:rPr>
          <w:color w:val="000000" w:themeColor="text1"/>
          <w:highlight w:val="none"/>
        </w:rPr>
      </w:pPr>
      <w:bookmarkStart w:id="1801" w:name="_Toc29932"/>
      <w:bookmarkStart w:id="1802" w:name="_Toc27194"/>
      <w:r>
        <w:rPr>
          <w:rFonts w:hint="eastAsia"/>
          <w:color w:val="000000" w:themeColor="text1"/>
          <w:highlight w:val="none"/>
        </w:rPr>
        <w:t>（二）法定代表人（负责人）授权书</w:t>
      </w:r>
      <w:bookmarkEnd w:id="1801"/>
      <w:bookmarkEnd w:id="1802"/>
    </w:p>
    <w:p>
      <w:pPr>
        <w:spacing w:line="360" w:lineRule="auto"/>
        <w:ind w:firstLine="420" w:firstLineChars="200"/>
        <w:rPr>
          <w:rFonts w:ascii="宋体" w:hAnsi="宋体"/>
          <w:bCs/>
          <w:color w:val="000000" w:themeColor="text1"/>
          <w:kern w:val="0"/>
          <w:highlight w:val="none"/>
        </w:rPr>
      </w:pPr>
    </w:p>
    <w:p>
      <w:pPr>
        <w:spacing w:line="360" w:lineRule="auto"/>
        <w:ind w:firstLine="420" w:firstLineChars="200"/>
        <w:rPr>
          <w:color w:val="000000" w:themeColor="text1"/>
          <w:highlight w:val="none"/>
        </w:rPr>
      </w:pPr>
      <w:r>
        <w:rPr>
          <w:rFonts w:hint="eastAsia" w:ascii="宋体" w:hAnsi="宋体"/>
          <w:bCs/>
          <w:color w:val="000000" w:themeColor="text1"/>
          <w:kern w:val="0"/>
          <w:highlight w:val="none"/>
        </w:rPr>
        <w:t>本授权委托书声明：我</w:t>
      </w:r>
      <w:r>
        <w:rPr>
          <w:rFonts w:hint="eastAsia" w:ascii="宋体" w:hAnsi="宋体"/>
          <w:bCs/>
          <w:color w:val="000000" w:themeColor="text1"/>
          <w:kern w:val="0"/>
          <w:highlight w:val="none"/>
          <w:u w:val="single"/>
        </w:rPr>
        <w:t xml:space="preserve">       （单位法定代表人（负责人）姓名）</w:t>
      </w:r>
      <w:r>
        <w:rPr>
          <w:rFonts w:hint="eastAsia" w:ascii="宋体" w:hAnsi="宋体"/>
          <w:bCs/>
          <w:color w:val="000000" w:themeColor="text1"/>
          <w:kern w:val="0"/>
          <w:highlight w:val="none"/>
        </w:rPr>
        <w:t xml:space="preserve"> 系</w:t>
      </w:r>
      <w:r>
        <w:rPr>
          <w:rFonts w:hint="eastAsia" w:ascii="宋体" w:hAnsi="宋体"/>
          <w:bCs/>
          <w:color w:val="000000" w:themeColor="text1"/>
          <w:kern w:val="0"/>
          <w:highlight w:val="none"/>
          <w:u w:val="single"/>
        </w:rPr>
        <w:t xml:space="preserve">       （投标人名称）</w:t>
      </w:r>
      <w:r>
        <w:rPr>
          <w:rFonts w:hint="eastAsia" w:ascii="宋体" w:hAnsi="宋体"/>
          <w:bCs/>
          <w:color w:val="000000" w:themeColor="text1"/>
          <w:kern w:val="0"/>
          <w:highlight w:val="none"/>
        </w:rPr>
        <w:t>的法定代表人（负责人），现授权委托</w:t>
      </w:r>
      <w:r>
        <w:rPr>
          <w:rFonts w:hint="eastAsia" w:ascii="宋体" w:hAnsi="宋体"/>
          <w:bCs/>
          <w:color w:val="000000" w:themeColor="text1"/>
          <w:kern w:val="0"/>
          <w:highlight w:val="none"/>
          <w:u w:val="single"/>
        </w:rPr>
        <w:t xml:space="preserve">                        （投标人名称）</w:t>
      </w:r>
      <w:r>
        <w:rPr>
          <w:rFonts w:hint="eastAsia" w:ascii="宋体" w:hAnsi="宋体"/>
          <w:bCs/>
          <w:color w:val="000000" w:themeColor="text1"/>
          <w:kern w:val="0"/>
          <w:highlight w:val="none"/>
        </w:rPr>
        <w:t>的</w:t>
      </w:r>
      <w:r>
        <w:rPr>
          <w:rFonts w:hint="eastAsia" w:ascii="宋体" w:hAnsi="宋体"/>
          <w:bCs/>
          <w:color w:val="000000" w:themeColor="text1"/>
          <w:kern w:val="0"/>
          <w:highlight w:val="none"/>
          <w:u w:val="single"/>
        </w:rPr>
        <w:t xml:space="preserve">            （代理人姓名）</w:t>
      </w:r>
      <w:r>
        <w:rPr>
          <w:rFonts w:hint="eastAsia" w:ascii="宋体" w:hAnsi="宋体"/>
          <w:bCs/>
          <w:color w:val="000000" w:themeColor="text1"/>
          <w:kern w:val="0"/>
          <w:highlight w:val="none"/>
        </w:rPr>
        <w:t>为我公司代理人，以本公司的名义参加广东业信采购招标有限公司组织的</w:t>
      </w:r>
      <w:r>
        <w:rPr>
          <w:rFonts w:hint="eastAsia"/>
          <w:color w:val="000000" w:themeColor="text1"/>
          <w:szCs w:val="21"/>
          <w:highlight w:val="none"/>
        </w:rPr>
        <w:t>（项目名称：</w:t>
      </w:r>
      <w:r>
        <w:rPr>
          <w:rFonts w:hint="eastAsia"/>
          <w:color w:val="000000" w:themeColor="text1"/>
          <w:szCs w:val="21"/>
          <w:highlight w:val="none"/>
          <w:u w:val="single"/>
        </w:rPr>
        <w:t xml:space="preserve">                      </w:t>
      </w:r>
      <w:r>
        <w:rPr>
          <w:rFonts w:hint="eastAsia"/>
          <w:color w:val="000000" w:themeColor="text1"/>
          <w:szCs w:val="21"/>
          <w:highlight w:val="none"/>
        </w:rPr>
        <w:t>）</w:t>
      </w:r>
      <w:r>
        <w:rPr>
          <w:rFonts w:hint="eastAsia" w:ascii="宋体" w:hAnsi="宋体"/>
          <w:bCs/>
          <w:color w:val="000000" w:themeColor="text1"/>
          <w:highlight w:val="none"/>
        </w:rPr>
        <w:t>招标（</w:t>
      </w:r>
      <w:r>
        <w:rPr>
          <w:rFonts w:hint="eastAsia"/>
          <w:color w:val="000000" w:themeColor="text1"/>
          <w:szCs w:val="21"/>
          <w:highlight w:val="none"/>
        </w:rPr>
        <w:t>项目编号：</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w:t>
      </w:r>
      <w:r>
        <w:rPr>
          <w:rFonts w:hint="eastAsia" w:ascii="宋体" w:hAnsi="宋体"/>
          <w:bCs/>
          <w:color w:val="000000" w:themeColor="text1"/>
          <w:kern w:val="0"/>
          <w:highlight w:val="none"/>
        </w:rPr>
        <w:t>的投标活动。代理人在开标、评标、合同谈判过程中所签署的一切文件和处理与之有关的一切事务，我均予以承认。本授权委托书自签署之日起生效，特此声明。</w:t>
      </w:r>
    </w:p>
    <w:p>
      <w:pPr>
        <w:spacing w:line="560" w:lineRule="exact"/>
        <w:ind w:firstLine="420" w:firstLineChars="200"/>
        <w:rPr>
          <w:rFonts w:ascii="宋体" w:hAnsi="宋体"/>
          <w:bCs/>
          <w:color w:val="000000" w:themeColor="text1"/>
          <w:kern w:val="0"/>
          <w:highlight w:val="none"/>
        </w:rPr>
      </w:pPr>
      <w:r>
        <w:rPr>
          <w:rFonts w:hint="eastAsia" w:ascii="宋体" w:hAnsi="宋体"/>
          <w:bCs/>
          <w:color w:val="000000" w:themeColor="text1"/>
          <w:kern w:val="0"/>
          <w:highlight w:val="none"/>
        </w:rPr>
        <w:t>代理人无转移委托权。</w:t>
      </w:r>
    </w:p>
    <w:p>
      <w:pPr>
        <w:spacing w:line="560" w:lineRule="exact"/>
        <w:ind w:firstLine="420" w:firstLineChars="200"/>
        <w:rPr>
          <w:rFonts w:ascii="宋体" w:hAnsi="宋体"/>
          <w:bCs/>
          <w:color w:val="000000" w:themeColor="text1"/>
          <w:kern w:val="0"/>
          <w:highlight w:val="none"/>
        </w:rPr>
      </w:pPr>
      <w:r>
        <w:rPr>
          <w:rFonts w:hint="eastAsia" w:ascii="宋体" w:hAnsi="宋体"/>
          <w:bCs/>
          <w:color w:val="000000" w:themeColor="text1"/>
          <w:kern w:val="0"/>
          <w:highlight w:val="none"/>
        </w:rPr>
        <w:t>特此委托。</w:t>
      </w:r>
    </w:p>
    <w:p>
      <w:pPr>
        <w:autoSpaceDE w:val="0"/>
        <w:autoSpaceDN w:val="0"/>
        <w:adjustRightInd w:val="0"/>
        <w:snapToGrid w:val="0"/>
        <w:spacing w:line="440" w:lineRule="exact"/>
        <w:ind w:firstLine="600"/>
        <w:jc w:val="left"/>
        <w:rPr>
          <w:rFonts w:ascii="宋体" w:hAnsi="宋体"/>
          <w:bCs/>
          <w:color w:val="000000" w:themeColor="text1"/>
          <w:kern w:val="0"/>
          <w:highlight w:val="none"/>
        </w:rPr>
      </w:pPr>
    </w:p>
    <w:p>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代理人：</w:t>
      </w:r>
      <w:r>
        <w:rPr>
          <w:rFonts w:hint="eastAsia" w:ascii="宋体" w:hAnsi="宋体"/>
          <w:bCs/>
          <w:color w:val="000000" w:themeColor="text1"/>
          <w:kern w:val="0"/>
          <w:highlight w:val="none"/>
          <w:u w:val="single"/>
        </w:rPr>
        <w:t xml:space="preserve">   </w:t>
      </w:r>
      <w:r>
        <w:rPr>
          <w:rFonts w:ascii="宋体" w:hAnsi="宋体"/>
          <w:bCs/>
          <w:color w:val="000000" w:themeColor="text1"/>
          <w:kern w:val="0"/>
          <w:highlight w:val="none"/>
          <w:u w:val="single"/>
        </w:rPr>
        <w:t xml:space="preserve"> </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性别：</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年龄：</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职务：</w:t>
      </w:r>
      <w:r>
        <w:rPr>
          <w:rFonts w:hint="eastAsia" w:ascii="宋体" w:hAnsi="宋体"/>
          <w:bCs/>
          <w:color w:val="000000" w:themeColor="text1"/>
          <w:kern w:val="0"/>
          <w:highlight w:val="none"/>
          <w:u w:val="single"/>
        </w:rPr>
        <w:t xml:space="preserve">           </w:t>
      </w:r>
    </w:p>
    <w:p>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投标人：</w:t>
      </w:r>
      <w:r>
        <w:rPr>
          <w:rFonts w:hint="eastAsia" w:ascii="宋体" w:hAnsi="宋体"/>
          <w:bCs/>
          <w:color w:val="000000" w:themeColor="text1"/>
          <w:kern w:val="0"/>
          <w:highlight w:val="none"/>
          <w:u w:val="single"/>
        </w:rPr>
        <w:t xml:space="preserve">          （名称并加盖公章）                                         </w:t>
      </w:r>
    </w:p>
    <w:p>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法定代表人（负责人）：</w:t>
      </w:r>
      <w:r>
        <w:rPr>
          <w:rFonts w:hint="eastAsia" w:ascii="宋体" w:hAnsi="宋体"/>
          <w:bCs/>
          <w:color w:val="000000" w:themeColor="text1"/>
          <w:kern w:val="0"/>
          <w:highlight w:val="none"/>
          <w:u w:val="single"/>
        </w:rPr>
        <w:t xml:space="preserve">    （签字或盖章）         </w:t>
      </w: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pPr>
        <w:autoSpaceDE w:val="0"/>
        <w:autoSpaceDN w:val="0"/>
        <w:adjustRightInd w:val="0"/>
        <w:snapToGrid w:val="0"/>
        <w:spacing w:line="360" w:lineRule="auto"/>
        <w:ind w:firstLine="630"/>
        <w:rPr>
          <w:rFonts w:ascii="宋体" w:hAnsi="宋体"/>
          <w:bCs/>
          <w:color w:val="000000" w:themeColor="text1"/>
          <w:kern w:val="0"/>
          <w:highlight w:val="none"/>
        </w:rPr>
      </w:pPr>
    </w:p>
    <w:p>
      <w:pPr>
        <w:rPr>
          <w:rFonts w:ascii="宋体" w:hAnsi="宋体"/>
          <w:b/>
          <w:color w:val="000000" w:themeColor="text1"/>
          <w:szCs w:val="21"/>
          <w:highlight w:val="none"/>
        </w:rPr>
      </w:pPr>
      <w:r>
        <w:rPr>
          <w:rFonts w:hint="eastAsia" w:ascii="宋体" w:hAnsi="宋体"/>
          <w:b/>
          <w:color w:val="000000" w:themeColor="text1"/>
          <w:szCs w:val="21"/>
          <w:highlight w:val="none"/>
        </w:rPr>
        <w:t>（注：投标人的投标文件为法定代表人（负责人）签署并由法定代表人（负责人）亲自递交投标文件和参加开标会的，不须提供该委托书，但需提供法定代表人（负责人）证明书及法定代表人（负责人）的身份证复印件。）</w:t>
      </w:r>
    </w:p>
    <w:p>
      <w:pPr>
        <w:rPr>
          <w:color w:val="000000" w:themeColor="text1"/>
          <w:highlight w:val="none"/>
        </w:rPr>
      </w:pPr>
    </w:p>
    <w:p>
      <w:pPr>
        <w:rPr>
          <w:color w:val="000000" w:themeColor="text1"/>
          <w:highlight w:val="none"/>
        </w:rPr>
      </w:pPr>
    </w:p>
    <w:p>
      <w:pPr>
        <w:rPr>
          <w:color w:val="000000" w:themeColor="text1"/>
          <w:highlight w:val="none"/>
        </w:rPr>
      </w:pPr>
      <w:r>
        <w:rPr>
          <w:rFonts w:ascii="Times New Roman" w:hAnsi="Times New Roman" w:eastAsia="宋体" w:cs="Times New Roman"/>
          <w:color w:val="000000" w:themeColor="text1"/>
          <w:kern w:val="2"/>
          <w:sz w:val="21"/>
          <w:szCs w:val="24"/>
          <w:highlight w:val="none"/>
          <w:lang w:val="en-US" w:eastAsia="zh-CN" w:bidi="ar-SA"/>
        </w:rPr>
        <w:pict>
          <v:shape id="自选图形 3" o:spid="_x0000_s1028" o:spt="176" type="#_x0000_t176" style="position:absolute;left:0pt;margin-left:99.75pt;margin-top:-0.05pt;height:137.65pt;width:275.8pt;z-index:251659264;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
                <w:p/>
                <w:p>
                  <w:pPr>
                    <w:jc w:val="center"/>
                  </w:pPr>
                  <w:r>
                    <w:rPr>
                      <w:rFonts w:hint="eastAsia"/>
                    </w:rPr>
                    <w:t>身份证正反面复印件</w:t>
                  </w:r>
                </w:p>
              </w:txbxContent>
            </v:textbox>
          </v:shape>
        </w:pict>
      </w: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tabs>
          <w:tab w:val="center" w:pos="4483"/>
        </w:tabs>
        <w:rPr>
          <w:rFonts w:ascii="宋体" w:hAnsi="宋体"/>
          <w:bCs/>
          <w:color w:val="000000" w:themeColor="text1"/>
          <w:szCs w:val="21"/>
          <w:highlight w:val="none"/>
        </w:rPr>
      </w:pPr>
    </w:p>
    <w:p>
      <w:pPr>
        <w:tabs>
          <w:tab w:val="center" w:pos="4483"/>
        </w:tabs>
        <w:rPr>
          <w:rFonts w:ascii="宋体" w:hAnsi="宋体"/>
          <w:bCs/>
          <w:color w:val="000000" w:themeColor="text1"/>
          <w:szCs w:val="21"/>
          <w:highlight w:val="none"/>
        </w:rPr>
      </w:pPr>
    </w:p>
    <w:p>
      <w:pPr>
        <w:tabs>
          <w:tab w:val="center" w:pos="4483"/>
        </w:tabs>
        <w:rPr>
          <w:rFonts w:ascii="宋体" w:hAnsi="宋体"/>
          <w:bCs/>
          <w:color w:val="000000" w:themeColor="text1"/>
          <w:szCs w:val="21"/>
          <w:highlight w:val="none"/>
        </w:rPr>
      </w:pPr>
    </w:p>
    <w:p>
      <w:pPr>
        <w:tabs>
          <w:tab w:val="center" w:pos="4483"/>
        </w:tabs>
        <w:rPr>
          <w:rFonts w:ascii="宋体" w:hAnsi="宋体"/>
          <w:bCs/>
          <w:color w:val="000000" w:themeColor="text1"/>
          <w:szCs w:val="21"/>
          <w:highlight w:val="none"/>
        </w:rPr>
        <w:sectPr>
          <w:footerReference r:id="rId14" w:type="default"/>
          <w:pgSz w:w="11906" w:h="16838"/>
          <w:pgMar w:top="1418" w:right="1474" w:bottom="1418" w:left="1474" w:header="851" w:footer="851" w:gutter="0"/>
          <w:cols w:space="720" w:num="1"/>
          <w:titlePg/>
          <w:docGrid w:linePitch="312" w:charSpace="0"/>
        </w:sectPr>
      </w:pPr>
    </w:p>
    <w:p>
      <w:pPr>
        <w:pStyle w:val="4"/>
        <w:numPr>
          <w:ilvl w:val="1"/>
          <w:numId w:val="0"/>
        </w:numPr>
        <w:rPr>
          <w:color w:val="000000" w:themeColor="text1"/>
          <w:highlight w:val="none"/>
        </w:rPr>
      </w:pPr>
      <w:bookmarkStart w:id="1803" w:name="_Toc333237699"/>
      <w:bookmarkStart w:id="1804" w:name="_Toc350438770"/>
      <w:bookmarkStart w:id="1805" w:name="_Toc366072550"/>
      <w:bookmarkStart w:id="1806" w:name="_Toc336681956"/>
      <w:bookmarkStart w:id="1807" w:name="_Toc340672890"/>
      <w:bookmarkStart w:id="1808" w:name="_Toc331684063"/>
      <w:bookmarkStart w:id="1809" w:name="_Toc342060396"/>
      <w:bookmarkStart w:id="1810" w:name="_Toc343247121"/>
      <w:bookmarkStart w:id="1811" w:name="_Toc339020254"/>
      <w:bookmarkStart w:id="1812" w:name="_Toc342312464"/>
      <w:bookmarkStart w:id="1813" w:name="_Toc17323"/>
      <w:bookmarkStart w:id="1814" w:name="_Toc343612941"/>
      <w:bookmarkStart w:id="1815" w:name="_Toc339020036"/>
      <w:bookmarkStart w:id="1816" w:name="_Toc333237810"/>
      <w:bookmarkStart w:id="1817" w:name="_Toc333238655"/>
      <w:bookmarkStart w:id="1818" w:name="_Toc342398151"/>
      <w:bookmarkStart w:id="1819" w:name="_Toc333935708"/>
      <w:bookmarkStart w:id="1820" w:name="_Toc330460007"/>
      <w:bookmarkStart w:id="1821" w:name="_Toc350756471"/>
      <w:bookmarkStart w:id="1822" w:name="_Toc332270368"/>
      <w:bookmarkStart w:id="1823" w:name="_Toc342296782"/>
      <w:bookmarkStart w:id="1824" w:name="_Toc336681601"/>
      <w:bookmarkStart w:id="1825" w:name="_Toc365985199"/>
      <w:bookmarkStart w:id="1826" w:name="_Toc339441108"/>
      <w:bookmarkStart w:id="1827" w:name="_Toc332206730"/>
      <w:bookmarkStart w:id="1828" w:name="_Toc339020116"/>
      <w:bookmarkStart w:id="1829" w:name="_Toc345312618"/>
      <w:bookmarkStart w:id="1830" w:name="_Toc341348361"/>
      <w:bookmarkStart w:id="1831" w:name="_Toc365967093"/>
      <w:bookmarkStart w:id="1832" w:name="_Toc339019910"/>
      <w:bookmarkStart w:id="1833" w:name="_Toc340677091"/>
      <w:bookmarkStart w:id="1834" w:name="_Toc340507463"/>
      <w:bookmarkStart w:id="1835" w:name="_Toc337632379"/>
      <w:bookmarkStart w:id="1836" w:name="_Toc333935367"/>
      <w:bookmarkStart w:id="1837" w:name="_Toc331512922"/>
      <w:bookmarkStart w:id="1838" w:name="_Toc343248439"/>
      <w:bookmarkStart w:id="1839" w:name="_Toc339362321"/>
      <w:r>
        <w:rPr>
          <w:rFonts w:hint="eastAsia"/>
          <w:color w:val="000000" w:themeColor="text1"/>
          <w:highlight w:val="none"/>
        </w:rPr>
        <w:t>附件一：投标</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r>
        <w:rPr>
          <w:rFonts w:hint="eastAsia"/>
          <w:color w:val="000000" w:themeColor="text1"/>
          <w:highlight w:val="none"/>
        </w:rPr>
        <w:t>函</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pPr>
        <w:widowControl/>
        <w:spacing w:line="400" w:lineRule="exact"/>
        <w:jc w:val="left"/>
        <w:rPr>
          <w:rFonts w:ascii="宋体" w:hAnsi="宋体" w:cs="宋体"/>
          <w:b/>
          <w:color w:val="000000" w:themeColor="text1"/>
          <w:kern w:val="0"/>
          <w:sz w:val="24"/>
          <w:highlight w:val="none"/>
          <w:u w:val="single"/>
        </w:rPr>
      </w:pPr>
      <w:r>
        <w:rPr>
          <w:rFonts w:ascii="宋体" w:hAnsi="宋体"/>
          <w:b/>
          <w:bCs/>
          <w:color w:val="000000" w:themeColor="text1"/>
          <w:highlight w:val="none"/>
        </w:rPr>
        <w:t>致</w:t>
      </w:r>
      <w:r>
        <w:rPr>
          <w:rFonts w:ascii="宋体" w:hAnsi="宋体"/>
          <w:b/>
          <w:bCs/>
          <w:color w:val="000000" w:themeColor="text1"/>
          <w:highlight w:val="none"/>
          <w:u w:val="single"/>
        </w:rPr>
        <w:t>（采购人</w:t>
      </w:r>
      <w:r>
        <w:rPr>
          <w:rFonts w:hint="eastAsia" w:ascii="宋体" w:hAnsi="宋体"/>
          <w:b/>
          <w:bCs/>
          <w:color w:val="000000" w:themeColor="text1"/>
          <w:highlight w:val="none"/>
          <w:u w:val="single"/>
        </w:rPr>
        <w:t>名称</w:t>
      </w:r>
      <w:r>
        <w:rPr>
          <w:rFonts w:ascii="宋体" w:hAnsi="宋体"/>
          <w:b/>
          <w:bCs/>
          <w:color w:val="000000" w:themeColor="text1"/>
          <w:highlight w:val="none"/>
          <w:u w:val="single"/>
        </w:rPr>
        <w:t>）           </w:t>
      </w:r>
      <w:r>
        <w:rPr>
          <w:rFonts w:ascii="宋体" w:hAnsi="宋体" w:cs="宋体"/>
          <w:b/>
          <w:color w:val="000000" w:themeColor="text1"/>
          <w:kern w:val="0"/>
          <w:sz w:val="24"/>
          <w:highlight w:val="none"/>
        </w:rPr>
        <w:t xml:space="preserve">： </w:t>
      </w:r>
    </w:p>
    <w:p>
      <w:pPr>
        <w:adjustRightInd w:val="0"/>
        <w:snapToGrid w:val="0"/>
        <w:spacing w:line="400" w:lineRule="exact"/>
        <w:ind w:firstLine="420"/>
        <w:rPr>
          <w:rFonts w:ascii="宋体" w:hAnsi="宋体"/>
          <w:b/>
          <w:bCs/>
          <w:color w:val="000000" w:themeColor="text1"/>
          <w:highlight w:val="none"/>
        </w:rPr>
      </w:pPr>
      <w:r>
        <w:rPr>
          <w:rFonts w:hint="eastAsia" w:ascii="宋体" w:hAnsi="宋体"/>
          <w:b/>
          <w:bCs/>
          <w:color w:val="000000" w:themeColor="text1"/>
          <w:highlight w:val="none"/>
        </w:rPr>
        <w:t>根据贵方就</w:t>
      </w:r>
      <w:r>
        <w:rPr>
          <w:rFonts w:hint="eastAsia" w:hAnsi="宋体" w:cs="宋体"/>
          <w:b/>
          <w:color w:val="000000" w:themeColor="text1"/>
          <w:szCs w:val="21"/>
          <w:highlight w:val="none"/>
          <w:u w:val="single"/>
        </w:rPr>
        <w:t>项目名称</w:t>
      </w:r>
      <w:r>
        <w:rPr>
          <w:rFonts w:hint="eastAsia" w:ascii="宋体" w:hAnsi="宋体" w:cs="宋体"/>
          <w:b/>
          <w:color w:val="000000" w:themeColor="text1"/>
          <w:szCs w:val="21"/>
          <w:highlight w:val="none"/>
          <w:u w:val="single"/>
        </w:rPr>
        <w:t xml:space="preserve">，由投标人填写    </w:t>
      </w:r>
      <w:r>
        <w:rPr>
          <w:rFonts w:hint="eastAsia" w:ascii="宋体" w:hAnsi="宋体"/>
          <w:b/>
          <w:bCs/>
          <w:color w:val="000000" w:themeColor="text1"/>
          <w:highlight w:val="none"/>
        </w:rPr>
        <w:t>的投标邀请（项目编号:</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），我方正式响应投标并提交投标文件</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份正本和</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份副本，</w:t>
      </w:r>
      <w:r>
        <w:rPr>
          <w:rFonts w:hint="eastAsia" w:ascii="宋体" w:hAnsi="宋体"/>
          <w:b/>
          <w:color w:val="000000" w:themeColor="text1"/>
          <w:kern w:val="0"/>
          <w:szCs w:val="21"/>
          <w:highlight w:val="none"/>
        </w:rPr>
        <w:t>电子文件</w:t>
      </w:r>
      <w:r>
        <w:rPr>
          <w:rFonts w:hint="eastAsia" w:ascii="宋体" w:hAnsi="宋体"/>
          <w:b/>
          <w:color w:val="000000" w:themeColor="text1"/>
          <w:kern w:val="0"/>
          <w:szCs w:val="21"/>
          <w:highlight w:val="none"/>
          <w:u w:val="single"/>
        </w:rPr>
        <w:t xml:space="preserve">    </w:t>
      </w:r>
      <w:r>
        <w:rPr>
          <w:rFonts w:hint="eastAsia" w:ascii="宋体" w:hAnsi="宋体"/>
          <w:b/>
          <w:color w:val="000000" w:themeColor="text1"/>
          <w:kern w:val="0"/>
          <w:szCs w:val="21"/>
          <w:highlight w:val="none"/>
        </w:rPr>
        <w:t>份</w:t>
      </w:r>
      <w:r>
        <w:rPr>
          <w:rFonts w:hint="eastAsia" w:ascii="宋体" w:hAnsi="宋体"/>
          <w:b/>
          <w:bCs/>
          <w:color w:val="000000" w:themeColor="text1"/>
          <w:highlight w:val="none"/>
        </w:rPr>
        <w:t>。</w:t>
      </w:r>
    </w:p>
    <w:p>
      <w:pPr>
        <w:widowControl/>
        <w:tabs>
          <w:tab w:val="left" w:pos="840"/>
        </w:tabs>
        <w:adjustRightInd w:val="0"/>
        <w:snapToGrid w:val="0"/>
        <w:rPr>
          <w:rFonts w:ascii="宋体" w:hAnsi="宋体"/>
          <w:b/>
          <w:bCs/>
          <w:color w:val="000000" w:themeColor="text1"/>
          <w:highlight w:val="none"/>
        </w:rPr>
      </w:pPr>
    </w:p>
    <w:p>
      <w:pPr>
        <w:widowControl/>
        <w:tabs>
          <w:tab w:val="left" w:pos="502"/>
        </w:tabs>
        <w:adjustRightInd w:val="0"/>
        <w:snapToGrid w:val="0"/>
        <w:spacing w:line="360" w:lineRule="auto"/>
        <w:ind w:left="374" w:leftChars="177" w:hanging="2" w:hangingChars="1"/>
        <w:rPr>
          <w:rFonts w:ascii="宋体" w:hAnsi="宋体"/>
          <w:b/>
          <w:color w:val="000000" w:themeColor="text1"/>
          <w:highlight w:val="none"/>
        </w:rPr>
      </w:pPr>
      <w:r>
        <w:rPr>
          <w:rFonts w:hint="eastAsia" w:ascii="宋体" w:hAnsi="宋体"/>
          <w:b/>
          <w:bCs/>
          <w:color w:val="000000" w:themeColor="text1"/>
          <w:highlight w:val="none"/>
        </w:rPr>
        <w:t>以</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形式提交的投标保证金，金额为大写</w:t>
      </w:r>
      <w:r>
        <w:rPr>
          <w:rFonts w:hint="eastAsia" w:ascii="宋体"/>
          <w:b/>
          <w:color w:val="000000" w:themeColor="text1"/>
          <w:highlight w:val="none"/>
        </w:rPr>
        <w:t>人民币</w:t>
      </w:r>
      <w:r>
        <w:rPr>
          <w:rFonts w:hint="eastAsia" w:ascii="宋体"/>
          <w:b/>
          <w:color w:val="000000" w:themeColor="text1"/>
          <w:highlight w:val="none"/>
          <w:u w:val="single"/>
        </w:rPr>
        <w:t xml:space="preserve">             </w:t>
      </w:r>
      <w:r>
        <w:rPr>
          <w:rFonts w:hint="eastAsia" w:ascii="宋体"/>
          <w:b/>
          <w:color w:val="000000" w:themeColor="text1"/>
          <w:highlight w:val="none"/>
        </w:rPr>
        <w:t>（</w:t>
      </w:r>
      <w:r>
        <w:rPr>
          <w:rFonts w:hint="eastAsia" w:ascii="宋体"/>
          <w:b/>
          <w:bCs/>
          <w:color w:val="000000" w:themeColor="text1"/>
          <w:highlight w:val="none"/>
        </w:rPr>
        <w:t>￥</w:t>
      </w:r>
      <w:r>
        <w:rPr>
          <w:rFonts w:hint="eastAsia" w:ascii="宋体"/>
          <w:b/>
          <w:bCs/>
          <w:color w:val="000000" w:themeColor="text1"/>
          <w:highlight w:val="none"/>
          <w:u w:val="single"/>
        </w:rPr>
        <w:t xml:space="preserve">          </w:t>
      </w:r>
      <w:r>
        <w:rPr>
          <w:rFonts w:hint="eastAsia" w:ascii="宋体"/>
          <w:b/>
          <w:bCs/>
          <w:color w:val="000000" w:themeColor="text1"/>
          <w:highlight w:val="none"/>
        </w:rPr>
        <w:t>）。</w:t>
      </w:r>
    </w:p>
    <w:p>
      <w:pPr>
        <w:widowControl/>
        <w:tabs>
          <w:tab w:val="left" w:pos="502"/>
        </w:tabs>
        <w:adjustRightInd w:val="0"/>
        <w:snapToGrid w:val="0"/>
        <w:spacing w:line="360" w:lineRule="auto"/>
        <w:ind w:left="374" w:leftChars="177" w:hanging="2" w:hangingChars="1"/>
        <w:rPr>
          <w:rFonts w:ascii="宋体" w:hAnsi="宋体"/>
          <w:b/>
          <w:bCs/>
          <w:color w:val="000000" w:themeColor="text1"/>
          <w:highlight w:val="none"/>
        </w:rPr>
      </w:pPr>
      <w:r>
        <w:rPr>
          <w:rFonts w:hint="eastAsia" w:ascii="宋体" w:hAnsi="宋体"/>
          <w:b/>
          <w:bCs/>
          <w:color w:val="000000" w:themeColor="text1"/>
          <w:highlight w:val="none"/>
        </w:rPr>
        <w:t>据此函，签字代表宣布同意如下：</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具有独立承担民事责任的能力</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具有良好的商业信誉和健全的财务会计制度</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具有履行合同所必需的设备和专业技术能力</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有依法缴纳税收和社会保障资金的良好记录</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参加政府采购活动前三年内，在经营活动中没有重大违法记录</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法律、行政法规规定的其他条件</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bCs/>
          <w:color w:val="000000" w:themeColor="text1"/>
          <w:highlight w:val="none"/>
        </w:rPr>
        <w:t>为采购项目提供整体设计、规范编制或者项目管理、监理、检测等服务的供应商，不再参加该采购项目的其他采购活动。</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bCs/>
          <w:color w:val="000000" w:themeColor="text1"/>
          <w:highlight w:val="none"/>
        </w:rPr>
        <w:t>单位负责人为同一人或者存在直接控股、管理关系的不同供应商，不得参加同一合同项下的政府采购活动。</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本次投标所报内容完全按照招标文件要求填报，所有内容都是真实、准确的。</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投标人将按招标文件的规定履行全部合同责任和义务。</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投标人已详细审查全部招标文件，包括修改文件（如有的话）以及全部参考资料和有关附件。我们完全理解并同意放弃对这方面有不明及误解的权利。</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本次投标自开标日起有效期为90天。</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如果在规定的开标时间后，投标人在投标有效期内撤回投标文件，投标保证金将被贵</w:t>
      </w:r>
      <w:r>
        <w:rPr>
          <w:rFonts w:hint="eastAsia" w:ascii="宋体" w:hAnsi="宋体"/>
          <w:color w:val="000000" w:themeColor="text1"/>
          <w:szCs w:val="21"/>
          <w:highlight w:val="none"/>
        </w:rPr>
        <w:t>方</w:t>
      </w:r>
      <w:r>
        <w:rPr>
          <w:rFonts w:hint="eastAsia" w:ascii="宋体" w:hAnsi="宋体"/>
          <w:bCs/>
          <w:color w:val="000000" w:themeColor="text1"/>
          <w:highlight w:val="none"/>
        </w:rPr>
        <w:t>不予退还。</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投标人同意提供按照贵方可能要求与其投标有关的一切数据或资料，完全理解贵方不一定接受最低价的投标或收到的任何投标。</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与本投标有关的一切正式往来通讯请寄至投标文件封面指定地址、联系方式。</w:t>
      </w:r>
    </w:p>
    <w:p>
      <w:pPr>
        <w:adjustRightInd w:val="0"/>
        <w:snapToGrid w:val="0"/>
        <w:spacing w:line="400" w:lineRule="exact"/>
        <w:rPr>
          <w:rFonts w:ascii="宋体" w:hAnsi="宋体"/>
          <w:bCs/>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40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23"/>
        <w:spacing w:line="400" w:lineRule="exact"/>
        <w:rPr>
          <w:rFonts w:hAnsi="宋体"/>
          <w:color w:val="000000" w:themeColor="text1"/>
          <w:highlight w:val="none"/>
        </w:rPr>
      </w:pPr>
      <w:r>
        <w:rPr>
          <w:rFonts w:hint="eastAsia" w:hAnsi="宋体"/>
          <w:color w:val="000000" w:themeColor="text1"/>
          <w:highlight w:val="none"/>
        </w:rPr>
        <w:t>注：本投标函为投标人响应本次招标项目的郑重承诺，投标人不得改动且必须满足。</w:t>
      </w:r>
    </w:p>
    <w:p>
      <w:pPr>
        <w:pStyle w:val="23"/>
        <w:spacing w:line="400" w:lineRule="exact"/>
        <w:rPr>
          <w:rFonts w:hAnsi="宋体"/>
          <w:color w:val="000000" w:themeColor="text1"/>
          <w:highlight w:val="none"/>
        </w:rPr>
      </w:pPr>
    </w:p>
    <w:p>
      <w:pPr>
        <w:rPr>
          <w:rFonts w:hint="eastAsia"/>
          <w:color w:val="000000" w:themeColor="text1"/>
          <w:highlight w:val="none"/>
        </w:rPr>
      </w:pPr>
      <w:bookmarkStart w:id="1840" w:name="_Hlt16935467"/>
      <w:bookmarkEnd w:id="1840"/>
      <w:bookmarkStart w:id="1841" w:name="_Toc336681957"/>
      <w:bookmarkStart w:id="1842" w:name="_Toc332206731"/>
      <w:bookmarkStart w:id="1843" w:name="_Toc333935368"/>
      <w:bookmarkStart w:id="1844" w:name="_Toc340672891"/>
      <w:bookmarkStart w:id="1845" w:name="_Toc336681602"/>
      <w:bookmarkStart w:id="1846" w:name="_Toc339441109"/>
      <w:bookmarkStart w:id="1847" w:name="_Toc345312619"/>
      <w:bookmarkStart w:id="1848" w:name="_Toc339019911"/>
      <w:bookmarkStart w:id="1849" w:name="_Toc340507464"/>
      <w:bookmarkStart w:id="1850" w:name="_Toc330460008"/>
      <w:bookmarkStart w:id="1851" w:name="_Toc350756472"/>
      <w:bookmarkStart w:id="1852" w:name="_Toc343247122"/>
      <w:bookmarkStart w:id="1853" w:name="_Toc340677092"/>
      <w:bookmarkStart w:id="1854" w:name="_Toc333238656"/>
      <w:bookmarkStart w:id="1855" w:name="_Toc366072551"/>
      <w:bookmarkStart w:id="1856" w:name="_Toc337632380"/>
      <w:bookmarkStart w:id="1857" w:name="_Toc339362322"/>
      <w:bookmarkStart w:id="1858" w:name="_Toc339020255"/>
      <w:bookmarkStart w:id="1859" w:name="_Toc342312465"/>
      <w:bookmarkStart w:id="1860" w:name="_Toc331512923"/>
      <w:bookmarkStart w:id="1861" w:name="_Toc343612942"/>
      <w:bookmarkStart w:id="1862" w:name="_Toc342060397"/>
      <w:bookmarkStart w:id="1863" w:name="_Toc78816017"/>
      <w:bookmarkStart w:id="1864" w:name="_Toc332270369"/>
      <w:bookmarkStart w:id="1865" w:name="_Toc365985200"/>
      <w:bookmarkStart w:id="1866" w:name="_Toc333237811"/>
      <w:bookmarkStart w:id="1867" w:name="_Toc350438771"/>
      <w:bookmarkStart w:id="1868" w:name="_Toc365967094"/>
      <w:bookmarkStart w:id="1869" w:name="_Toc342296783"/>
      <w:bookmarkStart w:id="1870" w:name="_Toc342398152"/>
      <w:bookmarkStart w:id="1871" w:name="_Toc341348362"/>
      <w:bookmarkStart w:id="1872" w:name="_Toc331684064"/>
      <w:bookmarkStart w:id="1873" w:name="_Toc339020117"/>
      <w:bookmarkStart w:id="1874" w:name="_Toc343248440"/>
      <w:bookmarkStart w:id="1875" w:name="_Toc333237700"/>
      <w:bookmarkStart w:id="1876" w:name="_Toc333935709"/>
      <w:bookmarkStart w:id="1877" w:name="_Toc339020037"/>
      <w:r>
        <w:rPr>
          <w:rFonts w:hint="eastAsia"/>
          <w:color w:val="000000" w:themeColor="text1"/>
          <w:highlight w:val="none"/>
        </w:rPr>
        <w:br w:type="page"/>
      </w:r>
    </w:p>
    <w:p>
      <w:pPr>
        <w:pStyle w:val="4"/>
        <w:numPr>
          <w:ilvl w:val="1"/>
          <w:numId w:val="0"/>
        </w:numPr>
        <w:spacing w:line="400" w:lineRule="exact"/>
        <w:rPr>
          <w:color w:val="000000" w:themeColor="text1"/>
          <w:highlight w:val="none"/>
        </w:rPr>
      </w:pPr>
      <w:bookmarkStart w:id="1878" w:name="_Toc27384"/>
      <w:r>
        <w:rPr>
          <w:rFonts w:hint="eastAsia"/>
          <w:color w:val="000000" w:themeColor="text1"/>
          <w:highlight w:val="none"/>
        </w:rPr>
        <w:t>附件二：开标一览表</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6"/>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73"/>
        <w:gridCol w:w="2891"/>
        <w:gridCol w:w="150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项目编号</w:t>
            </w:r>
          </w:p>
        </w:tc>
        <w:tc>
          <w:tcPr>
            <w:tcW w:w="2873" w:type="dxa"/>
            <w:vAlign w:val="center"/>
          </w:tcPr>
          <w:p>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项目名称</w:t>
            </w:r>
          </w:p>
        </w:tc>
        <w:tc>
          <w:tcPr>
            <w:tcW w:w="2891" w:type="dxa"/>
            <w:vAlign w:val="center"/>
          </w:tcPr>
          <w:p>
            <w:pPr>
              <w:jc w:val="center"/>
              <w:rPr>
                <w:rFonts w:hint="default" w:ascii="宋体" w:hAnsi="宋体" w:eastAsia="宋体"/>
                <w:bCs/>
                <w:color w:val="000000" w:themeColor="text1"/>
                <w:highlight w:val="none"/>
                <w:lang w:val="en-US" w:eastAsia="zh-CN"/>
              </w:rPr>
            </w:pPr>
            <w:r>
              <w:rPr>
                <w:rFonts w:hint="eastAsia" w:ascii="宋体" w:hAnsi="宋体"/>
                <w:bCs/>
                <w:color w:val="000000" w:themeColor="text1"/>
                <w:highlight w:val="none"/>
              </w:rPr>
              <w:t>服务管理费（%）</w:t>
            </w:r>
          </w:p>
        </w:tc>
        <w:tc>
          <w:tcPr>
            <w:tcW w:w="1501" w:type="dxa"/>
            <w:vAlign w:val="center"/>
          </w:tcPr>
          <w:p>
            <w:pPr>
              <w:jc w:val="center"/>
              <w:rPr>
                <w:rFonts w:ascii="宋体" w:hAnsi="宋体"/>
                <w:bCs/>
                <w:color w:val="000000" w:themeColor="text1"/>
                <w:highlight w:val="none"/>
              </w:rPr>
            </w:pPr>
            <w:r>
              <w:rPr>
                <w:rFonts w:hint="eastAsia" w:ascii="宋体" w:hAnsi="宋体"/>
                <w:bCs/>
                <w:color w:val="000000" w:themeColor="text1"/>
                <w:highlight w:val="none"/>
              </w:rPr>
              <w:t>服务期</w:t>
            </w:r>
          </w:p>
        </w:tc>
        <w:tc>
          <w:tcPr>
            <w:tcW w:w="848" w:type="dxa"/>
            <w:vAlign w:val="center"/>
          </w:tcPr>
          <w:p>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pPr>
              <w:adjustRightInd w:val="0"/>
              <w:snapToGrid w:val="0"/>
              <w:spacing w:line="300" w:lineRule="exact"/>
              <w:jc w:val="center"/>
              <w:rPr>
                <w:rFonts w:ascii="宋体" w:hAnsi="宋体"/>
                <w:bCs/>
                <w:color w:val="000000" w:themeColor="text1"/>
                <w:highlight w:val="none"/>
              </w:rPr>
            </w:pPr>
          </w:p>
        </w:tc>
        <w:tc>
          <w:tcPr>
            <w:tcW w:w="2873" w:type="dxa"/>
            <w:vAlign w:val="center"/>
          </w:tcPr>
          <w:p>
            <w:pPr>
              <w:adjustRightInd w:val="0"/>
              <w:snapToGrid w:val="0"/>
              <w:spacing w:line="300" w:lineRule="exact"/>
              <w:jc w:val="center"/>
              <w:rPr>
                <w:rFonts w:ascii="宋体" w:hAnsi="宋体"/>
                <w:bCs/>
                <w:color w:val="000000" w:themeColor="text1"/>
                <w:highlight w:val="none"/>
              </w:rPr>
            </w:pPr>
          </w:p>
        </w:tc>
        <w:tc>
          <w:tcPr>
            <w:tcW w:w="2891" w:type="dxa"/>
            <w:vAlign w:val="center"/>
          </w:tcPr>
          <w:p>
            <w:pPr>
              <w:spacing w:line="260" w:lineRule="exact"/>
              <w:rPr>
                <w:rFonts w:ascii="宋体" w:hAnsi="宋体"/>
                <w:bCs/>
                <w:color w:val="000000" w:themeColor="text1"/>
                <w:highlight w:val="none"/>
              </w:rPr>
            </w:pPr>
          </w:p>
        </w:tc>
        <w:tc>
          <w:tcPr>
            <w:tcW w:w="1501" w:type="dxa"/>
            <w:vAlign w:val="center"/>
          </w:tcPr>
          <w:p>
            <w:pPr>
              <w:topLinePunct/>
              <w:jc w:val="left"/>
              <w:rPr>
                <w:rFonts w:ascii="宋体" w:hAnsi="宋体"/>
                <w:bCs/>
                <w:color w:val="000000" w:themeColor="text1"/>
                <w:highlight w:val="none"/>
                <w:u w:val="single"/>
              </w:rPr>
            </w:pPr>
          </w:p>
        </w:tc>
        <w:tc>
          <w:tcPr>
            <w:tcW w:w="848" w:type="dxa"/>
            <w:vAlign w:val="center"/>
          </w:tcPr>
          <w:p>
            <w:pPr>
              <w:rPr>
                <w:rFonts w:ascii="宋体" w:hAnsi="宋体"/>
                <w:bCs/>
                <w:color w:val="000000" w:themeColor="text1"/>
                <w:highlight w:val="none"/>
              </w:rPr>
            </w:pPr>
          </w:p>
        </w:tc>
      </w:tr>
    </w:tbl>
    <w:p>
      <w:pPr>
        <w:spacing w:line="360" w:lineRule="auto"/>
        <w:rPr>
          <w:rFonts w:ascii="宋体" w:hAnsi="宋体"/>
          <w:bCs/>
          <w:color w:val="000000" w:themeColor="text1"/>
          <w:highlight w:val="none"/>
        </w:rPr>
      </w:pPr>
      <w:r>
        <w:rPr>
          <w:rFonts w:hint="eastAsia" w:ascii="宋体" w:hAnsi="宋体"/>
          <w:bCs/>
          <w:color w:val="000000" w:themeColor="text1"/>
          <w:highlight w:val="none"/>
        </w:rPr>
        <w:t>注：</w:t>
      </w:r>
    </w:p>
    <w:p>
      <w:pPr>
        <w:numPr>
          <w:ilvl w:val="0"/>
          <w:numId w:val="4"/>
        </w:numPr>
        <w:tabs>
          <w:tab w:val="left" w:pos="1365"/>
        </w:tabs>
        <w:spacing w:line="360" w:lineRule="auto"/>
        <w:rPr>
          <w:rFonts w:ascii="宋体" w:hAnsi="宋体"/>
          <w:bCs/>
          <w:color w:val="000000" w:themeColor="text1"/>
          <w:highlight w:val="none"/>
        </w:rPr>
      </w:pPr>
      <w:r>
        <w:rPr>
          <w:rFonts w:hint="eastAsia" w:ascii="宋体" w:hAnsi="宋体"/>
          <w:color w:val="000000" w:themeColor="text1"/>
          <w:highlight w:val="none"/>
        </w:rPr>
        <w:t>投标人填写此表时不得改变表格的形式。</w:t>
      </w:r>
    </w:p>
    <w:p>
      <w:pPr>
        <w:numPr>
          <w:ilvl w:val="0"/>
          <w:numId w:val="4"/>
        </w:numPr>
        <w:tabs>
          <w:tab w:val="left" w:pos="1365"/>
        </w:tabs>
        <w:spacing w:line="360" w:lineRule="auto"/>
        <w:rPr>
          <w:rFonts w:ascii="宋体" w:hAnsi="宋体"/>
          <w:bCs/>
          <w:color w:val="000000" w:themeColor="text1"/>
          <w:highlight w:val="none"/>
        </w:rPr>
      </w:pPr>
      <w:r>
        <w:rPr>
          <w:rFonts w:hint="eastAsia"/>
          <w:bCs/>
          <w:color w:val="000000" w:themeColor="text1"/>
          <w:highlight w:val="none"/>
        </w:rPr>
        <w:t>如果投标人认为有应当说明而本表中无相应栏目的内容，请在“备注”栏中添加说明。</w:t>
      </w:r>
    </w:p>
    <w:p>
      <w:pPr>
        <w:numPr>
          <w:ilvl w:val="0"/>
          <w:numId w:val="4"/>
        </w:numPr>
        <w:tabs>
          <w:tab w:val="left" w:pos="1365"/>
        </w:tabs>
        <w:spacing w:line="360" w:lineRule="auto"/>
        <w:rPr>
          <w:rFonts w:ascii="宋体" w:hAnsi="宋体"/>
          <w:bCs/>
          <w:color w:val="000000" w:themeColor="text1"/>
          <w:highlight w:val="none"/>
        </w:rPr>
      </w:pPr>
      <w:r>
        <w:rPr>
          <w:rFonts w:hint="eastAsia" w:ascii="宋体" w:hAnsi="宋体"/>
          <w:bCs/>
          <w:color w:val="000000" w:themeColor="text1"/>
          <w:highlight w:val="none"/>
        </w:rPr>
        <w:t>投标人应将 “开标一览表”（加盖公章并由法定代表人（负责人）或其授权代理人签字），一份单独密封于一信封内，一份装订入投标文件正本。</w:t>
      </w:r>
    </w:p>
    <w:p>
      <w:pPr>
        <w:spacing w:line="360" w:lineRule="auto"/>
        <w:rPr>
          <w:rFonts w:ascii="宋体" w:hAnsi="宋体"/>
          <w:bCs/>
          <w:color w:val="000000" w:themeColor="text1"/>
          <w:highlight w:val="none"/>
          <w:u w:val="single"/>
        </w:rPr>
      </w:pPr>
    </w:p>
    <w:p>
      <w:pPr>
        <w:pStyle w:val="53"/>
        <w:numPr>
          <w:ilvl w:val="0"/>
          <w:numId w:val="0"/>
        </w:numPr>
        <w:tabs>
          <w:tab w:val="clear" w:pos="360"/>
        </w:tabs>
        <w:ind w:leftChars="0"/>
        <w:rPr>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hint="eastAsia"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u w:val="single"/>
        </w:rPr>
      </w:pPr>
    </w:p>
    <w:p>
      <w:pPr>
        <w:pStyle w:val="4"/>
        <w:numPr>
          <w:ilvl w:val="1"/>
          <w:numId w:val="0"/>
        </w:numPr>
        <w:spacing w:line="400" w:lineRule="exact"/>
        <w:rPr>
          <w:color w:val="000000" w:themeColor="text1"/>
          <w:highlight w:val="none"/>
        </w:rPr>
      </w:pPr>
      <w:bookmarkStart w:id="1879" w:name="_Toc331684066"/>
      <w:bookmarkStart w:id="1880" w:name="_Toc340672893"/>
      <w:bookmarkStart w:id="1881" w:name="_Toc333935370"/>
      <w:bookmarkStart w:id="1882" w:name="_Toc339020257"/>
      <w:bookmarkStart w:id="1883" w:name="_Toc366072553"/>
      <w:bookmarkStart w:id="1884" w:name="_Toc350756474"/>
      <w:bookmarkStart w:id="1885" w:name="_Toc341348364"/>
      <w:bookmarkStart w:id="1886" w:name="_Toc331512925"/>
      <w:bookmarkStart w:id="1887" w:name="_Toc339020119"/>
      <w:bookmarkStart w:id="1888" w:name="_Toc336681959"/>
      <w:bookmarkStart w:id="1889" w:name="_Toc336681604"/>
      <w:bookmarkStart w:id="1890" w:name="_Toc342060399"/>
      <w:bookmarkStart w:id="1891" w:name="_Toc332206733"/>
      <w:bookmarkStart w:id="1892" w:name="_Toc333935711"/>
      <w:bookmarkStart w:id="1893" w:name="_Toc365967096"/>
      <w:bookmarkStart w:id="1894" w:name="_Toc332270371"/>
      <w:bookmarkStart w:id="1895" w:name="_Toc337632382"/>
      <w:bookmarkStart w:id="1896" w:name="_Toc343247124"/>
      <w:bookmarkStart w:id="1897" w:name="_Toc342312467"/>
      <w:bookmarkStart w:id="1898" w:name="_Toc339362324"/>
      <w:bookmarkStart w:id="1899" w:name="_Toc342398154"/>
      <w:bookmarkStart w:id="1900" w:name="_Toc343248442"/>
      <w:bookmarkStart w:id="1901" w:name="_Toc330460010"/>
      <w:bookmarkStart w:id="1902" w:name="_Toc342296785"/>
      <w:bookmarkStart w:id="1903" w:name="_Toc340507466"/>
      <w:bookmarkStart w:id="1904" w:name="_Toc333238658"/>
      <w:bookmarkStart w:id="1905" w:name="_Toc333237702"/>
      <w:bookmarkStart w:id="1906" w:name="_Toc339441111"/>
      <w:bookmarkStart w:id="1907" w:name="_Toc345312621"/>
      <w:bookmarkStart w:id="1908" w:name="_Toc343612944"/>
      <w:bookmarkStart w:id="1909" w:name="_Toc339020039"/>
      <w:bookmarkStart w:id="1910" w:name="_Toc340677094"/>
      <w:bookmarkStart w:id="1911" w:name="_Toc350438773"/>
      <w:bookmarkStart w:id="1912" w:name="_Toc11171"/>
      <w:bookmarkStart w:id="1913" w:name="_Toc339019913"/>
      <w:bookmarkStart w:id="1914" w:name="_Toc365985202"/>
      <w:bookmarkStart w:id="1915" w:name="_Toc333237813"/>
      <w:r>
        <w:rPr>
          <w:rFonts w:hint="eastAsia"/>
          <w:color w:val="000000" w:themeColor="text1"/>
          <w:highlight w:val="none"/>
        </w:rPr>
        <w:t>附件</w:t>
      </w:r>
      <w:r>
        <w:rPr>
          <w:rFonts w:hint="eastAsia"/>
          <w:color w:val="000000" w:themeColor="text1"/>
          <w:highlight w:val="none"/>
          <w:lang w:val="en-US" w:eastAsia="zh-CN"/>
        </w:rPr>
        <w:t>三</w:t>
      </w:r>
      <w:r>
        <w:rPr>
          <w:rFonts w:hint="eastAsia"/>
          <w:color w:val="000000" w:themeColor="text1"/>
          <w:highlight w:val="none"/>
        </w:rPr>
        <w:t>：</w:t>
      </w:r>
      <w:r>
        <w:rPr>
          <w:rFonts w:hint="eastAsia"/>
          <w:color w:val="000000" w:themeColor="text1"/>
          <w:highlight w:val="none"/>
          <w:lang w:val="en-US" w:eastAsia="zh-CN"/>
        </w:rPr>
        <w:t>用户需求</w:t>
      </w:r>
      <w:r>
        <w:rPr>
          <w:rFonts w:hint="eastAsia"/>
          <w:color w:val="000000" w:themeColor="text1"/>
          <w:highlight w:val="none"/>
        </w:rPr>
        <w:t>偏离一览表</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6"/>
        <w:tblW w:w="9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4" w:type="dxa"/>
          <w:bottom w:w="0" w:type="dxa"/>
          <w:right w:w="54" w:type="dxa"/>
        </w:tblCellMar>
      </w:tblPr>
      <w:tblGrid>
        <w:gridCol w:w="441"/>
        <w:gridCol w:w="992"/>
        <w:gridCol w:w="3189"/>
        <w:gridCol w:w="3190"/>
        <w:gridCol w:w="850"/>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序号</w:t>
            </w: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Ansi="宋体"/>
                <w:color w:val="000000" w:themeColor="text1"/>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偏离</w:t>
            </w:r>
          </w:p>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bl>
    <w:p>
      <w:pPr>
        <w:adjustRightInd w:val="0"/>
        <w:snapToGrid w:val="0"/>
        <w:spacing w:line="360" w:lineRule="auto"/>
        <w:rPr>
          <w:rFonts w:ascii="宋体" w:hAnsi="宋体"/>
          <w:bCs/>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说明：1）对“偏离”一栏，填写“无偏离、正偏离、负偏离”；</w:t>
      </w:r>
    </w:p>
    <w:p>
      <w:pPr>
        <w:adjustRightInd w:val="0"/>
        <w:snapToGrid w:val="0"/>
        <w:spacing w:line="360" w:lineRule="auto"/>
        <w:ind w:firstLine="630" w:firstLineChars="300"/>
        <w:rPr>
          <w:rFonts w:ascii="宋体" w:hAnsi="宋体"/>
          <w:b/>
          <w:bCs/>
          <w:color w:val="000000" w:themeColor="text1"/>
          <w:highlight w:val="none"/>
        </w:rPr>
      </w:pPr>
      <w:r>
        <w:rPr>
          <w:rFonts w:hint="eastAsia" w:ascii="宋体" w:hAnsi="宋体"/>
          <w:bCs/>
          <w:color w:val="000000" w:themeColor="text1"/>
          <w:highlight w:val="none"/>
        </w:rPr>
        <w:t>2）对招标文件中</w:t>
      </w:r>
      <w:r>
        <w:rPr>
          <w:rFonts w:hint="eastAsia" w:ascii="宋体" w:hAnsi="宋体"/>
          <w:bCs/>
          <w:color w:val="000000" w:themeColor="text1"/>
          <w:highlight w:val="none"/>
          <w:lang w:val="en-US" w:eastAsia="zh-CN"/>
        </w:rPr>
        <w:t>用户需求书</w:t>
      </w:r>
      <w:r>
        <w:rPr>
          <w:rFonts w:hint="eastAsia" w:ascii="宋体" w:hAnsi="宋体"/>
          <w:bCs/>
          <w:color w:val="000000" w:themeColor="text1"/>
          <w:highlight w:val="none"/>
        </w:rPr>
        <w:t>条款按上列格式逐条说明。</w:t>
      </w:r>
    </w:p>
    <w:p>
      <w:pPr>
        <w:adjustRightInd w:val="0"/>
        <w:snapToGrid w:val="0"/>
        <w:spacing w:line="360" w:lineRule="auto"/>
        <w:ind w:firstLine="632" w:firstLineChars="300"/>
        <w:rPr>
          <w:rFonts w:ascii="宋体" w:hAnsi="宋体"/>
          <w:b/>
          <w:bCs/>
          <w:color w:val="000000" w:themeColor="text1"/>
          <w:highlight w:val="none"/>
        </w:rPr>
      </w:pPr>
    </w:p>
    <w:p>
      <w:pPr>
        <w:adjustRightInd w:val="0"/>
        <w:snapToGrid w:val="0"/>
        <w:spacing w:line="360" w:lineRule="auto"/>
        <w:rPr>
          <w:rFonts w:ascii="宋体" w:hAnsi="宋体"/>
          <w:b/>
          <w:bCs/>
          <w:color w:val="000000" w:themeColor="text1"/>
          <w:highlight w:val="none"/>
        </w:rPr>
      </w:pPr>
      <w:r>
        <w:rPr>
          <w:rFonts w:hint="eastAsia" w:ascii="宋体" w:hAnsi="宋体"/>
          <w:b/>
          <w:bCs/>
          <w:color w:val="000000" w:themeColor="text1"/>
          <w:highlight w:val="none"/>
        </w:rPr>
        <w:t>投标人声明：表中未列全的条款，我方均表示完全响应招标文件</w:t>
      </w:r>
      <w:r>
        <w:rPr>
          <w:rFonts w:hint="eastAsia" w:ascii="宋体" w:hAnsi="宋体"/>
          <w:b/>
          <w:bCs/>
          <w:color w:val="000000" w:themeColor="text1"/>
          <w:highlight w:val="none"/>
          <w:lang w:val="en-US" w:eastAsia="zh-CN"/>
        </w:rPr>
        <w:t>用户需求书</w:t>
      </w:r>
      <w:r>
        <w:rPr>
          <w:rFonts w:hint="eastAsia" w:ascii="宋体" w:hAnsi="宋体"/>
          <w:b/>
          <w:bCs/>
          <w:color w:val="000000" w:themeColor="text1"/>
          <w:highlight w:val="none"/>
        </w:rPr>
        <w:t>条款的所有要求。</w:t>
      </w:r>
    </w:p>
    <w:p>
      <w:pPr>
        <w:adjustRightInd w:val="0"/>
        <w:snapToGrid w:val="0"/>
        <w:spacing w:line="360" w:lineRule="auto"/>
        <w:rPr>
          <w:rFonts w:ascii="宋体" w:hAnsi="宋体"/>
          <w:bCs/>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adjustRightInd w:val="0"/>
        <w:snapToGrid w:val="0"/>
        <w:spacing w:line="360" w:lineRule="auto"/>
        <w:rPr>
          <w:rFonts w:ascii="宋体" w:hAnsi="宋体"/>
          <w:bCs/>
          <w:color w:val="000000" w:themeColor="text1"/>
          <w:highlight w:val="none"/>
          <w:u w:val="single"/>
        </w:rPr>
        <w:sectPr>
          <w:footerReference r:id="rId15" w:type="default"/>
          <w:pgSz w:w="11906" w:h="16838"/>
          <w:pgMar w:top="1418" w:right="1474" w:bottom="1418" w:left="1474" w:header="851" w:footer="851" w:gutter="0"/>
          <w:cols w:space="720" w:num="1"/>
          <w:titlePg/>
          <w:docGrid w:linePitch="312" w:charSpace="0"/>
        </w:sectPr>
      </w:pPr>
    </w:p>
    <w:p>
      <w:pPr>
        <w:pStyle w:val="4"/>
        <w:numPr>
          <w:ilvl w:val="1"/>
          <w:numId w:val="0"/>
        </w:numPr>
        <w:spacing w:line="400" w:lineRule="exact"/>
        <w:rPr>
          <w:color w:val="000000" w:themeColor="text1"/>
          <w:highlight w:val="none"/>
        </w:rPr>
      </w:pPr>
      <w:bookmarkStart w:id="1916" w:name="_Toc12896"/>
      <w:bookmarkStart w:id="1917" w:name="_Toc333237707"/>
      <w:bookmarkStart w:id="1918" w:name="_Toc342312472"/>
      <w:bookmarkStart w:id="1919" w:name="_Toc337632387"/>
      <w:bookmarkStart w:id="1920" w:name="_Toc365985210"/>
      <w:bookmarkStart w:id="1921" w:name="_Toc330460015"/>
      <w:bookmarkStart w:id="1922" w:name="_Toc332270376"/>
      <w:bookmarkStart w:id="1923" w:name="_Toc333935375"/>
      <w:bookmarkStart w:id="1924" w:name="_Toc343612949"/>
      <w:bookmarkStart w:id="1925" w:name="_Toc339019918"/>
      <w:bookmarkStart w:id="1926" w:name="_Toc333237818"/>
      <w:bookmarkStart w:id="1927" w:name="_Toc343248447"/>
      <w:bookmarkStart w:id="1928" w:name="_Toc333238663"/>
      <w:bookmarkStart w:id="1929" w:name="_Toc339441116"/>
      <w:bookmarkStart w:id="1930" w:name="_Toc336681964"/>
      <w:bookmarkStart w:id="1931" w:name="_Toc365967104"/>
      <w:bookmarkStart w:id="1932" w:name="_Toc350438778"/>
      <w:bookmarkStart w:id="1933" w:name="_Toc339020044"/>
      <w:bookmarkStart w:id="1934" w:name="_Toc345312626"/>
      <w:bookmarkStart w:id="1935" w:name="_Toc339020124"/>
      <w:bookmarkStart w:id="1936" w:name="_Toc340672898"/>
      <w:bookmarkStart w:id="1937" w:name="_Toc342398159"/>
      <w:bookmarkStart w:id="1938" w:name="_Toc342296790"/>
      <w:bookmarkStart w:id="1939" w:name="_Toc341348369"/>
      <w:bookmarkStart w:id="1940" w:name="_Toc340507471"/>
      <w:bookmarkStart w:id="1941" w:name="_Toc350756479"/>
      <w:bookmarkStart w:id="1942" w:name="_Toc366072561"/>
      <w:bookmarkStart w:id="1943" w:name="_Toc332206738"/>
      <w:bookmarkStart w:id="1944" w:name="_Toc339362329"/>
      <w:bookmarkStart w:id="1945" w:name="_Toc331684071"/>
      <w:bookmarkStart w:id="1946" w:name="_Toc339020262"/>
      <w:bookmarkStart w:id="1947" w:name="_Toc333935716"/>
      <w:bookmarkStart w:id="1948" w:name="_Toc340677099"/>
      <w:bookmarkStart w:id="1949" w:name="_Toc331512930"/>
      <w:bookmarkStart w:id="1950" w:name="_Toc432695228"/>
      <w:bookmarkStart w:id="1951" w:name="_Toc343247129"/>
      <w:bookmarkStart w:id="1952" w:name="_Toc336681609"/>
      <w:bookmarkStart w:id="1953" w:name="_Toc342060404"/>
      <w:r>
        <w:rPr>
          <w:rFonts w:hint="eastAsia"/>
          <w:color w:val="000000" w:themeColor="text1"/>
          <w:highlight w:val="none"/>
        </w:rPr>
        <w:t>附件</w:t>
      </w:r>
      <w:r>
        <w:rPr>
          <w:rFonts w:hint="eastAsia"/>
          <w:color w:val="000000" w:themeColor="text1"/>
          <w:highlight w:val="none"/>
          <w:lang w:val="en-US" w:eastAsia="zh-CN"/>
        </w:rPr>
        <w:t>四</w:t>
      </w:r>
      <w:r>
        <w:rPr>
          <w:rFonts w:hint="eastAsia"/>
          <w:color w:val="000000" w:themeColor="text1"/>
          <w:highlight w:val="none"/>
        </w:rPr>
        <w:t>：</w:t>
      </w:r>
      <w:r>
        <w:rPr>
          <w:rFonts w:hint="eastAsia"/>
          <w:color w:val="000000" w:themeColor="text1"/>
          <w:highlight w:val="none"/>
          <w:lang w:val="en-US" w:eastAsia="zh-CN"/>
        </w:rPr>
        <w:t>合同条款</w:t>
      </w:r>
      <w:r>
        <w:rPr>
          <w:rFonts w:hint="eastAsia"/>
          <w:color w:val="000000" w:themeColor="text1"/>
          <w:highlight w:val="none"/>
        </w:rPr>
        <w:t>偏离一览表</w:t>
      </w:r>
      <w:bookmarkEnd w:id="1916"/>
    </w:p>
    <w:p>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6"/>
        <w:tblW w:w="9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4" w:type="dxa"/>
          <w:bottom w:w="0" w:type="dxa"/>
          <w:right w:w="54" w:type="dxa"/>
        </w:tblCellMar>
      </w:tblPr>
      <w:tblGrid>
        <w:gridCol w:w="441"/>
        <w:gridCol w:w="992"/>
        <w:gridCol w:w="3189"/>
        <w:gridCol w:w="3190"/>
        <w:gridCol w:w="850"/>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序号</w:t>
            </w: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lang w:val="en-US" w:eastAsia="zh-CN"/>
              </w:rPr>
              <w:t>合同</w:t>
            </w:r>
            <w:r>
              <w:rPr>
                <w:rFonts w:hint="eastAsia" w:ascii="宋体" w:hAnsi="宋体"/>
                <w:bCs/>
                <w:color w:val="000000" w:themeColor="text1"/>
                <w:highlight w:val="none"/>
              </w:rPr>
              <w:t>条目</w:t>
            </w: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Ansi="宋体"/>
                <w:color w:val="000000" w:themeColor="text1"/>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lang w:val="en-US" w:eastAsia="zh-CN"/>
              </w:rPr>
              <w:t>响应</w:t>
            </w:r>
            <w:r>
              <w:rPr>
                <w:rFonts w:hint="eastAsia" w:ascii="宋体" w:hAnsi="宋体"/>
                <w:bCs/>
                <w:color w:val="000000" w:themeColor="text1"/>
                <w:highlight w:val="none"/>
              </w:rPr>
              <w:t>规格</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偏离</w:t>
            </w:r>
          </w:p>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bl>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说明：1）对“偏离”一栏，填写“无偏离、正偏离、负偏离”；</w:t>
      </w:r>
    </w:p>
    <w:p>
      <w:pPr>
        <w:adjustRightInd w:val="0"/>
        <w:snapToGrid w:val="0"/>
        <w:spacing w:line="360" w:lineRule="auto"/>
        <w:ind w:firstLine="630" w:firstLineChars="300"/>
        <w:rPr>
          <w:rFonts w:ascii="宋体" w:hAnsi="宋体"/>
          <w:b/>
          <w:bCs/>
          <w:color w:val="000000" w:themeColor="text1"/>
          <w:highlight w:val="none"/>
        </w:rPr>
      </w:pPr>
      <w:r>
        <w:rPr>
          <w:rFonts w:hint="eastAsia" w:ascii="宋体" w:hAnsi="宋体"/>
          <w:bCs/>
          <w:color w:val="000000" w:themeColor="text1"/>
          <w:highlight w:val="none"/>
        </w:rPr>
        <w:t>2）对招标文件中</w:t>
      </w:r>
      <w:r>
        <w:rPr>
          <w:rFonts w:hint="eastAsia" w:ascii="宋体" w:hAnsi="宋体"/>
          <w:bCs/>
          <w:color w:val="000000" w:themeColor="text1"/>
          <w:highlight w:val="none"/>
          <w:lang w:val="en-US" w:eastAsia="zh-CN"/>
        </w:rPr>
        <w:t>合同</w:t>
      </w:r>
      <w:r>
        <w:rPr>
          <w:rFonts w:hint="eastAsia" w:ascii="宋体" w:hAnsi="宋体"/>
          <w:bCs/>
          <w:color w:val="000000" w:themeColor="text1"/>
          <w:highlight w:val="none"/>
        </w:rPr>
        <w:t>条款按上列格式逐条说明。</w:t>
      </w:r>
    </w:p>
    <w:p>
      <w:pPr>
        <w:adjustRightInd w:val="0"/>
        <w:snapToGrid w:val="0"/>
        <w:spacing w:line="360" w:lineRule="auto"/>
        <w:ind w:firstLine="632" w:firstLineChars="300"/>
        <w:rPr>
          <w:rFonts w:ascii="宋体" w:hAnsi="宋体"/>
          <w:b/>
          <w:bCs/>
          <w:color w:val="000000" w:themeColor="text1"/>
          <w:highlight w:val="none"/>
        </w:rPr>
      </w:pPr>
    </w:p>
    <w:p>
      <w:pPr>
        <w:adjustRightInd w:val="0"/>
        <w:snapToGrid w:val="0"/>
        <w:spacing w:line="360" w:lineRule="auto"/>
        <w:rPr>
          <w:rFonts w:ascii="宋体" w:hAnsi="宋体"/>
          <w:b/>
          <w:bCs/>
          <w:color w:val="000000" w:themeColor="text1"/>
          <w:highlight w:val="none"/>
        </w:rPr>
      </w:pPr>
      <w:r>
        <w:rPr>
          <w:rFonts w:hint="eastAsia" w:ascii="宋体" w:hAnsi="宋体"/>
          <w:b/>
          <w:bCs/>
          <w:color w:val="000000" w:themeColor="text1"/>
          <w:highlight w:val="none"/>
        </w:rPr>
        <w:t>投标人声明：表中未列全的</w:t>
      </w:r>
      <w:r>
        <w:rPr>
          <w:rFonts w:hint="eastAsia" w:ascii="宋体" w:hAnsi="宋体"/>
          <w:b/>
          <w:bCs/>
          <w:color w:val="000000" w:themeColor="text1"/>
          <w:highlight w:val="none"/>
          <w:lang w:val="en-US" w:eastAsia="zh-CN"/>
        </w:rPr>
        <w:t>合同</w:t>
      </w:r>
      <w:r>
        <w:rPr>
          <w:rFonts w:hint="eastAsia" w:ascii="宋体" w:hAnsi="宋体"/>
          <w:b/>
          <w:bCs/>
          <w:color w:val="000000" w:themeColor="text1"/>
          <w:highlight w:val="none"/>
        </w:rPr>
        <w:t>条款，我方均表示完全响应招标文件</w:t>
      </w:r>
      <w:r>
        <w:rPr>
          <w:rFonts w:hint="eastAsia" w:ascii="宋体" w:hAnsi="宋体"/>
          <w:b/>
          <w:bCs/>
          <w:color w:val="000000" w:themeColor="text1"/>
          <w:highlight w:val="none"/>
          <w:lang w:val="en-US" w:eastAsia="zh-CN"/>
        </w:rPr>
        <w:t>合同</w:t>
      </w:r>
      <w:r>
        <w:rPr>
          <w:rFonts w:hint="eastAsia" w:ascii="宋体" w:hAnsi="宋体"/>
          <w:b/>
          <w:bCs/>
          <w:color w:val="000000" w:themeColor="text1"/>
          <w:highlight w:val="none"/>
        </w:rPr>
        <w:t>条款的所有要求。</w:t>
      </w:r>
    </w:p>
    <w:p>
      <w:pPr>
        <w:adjustRightInd w:val="0"/>
        <w:snapToGrid w:val="0"/>
        <w:spacing w:line="360" w:lineRule="auto"/>
        <w:rPr>
          <w:rFonts w:hint="eastAsia" w:ascii="宋体" w:hAnsi="宋体"/>
          <w:b/>
          <w:bCs w:val="0"/>
          <w:color w:val="000000" w:themeColor="text1"/>
          <w:highlight w:val="none"/>
          <w:lang w:val="en-US" w:eastAsia="zh-CN"/>
        </w:rPr>
      </w:pPr>
    </w:p>
    <w:p>
      <w:pPr>
        <w:adjustRightInd w:val="0"/>
        <w:snapToGrid w:val="0"/>
        <w:spacing w:line="360" w:lineRule="auto"/>
        <w:rPr>
          <w:rFonts w:hint="default" w:ascii="宋体" w:hAnsi="宋体" w:eastAsia="宋体"/>
          <w:b/>
          <w:bCs w:val="0"/>
          <w:color w:val="000000" w:themeColor="text1"/>
          <w:highlight w:val="none"/>
          <w:lang w:val="en-US" w:eastAsia="zh-CN"/>
        </w:rPr>
      </w:pPr>
      <w:r>
        <w:rPr>
          <w:rFonts w:hint="eastAsia" w:ascii="宋体" w:hAnsi="宋体"/>
          <w:b/>
          <w:bCs w:val="0"/>
          <w:color w:val="000000" w:themeColor="text1"/>
          <w:highlight w:val="none"/>
          <w:lang w:val="en-US" w:eastAsia="zh-CN"/>
        </w:rPr>
        <w:t>投标人投标表示认可合同载明的全部事项，中标人应在中标（成交）通知书发出之日起10日内将签字盖章的合同文本提交采购人。</w:t>
      </w:r>
    </w:p>
    <w:p>
      <w:pPr>
        <w:adjustRightInd w:val="0"/>
        <w:snapToGrid w:val="0"/>
        <w:spacing w:line="360" w:lineRule="auto"/>
        <w:rPr>
          <w:rFonts w:hint="eastAsia" w:ascii="宋体" w:hAnsi="宋体"/>
          <w:bCs/>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hint="eastAsia"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360" w:lineRule="auto"/>
        <w:rPr>
          <w:rFonts w:hint="eastAsia"/>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4"/>
        <w:numPr>
          <w:ilvl w:val="1"/>
          <w:numId w:val="0"/>
        </w:numPr>
        <w:spacing w:line="400" w:lineRule="exact"/>
        <w:rPr>
          <w:color w:val="000000" w:themeColor="text1"/>
          <w:highlight w:val="none"/>
        </w:rPr>
      </w:pPr>
      <w:bookmarkStart w:id="1954" w:name="_Toc16029"/>
      <w:r>
        <w:rPr>
          <w:rFonts w:hint="eastAsia"/>
          <w:color w:val="000000" w:themeColor="text1"/>
          <w:highlight w:val="none"/>
        </w:rPr>
        <w:t>附件</w:t>
      </w:r>
      <w:r>
        <w:rPr>
          <w:rFonts w:hint="eastAsia"/>
          <w:color w:val="000000" w:themeColor="text1"/>
          <w:highlight w:val="none"/>
          <w:lang w:val="en-US" w:eastAsia="zh-CN"/>
        </w:rPr>
        <w:t>五</w:t>
      </w:r>
      <w:r>
        <w:rPr>
          <w:rFonts w:hint="eastAsia"/>
          <w:color w:val="000000" w:themeColor="text1"/>
          <w:highlight w:val="none"/>
        </w:rPr>
        <w:t>：同类业绩一览表</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pPr>
        <w:adjustRightInd w:val="0"/>
        <w:snapToGrid w:val="0"/>
        <w:spacing w:line="360" w:lineRule="auto"/>
        <w:jc w:val="left"/>
        <w:rPr>
          <w:rFonts w:ascii="宋体" w:hAnsi="宋体"/>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szCs w:val="21"/>
          <w:highlight w:val="none"/>
        </w:rPr>
        <w:t xml:space="preserve">           </w:t>
      </w:r>
    </w:p>
    <w:p>
      <w:pPr>
        <w:adjustRightInd w:val="0"/>
        <w:snapToGrid w:val="0"/>
        <w:spacing w:line="360" w:lineRule="auto"/>
        <w:ind w:left="1050" w:hanging="1050" w:hangingChars="500"/>
        <w:jc w:val="left"/>
        <w:rPr>
          <w:rFonts w:ascii="宋体" w:hAnsi="宋体"/>
          <w:bCs/>
          <w:color w:val="000000" w:themeColor="text1"/>
          <w:highlight w:val="none"/>
        </w:rPr>
      </w:pPr>
      <w:r>
        <w:rPr>
          <w:rFonts w:hint="eastAsia" w:ascii="宋体" w:hAnsi="宋体"/>
          <w:bCs/>
          <w:color w:val="000000" w:themeColor="text1"/>
          <w:szCs w:val="21"/>
          <w:highlight w:val="none"/>
        </w:rPr>
        <w:t>项目名称：</w:t>
      </w:r>
      <w:r>
        <w:rPr>
          <w:rFonts w:hint="eastAsia"/>
          <w:color w:val="000000" w:themeColor="text1"/>
          <w:szCs w:val="21"/>
          <w:highlight w:val="none"/>
          <w:u w:val="single"/>
        </w:rPr>
        <w:t xml:space="preserve">                          </w:t>
      </w:r>
    </w:p>
    <w:tbl>
      <w:tblPr>
        <w:tblStyle w:val="46"/>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序号</w:t>
            </w:r>
          </w:p>
        </w:tc>
        <w:tc>
          <w:tcPr>
            <w:tcW w:w="1215"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项目名称</w:t>
            </w:r>
          </w:p>
        </w:tc>
        <w:tc>
          <w:tcPr>
            <w:tcW w:w="1267"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内容</w:t>
            </w:r>
          </w:p>
        </w:tc>
        <w:tc>
          <w:tcPr>
            <w:tcW w:w="1117"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数量</w:t>
            </w:r>
          </w:p>
        </w:tc>
        <w:tc>
          <w:tcPr>
            <w:tcW w:w="1400"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中标金额（元）</w:t>
            </w:r>
          </w:p>
        </w:tc>
        <w:tc>
          <w:tcPr>
            <w:tcW w:w="1233"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完成日期</w:t>
            </w:r>
          </w:p>
        </w:tc>
        <w:tc>
          <w:tcPr>
            <w:tcW w:w="1183"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用户单位</w:t>
            </w:r>
          </w:p>
        </w:tc>
        <w:tc>
          <w:tcPr>
            <w:tcW w:w="1220"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联系电话</w:t>
            </w:r>
          </w:p>
        </w:tc>
        <w:tc>
          <w:tcPr>
            <w:tcW w:w="817"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ind w:firstLine="0"/>
              <w:jc w:val="center"/>
              <w:rPr>
                <w:rFonts w:hAnsi="宋体"/>
                <w:bCs/>
                <w:color w:val="000000" w:themeColor="text1"/>
                <w:kern w:val="2"/>
                <w:sz w:val="21"/>
                <w:szCs w:val="24"/>
                <w:highlight w:val="none"/>
              </w:rPr>
            </w:pPr>
          </w:p>
        </w:tc>
        <w:tc>
          <w:tcPr>
            <w:tcW w:w="1215" w:type="dxa"/>
            <w:vAlign w:val="center"/>
          </w:tcPr>
          <w:p>
            <w:pPr>
              <w:pStyle w:val="5"/>
              <w:snapToGrid w:val="0"/>
              <w:ind w:firstLine="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ind w:firstLine="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bl>
    <w:p>
      <w:pPr>
        <w:pStyle w:val="5"/>
        <w:snapToGrid w:val="0"/>
        <w:spacing w:line="360" w:lineRule="auto"/>
        <w:ind w:firstLine="0"/>
        <w:rPr>
          <w:rFonts w:hAnsi="宋体"/>
          <w:bCs/>
          <w:color w:val="000000" w:themeColor="text1"/>
          <w:sz w:val="21"/>
          <w:highlight w:val="none"/>
        </w:rPr>
      </w:pPr>
      <w:r>
        <w:rPr>
          <w:rFonts w:hint="eastAsia" w:hAnsi="宋体"/>
          <w:bCs/>
          <w:color w:val="000000" w:themeColor="text1"/>
          <w:sz w:val="21"/>
          <w:highlight w:val="none"/>
        </w:rPr>
        <w:t>注：如本表格式内容不能满足需要，投标人可自行划表填写，但必须体现以上内容。</w:t>
      </w:r>
    </w:p>
    <w:p>
      <w:pPr>
        <w:pStyle w:val="5"/>
        <w:snapToGrid w:val="0"/>
        <w:spacing w:line="360" w:lineRule="auto"/>
        <w:rPr>
          <w:rFonts w:hAnsi="宋体"/>
          <w:bCs/>
          <w:color w:val="000000" w:themeColor="text1"/>
          <w:sz w:val="21"/>
          <w:highlight w:val="none"/>
        </w:rPr>
      </w:pPr>
    </w:p>
    <w:p>
      <w:pPr>
        <w:pStyle w:val="5"/>
        <w:snapToGrid w:val="0"/>
        <w:spacing w:line="360" w:lineRule="auto"/>
        <w:rPr>
          <w:rFonts w:hAnsi="宋体"/>
          <w:bCs/>
          <w:color w:val="000000" w:themeColor="text1"/>
          <w:sz w:val="21"/>
          <w:highlight w:val="none"/>
        </w:rPr>
      </w:pPr>
    </w:p>
    <w:p>
      <w:pPr>
        <w:pStyle w:val="5"/>
        <w:snapToGrid w:val="0"/>
        <w:spacing w:line="360" w:lineRule="auto"/>
        <w:rPr>
          <w:rFonts w:hAnsi="宋体"/>
          <w:bCs/>
          <w:color w:val="000000" w:themeColor="text1"/>
          <w:sz w:val="21"/>
          <w:highlight w:val="none"/>
        </w:rPr>
      </w:pPr>
    </w:p>
    <w:p>
      <w:pPr>
        <w:pStyle w:val="5"/>
        <w:snapToGrid w:val="0"/>
        <w:spacing w:line="360" w:lineRule="auto"/>
        <w:rPr>
          <w:rFonts w:hAnsi="宋体"/>
          <w:bCs/>
          <w:color w:val="000000" w:themeColor="text1"/>
          <w:sz w:val="2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4"/>
        <w:numPr>
          <w:ilvl w:val="1"/>
          <w:numId w:val="0"/>
        </w:numPr>
        <w:jc w:val="both"/>
        <w:rPr>
          <w:color w:val="000000" w:themeColor="text1"/>
          <w:highlight w:val="none"/>
        </w:rPr>
        <w:sectPr>
          <w:pgSz w:w="11906" w:h="16838"/>
          <w:pgMar w:top="1474" w:right="1418" w:bottom="1474" w:left="1418" w:header="851" w:footer="851" w:gutter="0"/>
          <w:cols w:space="720" w:num="1"/>
          <w:titlePg/>
          <w:docGrid w:linePitch="312" w:charSpace="0"/>
        </w:sectPr>
      </w:pPr>
    </w:p>
    <w:p>
      <w:pPr>
        <w:pStyle w:val="4"/>
        <w:numPr>
          <w:ilvl w:val="1"/>
          <w:numId w:val="0"/>
        </w:numPr>
        <w:spacing w:line="400" w:lineRule="exact"/>
        <w:rPr>
          <w:rFonts w:hAnsi="黑体" w:cs="黑体"/>
          <w:color w:val="000000" w:themeColor="text1"/>
          <w:highlight w:val="none"/>
        </w:rPr>
      </w:pPr>
      <w:bookmarkStart w:id="1955" w:name="_Toc432695229"/>
      <w:bookmarkStart w:id="1956" w:name="_Toc432682754"/>
      <w:bookmarkStart w:id="1957" w:name="_Toc2172"/>
      <w:bookmarkStart w:id="1958" w:name="_Toc430771089"/>
      <w:bookmarkStart w:id="1959" w:name="_Toc350438779"/>
      <w:bookmarkStart w:id="1960" w:name="_Toc333237708"/>
      <w:bookmarkStart w:id="1961" w:name="_Toc340677100"/>
      <w:bookmarkStart w:id="1962" w:name="_Toc342312473"/>
      <w:bookmarkStart w:id="1963" w:name="_Toc343247130"/>
      <w:bookmarkStart w:id="1964" w:name="_Toc333237819"/>
      <w:bookmarkStart w:id="1965" w:name="_Toc339362330"/>
      <w:bookmarkStart w:id="1966" w:name="_Toc342398160"/>
      <w:bookmarkStart w:id="1967" w:name="_Toc331684072"/>
      <w:bookmarkStart w:id="1968" w:name="_Toc336681965"/>
      <w:bookmarkStart w:id="1969" w:name="_Toc332206739"/>
      <w:bookmarkStart w:id="1970" w:name="_Toc366072562"/>
      <w:bookmarkStart w:id="1971" w:name="_Toc350756480"/>
      <w:bookmarkStart w:id="1972" w:name="_Toc343248448"/>
      <w:bookmarkStart w:id="1973" w:name="_Toc345312627"/>
      <w:bookmarkStart w:id="1974" w:name="_Toc339020045"/>
      <w:bookmarkStart w:id="1975" w:name="_Toc331512931"/>
      <w:bookmarkStart w:id="1976" w:name="_Toc102451601"/>
      <w:bookmarkStart w:id="1977" w:name="_Toc333935717"/>
      <w:bookmarkStart w:id="1978" w:name="_Toc330460016"/>
      <w:bookmarkStart w:id="1979" w:name="_Toc342296791"/>
      <w:bookmarkStart w:id="1980" w:name="_Toc341348370"/>
      <w:bookmarkStart w:id="1981" w:name="_Toc339441117"/>
      <w:bookmarkStart w:id="1982" w:name="_Toc333238664"/>
      <w:bookmarkStart w:id="1983" w:name="_Toc343612950"/>
      <w:bookmarkStart w:id="1984" w:name="_Toc339020125"/>
      <w:bookmarkStart w:id="1985" w:name="_Toc340672899"/>
      <w:bookmarkStart w:id="1986" w:name="_Toc337632388"/>
      <w:bookmarkStart w:id="1987" w:name="_Toc336681610"/>
      <w:bookmarkStart w:id="1988" w:name="_Toc365985211"/>
      <w:bookmarkStart w:id="1989" w:name="_Toc342060405"/>
      <w:bookmarkStart w:id="1990" w:name="_Toc339019919"/>
      <w:bookmarkStart w:id="1991" w:name="_Toc332270377"/>
      <w:bookmarkStart w:id="1992" w:name="_Toc365967105"/>
      <w:bookmarkStart w:id="1993" w:name="_Toc333935376"/>
      <w:bookmarkStart w:id="1994" w:name="_Toc339020263"/>
      <w:bookmarkStart w:id="1995" w:name="_Toc340507472"/>
      <w:r>
        <w:rPr>
          <w:rFonts w:hint="eastAsia"/>
          <w:color w:val="000000" w:themeColor="text1"/>
          <w:highlight w:val="none"/>
        </w:rPr>
        <w:t>附件</w:t>
      </w:r>
      <w:r>
        <w:rPr>
          <w:rFonts w:hint="eastAsia"/>
          <w:color w:val="000000" w:themeColor="text1"/>
          <w:highlight w:val="none"/>
          <w:lang w:val="en-US" w:eastAsia="zh-CN"/>
        </w:rPr>
        <w:t>六</w:t>
      </w:r>
      <w:r>
        <w:rPr>
          <w:rFonts w:hint="eastAsia"/>
          <w:color w:val="000000" w:themeColor="text1"/>
          <w:highlight w:val="none"/>
        </w:rPr>
        <w:t>：</w:t>
      </w:r>
      <w:r>
        <w:rPr>
          <w:rFonts w:hint="eastAsia" w:hAnsi="黑体" w:cs="黑体"/>
          <w:color w:val="000000" w:themeColor="text1"/>
          <w:highlight w:val="none"/>
        </w:rPr>
        <w:t>中小企业声明函</w:t>
      </w:r>
      <w:bookmarkEnd w:id="1955"/>
      <w:bookmarkEnd w:id="1956"/>
      <w:bookmarkEnd w:id="1957"/>
      <w:bookmarkEnd w:id="1958"/>
    </w:p>
    <w:p>
      <w:pPr>
        <w:adjustRightInd w:val="0"/>
        <w:snapToGrid w:val="0"/>
        <w:spacing w:line="440" w:lineRule="exact"/>
        <w:rPr>
          <w:rFonts w:hint="eastAsia" w:ascii="宋体" w:hAnsi="宋体"/>
          <w:bCs/>
          <w:color w:val="000000" w:themeColor="text1"/>
          <w:highlight w:val="none"/>
        </w:rPr>
      </w:pPr>
    </w:p>
    <w:p>
      <w:pPr>
        <w:adjustRightInd w:val="0"/>
        <w:snapToGrid w:val="0"/>
        <w:spacing w:line="440" w:lineRule="exact"/>
        <w:ind w:firstLine="420" w:firstLineChars="200"/>
        <w:rPr>
          <w:rFonts w:hint="eastAsia" w:ascii="宋体" w:hAnsi="宋体"/>
          <w:bCs/>
          <w:color w:val="000000" w:themeColor="text1"/>
          <w:highlight w:val="none"/>
          <w:lang w:eastAsia="zh-CN"/>
        </w:rPr>
      </w:pPr>
      <w:r>
        <w:rPr>
          <w:rFonts w:hint="eastAsia" w:ascii="宋体" w:hAnsi="宋体"/>
          <w:bCs/>
          <w:color w:val="000000" w:themeColor="text1"/>
          <w:highlight w:val="none"/>
        </w:rPr>
        <w:t>本公司郑重声明，根据《政府采购促进中小企业发展管理办法》（财库﹝2020﹞46 号）的规定，本公司</w:t>
      </w:r>
      <w:r>
        <w:rPr>
          <w:rFonts w:hint="eastAsia" w:ascii="宋体" w:hAnsi="宋体"/>
          <w:bCs/>
          <w:color w:val="000000" w:themeColor="text1"/>
          <w:highlight w:val="none"/>
          <w:lang w:eastAsia="zh-CN"/>
        </w:rPr>
        <w:t>参加</w:t>
      </w:r>
      <w:r>
        <w:rPr>
          <w:rFonts w:hint="eastAsia" w:ascii="宋体" w:hAnsi="宋体"/>
          <w:bCs/>
          <w:color w:val="000000" w:themeColor="text1"/>
          <w:highlight w:val="none"/>
          <w:u w:val="single"/>
          <w:lang w:eastAsia="zh-CN"/>
        </w:rPr>
        <w:t>（单位名称）</w:t>
      </w:r>
      <w:r>
        <w:rPr>
          <w:rFonts w:hint="eastAsia" w:ascii="宋体" w:hAnsi="宋体"/>
          <w:bCs/>
          <w:color w:val="000000" w:themeColor="text1"/>
          <w:highlight w:val="none"/>
          <w:lang w:eastAsia="zh-CN"/>
        </w:rPr>
        <w:t>的</w:t>
      </w:r>
      <w:r>
        <w:rPr>
          <w:rFonts w:hint="eastAsia" w:ascii="宋体" w:hAnsi="宋体"/>
          <w:bCs/>
          <w:color w:val="000000" w:themeColor="text1"/>
          <w:highlight w:val="none"/>
          <w:u w:val="single"/>
          <w:lang w:eastAsia="zh-CN"/>
        </w:rPr>
        <w:t>（项目名称）</w:t>
      </w:r>
      <w:r>
        <w:rPr>
          <w:rFonts w:hint="eastAsia" w:ascii="宋体" w:hAnsi="宋体"/>
          <w:bCs/>
          <w:color w:val="000000" w:themeColor="text1"/>
          <w:highlight w:val="none"/>
          <w:lang w:eastAsia="zh-CN"/>
        </w:rPr>
        <w:t>采购活动，服务全部由符合政策要求的中小企业承接。相关企业的具体情况如下：</w:t>
      </w:r>
    </w:p>
    <w:p>
      <w:pPr>
        <w:adjustRightInd w:val="0"/>
        <w:snapToGrid w:val="0"/>
        <w:spacing w:line="440" w:lineRule="exact"/>
        <w:ind w:firstLine="420" w:firstLineChars="200"/>
        <w:rPr>
          <w:rFonts w:hint="eastAsia" w:ascii="宋体" w:hAnsi="宋体"/>
          <w:bCs/>
          <w:color w:val="000000" w:themeColor="text1"/>
          <w:highlight w:val="none"/>
          <w:lang w:val="en-US" w:eastAsia="zh-CN"/>
        </w:rPr>
      </w:pPr>
      <w:r>
        <w:rPr>
          <w:rFonts w:hint="eastAsia" w:ascii="宋体" w:hAnsi="宋体"/>
          <w:bCs/>
          <w:color w:val="000000" w:themeColor="text1"/>
          <w:highlight w:val="none"/>
          <w:u w:val="single"/>
          <w:lang w:val="en-US" w:eastAsia="zh-CN"/>
        </w:rPr>
        <w:t>（标的名称）</w:t>
      </w:r>
      <w:r>
        <w:rPr>
          <w:rFonts w:hint="eastAsia" w:ascii="宋体" w:hAnsi="宋体"/>
          <w:bCs/>
          <w:color w:val="000000" w:themeColor="text1"/>
          <w:highlight w:val="none"/>
          <w:lang w:val="en-US" w:eastAsia="zh-CN"/>
        </w:rPr>
        <w:t>，属于</w:t>
      </w:r>
      <w:r>
        <w:rPr>
          <w:rFonts w:hint="eastAsia" w:ascii="宋体" w:hAnsi="宋体"/>
          <w:bCs/>
          <w:color w:val="000000" w:themeColor="text1"/>
          <w:highlight w:val="none"/>
          <w:u w:val="single"/>
          <w:lang w:val="en-US" w:eastAsia="zh-CN"/>
        </w:rPr>
        <w:t>（采购文件中明确的所属行业）</w:t>
      </w:r>
      <w:r>
        <w:rPr>
          <w:rFonts w:hint="eastAsia" w:ascii="宋体" w:hAnsi="宋体"/>
          <w:bCs/>
          <w:color w:val="000000" w:themeColor="text1"/>
          <w:highlight w:val="none"/>
          <w:lang w:val="en-US" w:eastAsia="zh-CN"/>
        </w:rPr>
        <w:t>；承接企业为</w:t>
      </w:r>
      <w:r>
        <w:rPr>
          <w:rFonts w:hint="eastAsia" w:ascii="宋体" w:hAnsi="宋体"/>
          <w:bCs/>
          <w:color w:val="000000" w:themeColor="text1"/>
          <w:highlight w:val="none"/>
          <w:u w:val="single"/>
          <w:lang w:val="en-US" w:eastAsia="zh-CN"/>
        </w:rPr>
        <w:t>（企业名称）</w:t>
      </w:r>
      <w:r>
        <w:rPr>
          <w:rFonts w:hint="eastAsia" w:ascii="宋体" w:hAnsi="宋体"/>
          <w:bCs/>
          <w:color w:val="000000" w:themeColor="text1"/>
          <w:highlight w:val="none"/>
          <w:lang w:val="en-US" w:eastAsia="zh-CN"/>
        </w:rPr>
        <w:t>，从业人员</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lang w:val="en-US" w:eastAsia="zh-CN"/>
        </w:rPr>
        <w:t>人，营业收入为</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lang w:val="en-US" w:eastAsia="zh-CN"/>
        </w:rPr>
        <w:t>万元，资产总额为</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lang w:val="en-US" w:eastAsia="zh-CN"/>
        </w:rPr>
        <w:t>万元，属于</w:t>
      </w:r>
      <w:r>
        <w:rPr>
          <w:rFonts w:hint="eastAsia" w:ascii="宋体" w:hAnsi="宋体"/>
          <w:bCs/>
          <w:color w:val="000000" w:themeColor="text1"/>
          <w:highlight w:val="none"/>
          <w:u w:val="single"/>
          <w:lang w:val="en-US" w:eastAsia="zh-CN"/>
        </w:rPr>
        <w:t>（中型企业、小型企业、微型企业）</w:t>
      </w:r>
      <w:r>
        <w:rPr>
          <w:rFonts w:hint="eastAsia" w:ascii="宋体" w:hAnsi="宋体"/>
          <w:bCs/>
          <w:color w:val="000000" w:themeColor="text1"/>
          <w:highlight w:val="none"/>
          <w:lang w:val="en-US" w:eastAsia="zh-CN"/>
        </w:rPr>
        <w:t>。</w:t>
      </w:r>
    </w:p>
    <w:p>
      <w:pPr>
        <w:adjustRightInd w:val="0"/>
        <w:snapToGrid w:val="0"/>
        <w:spacing w:line="440" w:lineRule="exact"/>
        <w:ind w:firstLine="420" w:firstLineChars="200"/>
        <w:rPr>
          <w:rFonts w:hint="eastAsia" w:ascii="宋体" w:hAnsi="宋体"/>
          <w:bCs/>
          <w:color w:val="000000" w:themeColor="text1"/>
          <w:highlight w:val="none"/>
          <w:lang w:val="en-US" w:eastAsia="zh-CN"/>
        </w:rPr>
      </w:pPr>
      <w:r>
        <w:rPr>
          <w:rFonts w:hint="eastAsia" w:ascii="宋体" w:hAnsi="宋体"/>
          <w:bCs/>
          <w:color w:val="000000" w:themeColor="text1"/>
          <w:highlight w:val="none"/>
          <w:lang w:val="en-US" w:eastAsia="zh-CN"/>
        </w:rPr>
        <w:t>本企业，不属于大企业的分支机构，不存在控股股东为大企业的情形，也不存在与大企业的负责人为同一人的情形。</w:t>
      </w:r>
    </w:p>
    <w:p>
      <w:pPr>
        <w:adjustRightInd w:val="0"/>
        <w:snapToGrid w:val="0"/>
        <w:spacing w:line="440" w:lineRule="exact"/>
        <w:ind w:firstLine="420" w:firstLineChars="200"/>
        <w:rPr>
          <w:rFonts w:hint="eastAsia" w:ascii="宋体" w:hAnsi="宋体"/>
          <w:bCs/>
          <w:color w:val="000000" w:themeColor="text1"/>
          <w:highlight w:val="none"/>
          <w:lang w:val="en-US" w:eastAsia="zh-CN"/>
        </w:rPr>
      </w:pPr>
      <w:r>
        <w:rPr>
          <w:rFonts w:hint="eastAsia" w:ascii="宋体" w:hAnsi="宋体"/>
          <w:bCs/>
          <w:color w:val="000000" w:themeColor="text1"/>
          <w:highlight w:val="none"/>
          <w:lang w:val="en-US" w:eastAsia="zh-CN"/>
        </w:rPr>
        <w:t>本企业对上述声明内容的真实性负责。如有虚假，将依法承担相应责任。</w:t>
      </w:r>
    </w:p>
    <w:p>
      <w:pPr>
        <w:adjustRightInd w:val="0"/>
        <w:snapToGrid w:val="0"/>
        <w:spacing w:line="440" w:lineRule="exact"/>
        <w:rPr>
          <w:rFonts w:hint="eastAsia" w:ascii="宋体" w:hAnsi="宋体"/>
          <w:bCs/>
          <w:color w:val="000000" w:themeColor="text1"/>
          <w:highlight w:val="none"/>
          <w:lang w:val="en-US" w:eastAsia="zh-CN"/>
        </w:rPr>
      </w:pPr>
      <w:r>
        <w:rPr>
          <w:rFonts w:hint="eastAsia" w:ascii="宋体" w:hAnsi="宋体"/>
          <w:bCs/>
          <w:color w:val="000000" w:themeColor="text1"/>
          <w:highlight w:val="none"/>
          <w:lang w:val="en-US" w:eastAsia="zh-CN"/>
        </w:rPr>
        <w:t xml:space="preserve"> </w:t>
      </w:r>
    </w:p>
    <w:p>
      <w:pPr>
        <w:adjustRightInd w:val="0"/>
        <w:snapToGrid w:val="0"/>
        <w:spacing w:line="440" w:lineRule="exact"/>
        <w:rPr>
          <w:rFonts w:hint="eastAsia" w:ascii="宋体" w:hAnsi="宋体"/>
          <w:bCs/>
          <w:color w:val="000000" w:themeColor="text1"/>
          <w:highlight w:val="none"/>
          <w:lang w:val="en-US" w:eastAsia="zh-CN"/>
        </w:rPr>
      </w:pPr>
    </w:p>
    <w:p>
      <w:pPr>
        <w:adjustRightInd w:val="0"/>
        <w:snapToGrid w:val="0"/>
        <w:spacing w:line="440" w:lineRule="exact"/>
        <w:rPr>
          <w:rFonts w:hint="eastAsia" w:ascii="宋体" w:hAnsi="宋体"/>
          <w:bCs/>
          <w:color w:val="000000" w:themeColor="text1"/>
          <w:highlight w:val="none"/>
        </w:rPr>
      </w:pPr>
      <w:r>
        <w:rPr>
          <w:rFonts w:hint="eastAsia" w:ascii="宋体" w:hAnsi="宋体"/>
          <w:bCs/>
          <w:color w:val="000000" w:themeColor="text1"/>
          <w:highlight w:val="none"/>
          <w:lang w:val="en-US" w:eastAsia="zh-CN"/>
        </w:rPr>
        <w:t xml:space="preserve">                                                 </w:t>
      </w:r>
      <w:r>
        <w:rPr>
          <w:rFonts w:hint="eastAsia" w:ascii="宋体" w:hAnsi="宋体"/>
          <w:bCs/>
          <w:color w:val="000000" w:themeColor="text1"/>
          <w:highlight w:val="none"/>
          <w:lang w:eastAsia="zh-CN"/>
        </w:rPr>
        <w:t>企业</w:t>
      </w:r>
      <w:r>
        <w:rPr>
          <w:rFonts w:hint="eastAsia" w:ascii="宋体" w:hAnsi="宋体"/>
          <w:bCs/>
          <w:color w:val="000000" w:themeColor="text1"/>
          <w:highlight w:val="none"/>
        </w:rPr>
        <w:t>名称（</w:t>
      </w:r>
      <w:r>
        <w:rPr>
          <w:rFonts w:hint="eastAsia" w:ascii="宋体" w:hAnsi="宋体"/>
          <w:bCs/>
          <w:color w:val="000000" w:themeColor="text1"/>
          <w:highlight w:val="none"/>
          <w:lang w:eastAsia="zh-CN"/>
        </w:rPr>
        <w:t>盖章</w:t>
      </w:r>
      <w:r>
        <w:rPr>
          <w:rFonts w:hint="eastAsia" w:ascii="宋体" w:hAnsi="宋体"/>
          <w:bCs/>
          <w:color w:val="000000" w:themeColor="text1"/>
          <w:highlight w:val="none"/>
        </w:rPr>
        <w:t>）：</w:t>
      </w:r>
    </w:p>
    <w:p>
      <w:pPr>
        <w:adjustRightInd w:val="0"/>
        <w:snapToGrid w:val="0"/>
        <w:spacing w:line="440" w:lineRule="exact"/>
        <w:ind w:firstLine="6300" w:firstLineChars="3000"/>
        <w:rPr>
          <w:rFonts w:hint="eastAsia" w:ascii="宋体" w:hAnsi="宋体"/>
          <w:bCs/>
          <w:color w:val="000000" w:themeColor="text1"/>
          <w:highlight w:val="none"/>
        </w:rPr>
      </w:pPr>
      <w:r>
        <w:rPr>
          <w:rFonts w:hint="eastAsia" w:ascii="宋体" w:hAnsi="宋体"/>
          <w:bCs/>
          <w:color w:val="000000" w:themeColor="text1"/>
          <w:highlight w:val="none"/>
        </w:rPr>
        <w:t>日期：</w:t>
      </w: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说明：从业人员</w:t>
      </w:r>
      <w:r>
        <w:rPr>
          <w:rFonts w:hint="eastAsia" w:ascii="宋体" w:hAnsi="宋体"/>
          <w:bCs/>
          <w:color w:val="000000" w:themeColor="text1"/>
          <w:highlight w:val="none"/>
          <w:lang w:eastAsia="zh-CN"/>
        </w:rPr>
        <w:t>、营业收入、资产总额填报上一年的数据，无上一年的数据的新成立企业可不填报。</w:t>
      </w: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Pr>
        <w:pStyle w:val="4"/>
        <w:numPr>
          <w:ilvl w:val="1"/>
          <w:numId w:val="0"/>
        </w:numPr>
        <w:tabs>
          <w:tab w:val="left" w:pos="851"/>
        </w:tabs>
        <w:spacing w:before="0" w:after="0" w:line="360" w:lineRule="auto"/>
        <w:rPr>
          <w:rFonts w:ascii="宋体" w:eastAsia="宋体"/>
          <w:color w:val="000000" w:themeColor="text1"/>
          <w:szCs w:val="21"/>
          <w:highlight w:val="none"/>
        </w:rPr>
      </w:pPr>
      <w:bookmarkStart w:id="1996" w:name="_Toc12109"/>
      <w:bookmarkStart w:id="1997" w:name="_Toc32373"/>
      <w:bookmarkStart w:id="1998" w:name="_Toc434832511"/>
      <w:r>
        <w:rPr>
          <w:rFonts w:hint="eastAsia"/>
          <w:color w:val="000000" w:themeColor="text1"/>
          <w:highlight w:val="none"/>
        </w:rPr>
        <w:t>附件</w:t>
      </w:r>
      <w:r>
        <w:rPr>
          <w:rFonts w:hint="eastAsia"/>
          <w:color w:val="000000" w:themeColor="text1"/>
          <w:highlight w:val="none"/>
          <w:lang w:val="en-US" w:eastAsia="zh-CN"/>
        </w:rPr>
        <w:t>七</w:t>
      </w:r>
      <w:r>
        <w:rPr>
          <w:rFonts w:hint="eastAsia"/>
          <w:color w:val="000000" w:themeColor="text1"/>
          <w:highlight w:val="none"/>
        </w:rPr>
        <w:t>：</w:t>
      </w:r>
      <w:r>
        <w:rPr>
          <w:rFonts w:hint="eastAsia" w:hAnsi="黑体" w:cs="黑体"/>
          <w:color w:val="000000" w:themeColor="text1"/>
          <w:highlight w:val="none"/>
        </w:rPr>
        <w:t>残疾人福利性单位声明函</w:t>
      </w:r>
      <w:bookmarkEnd w:id="1996"/>
      <w:bookmarkEnd w:id="1997"/>
    </w:p>
    <w:p>
      <w:pPr>
        <w:spacing w:line="360" w:lineRule="auto"/>
        <w:jc w:val="center"/>
        <w:rPr>
          <w:rFonts w:ascii="宋体" w:hAnsi="宋体"/>
          <w:b/>
          <w:color w:val="000000" w:themeColor="text1"/>
          <w:sz w:val="24"/>
          <w:highlight w:val="none"/>
        </w:rPr>
      </w:pPr>
    </w:p>
    <w:p>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残疾人福利性单位声明函</w:t>
      </w:r>
    </w:p>
    <w:p>
      <w:pPr>
        <w:spacing w:line="360" w:lineRule="auto"/>
        <w:jc w:val="center"/>
        <w:rPr>
          <w:rFonts w:ascii="宋体" w:hAnsi="宋体"/>
          <w:b/>
          <w:color w:val="000000" w:themeColor="text1"/>
          <w:sz w:val="24"/>
          <w:highlight w:val="none"/>
        </w:rPr>
      </w:pPr>
    </w:p>
    <w:p>
      <w:pPr>
        <w:spacing w:line="480" w:lineRule="auto"/>
        <w:jc w:val="left"/>
        <w:rPr>
          <w:rFonts w:ascii="宋体" w:hAnsi="宋体" w:cs="宋体"/>
          <w:color w:val="000000" w:themeColor="text1"/>
          <w:highlight w:val="none"/>
        </w:rPr>
      </w:pPr>
      <w:r>
        <w:rPr>
          <w:rFonts w:hint="eastAsia" w:ascii="宋体" w:hAnsi="宋体" w:cs="宋体"/>
          <w:color w:val="000000" w:themeColor="text1"/>
          <w:highlight w:val="none"/>
        </w:rPr>
        <w:t xml:space="preserve"> </w:t>
      </w:r>
      <w:r>
        <w:rPr>
          <w:rFonts w:ascii="宋体" w:hAnsi="宋体" w:cs="宋体"/>
          <w:color w:val="000000" w:themeColor="text1"/>
          <w:highlight w:val="none"/>
        </w:rPr>
        <w:t xml:space="preserve">   </w:t>
      </w:r>
      <w:r>
        <w:rPr>
          <w:rFonts w:hint="eastAsia" w:ascii="宋体" w:hAnsi="宋体" w:cs="宋体"/>
          <w:color w:val="000000" w:themeColor="text1"/>
          <w:highlight w:val="none"/>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本单位对上述声明的真实性负责。如有虚假，将依法承担相应责任。</w:t>
      </w:r>
    </w:p>
    <w:p>
      <w:pPr>
        <w:spacing w:line="360" w:lineRule="auto"/>
        <w:ind w:firstLine="420" w:firstLineChars="200"/>
        <w:rPr>
          <w:rFonts w:ascii="宋体" w:hAnsi="宋体" w:cs="宋体"/>
          <w:color w:val="000000" w:themeColor="text1"/>
          <w:highlight w:val="none"/>
        </w:rPr>
      </w:pPr>
    </w:p>
    <w:p>
      <w:pPr>
        <w:adjustRightInd w:val="0"/>
        <w:snapToGrid w:val="0"/>
        <w:spacing w:line="440" w:lineRule="exact"/>
        <w:rPr>
          <w:rFonts w:ascii="宋体" w:hAnsi="宋体"/>
          <w:bCs/>
          <w:color w:val="000000" w:themeColor="text1"/>
          <w:szCs w:val="21"/>
          <w:highlight w:val="none"/>
        </w:rPr>
      </w:pPr>
    </w:p>
    <w:p>
      <w:pPr>
        <w:adjustRightInd w:val="0"/>
        <w:snapToGrid w:val="0"/>
        <w:spacing w:line="440" w:lineRule="exact"/>
        <w:rPr>
          <w:rFonts w:ascii="宋体" w:hAnsi="宋体"/>
          <w:bCs/>
          <w:color w:val="000000" w:themeColor="text1"/>
          <w:szCs w:val="21"/>
          <w:highlight w:val="none"/>
        </w:rPr>
      </w:pPr>
    </w:p>
    <w:p>
      <w:pPr>
        <w:adjustRightInd w:val="0"/>
        <w:snapToGrid w:val="0"/>
        <w:spacing w:line="440" w:lineRule="exact"/>
        <w:rPr>
          <w:rFonts w:ascii="宋体" w:hAnsi="宋体"/>
          <w:bCs/>
          <w:color w:val="000000" w:themeColor="text1"/>
          <w:szCs w:val="21"/>
          <w:highlight w:val="none"/>
        </w:rPr>
      </w:pPr>
    </w:p>
    <w:p>
      <w:pPr>
        <w:adjustRightInd w:val="0"/>
        <w:snapToGrid w:val="0"/>
        <w:spacing w:line="440" w:lineRule="exact"/>
        <w:rPr>
          <w:rFonts w:ascii="宋体" w:hAnsi="宋体"/>
          <w:bCs/>
          <w:color w:val="000000" w:themeColor="text1"/>
          <w:szCs w:val="21"/>
          <w:highlight w:val="none"/>
        </w:rPr>
      </w:pPr>
    </w:p>
    <w:p>
      <w:pPr>
        <w:adjustRightInd w:val="0"/>
        <w:snapToGrid w:val="0"/>
        <w:spacing w:line="440" w:lineRule="exact"/>
        <w:rPr>
          <w:rFonts w:ascii="宋体" w:hAnsi="宋体"/>
          <w:bCs/>
          <w:color w:val="000000" w:themeColor="text1"/>
          <w:szCs w:val="21"/>
          <w:highlight w:val="none"/>
        </w:rPr>
      </w:pPr>
      <w:r>
        <w:rPr>
          <w:rFonts w:hint="eastAsia" w:ascii="宋体" w:hAnsi="宋体"/>
          <w:bCs/>
          <w:color w:val="000000" w:themeColor="text1"/>
          <w:szCs w:val="21"/>
          <w:highlight w:val="none"/>
        </w:rPr>
        <w:t>投标人法定代表人（负责人）或授权代理人（签字）：</w:t>
      </w:r>
      <w:r>
        <w:rPr>
          <w:rFonts w:hint="eastAsia" w:ascii="宋体" w:hAnsi="宋体"/>
          <w:bCs/>
          <w:color w:val="000000" w:themeColor="text1"/>
          <w:szCs w:val="21"/>
          <w:highlight w:val="none"/>
          <w:u w:val="single"/>
        </w:rPr>
        <w:t xml:space="preserve">                            </w:t>
      </w:r>
    </w:p>
    <w:p>
      <w:pPr>
        <w:adjustRightInd w:val="0"/>
        <w:snapToGrid w:val="0"/>
        <w:spacing w:line="440" w:lineRule="exact"/>
        <w:rPr>
          <w:rFonts w:ascii="宋体" w:hAnsi="宋体"/>
          <w:bCs/>
          <w:color w:val="000000" w:themeColor="text1"/>
          <w:szCs w:val="21"/>
          <w:highlight w:val="none"/>
        </w:rPr>
      </w:pPr>
      <w:r>
        <w:rPr>
          <w:rFonts w:hint="eastAsia" w:ascii="宋体" w:hAnsi="宋体"/>
          <w:bCs/>
          <w:color w:val="000000" w:themeColor="text1"/>
          <w:szCs w:val="21"/>
          <w:highlight w:val="none"/>
        </w:rPr>
        <w:t>投标人名称（公章）：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pPr>
        <w:pStyle w:val="5"/>
        <w:spacing w:line="360" w:lineRule="auto"/>
        <w:ind w:firstLine="0"/>
        <w:rPr>
          <w:rFonts w:hAnsi="宋体" w:cs="宋体"/>
          <w:color w:val="000000" w:themeColor="text1"/>
          <w:kern w:val="2"/>
          <w:sz w:val="21"/>
          <w:szCs w:val="24"/>
          <w:highlight w:val="none"/>
        </w:rPr>
      </w:pPr>
      <w:r>
        <w:rPr>
          <w:rFonts w:hAnsi="宋体"/>
          <w:color w:val="000000" w:themeColor="text1"/>
          <w:sz w:val="21"/>
          <w:szCs w:val="21"/>
          <w:highlight w:val="none"/>
        </w:rPr>
        <w:t>日期：</w:t>
      </w:r>
      <w:r>
        <w:rPr>
          <w:rFonts w:hAnsi="宋体"/>
          <w:color w:val="000000" w:themeColor="text1"/>
          <w:sz w:val="21"/>
          <w:szCs w:val="21"/>
          <w:highlight w:val="none"/>
          <w:u w:val="single"/>
        </w:rPr>
        <w:t xml:space="preserve">       </w:t>
      </w:r>
      <w:r>
        <w:rPr>
          <w:rFonts w:hAnsi="宋体"/>
          <w:color w:val="000000" w:themeColor="text1"/>
          <w:sz w:val="21"/>
          <w:szCs w:val="21"/>
          <w:highlight w:val="none"/>
        </w:rPr>
        <w:t>年</w:t>
      </w:r>
      <w:r>
        <w:rPr>
          <w:rFonts w:hAnsi="宋体"/>
          <w:color w:val="000000" w:themeColor="text1"/>
          <w:sz w:val="21"/>
          <w:szCs w:val="21"/>
          <w:highlight w:val="none"/>
          <w:u w:val="single"/>
        </w:rPr>
        <w:t xml:space="preserve">     </w:t>
      </w:r>
      <w:r>
        <w:rPr>
          <w:rFonts w:hAnsi="宋体"/>
          <w:color w:val="000000" w:themeColor="text1"/>
          <w:sz w:val="21"/>
          <w:szCs w:val="21"/>
          <w:highlight w:val="none"/>
        </w:rPr>
        <w:t>月</w:t>
      </w:r>
      <w:r>
        <w:rPr>
          <w:rFonts w:hAnsi="宋体"/>
          <w:color w:val="000000" w:themeColor="text1"/>
          <w:sz w:val="21"/>
          <w:szCs w:val="21"/>
          <w:highlight w:val="none"/>
          <w:u w:val="single"/>
        </w:rPr>
        <w:t xml:space="preserve">      </w:t>
      </w:r>
      <w:r>
        <w:rPr>
          <w:rFonts w:hAnsi="宋体"/>
          <w:color w:val="000000" w:themeColor="text1"/>
          <w:sz w:val="21"/>
          <w:szCs w:val="21"/>
          <w:highlight w:val="none"/>
        </w:rPr>
        <w:t>日</w:t>
      </w: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4"/>
        <w:numPr>
          <w:ilvl w:val="1"/>
          <w:numId w:val="0"/>
        </w:numPr>
        <w:spacing w:line="400" w:lineRule="exact"/>
        <w:rPr>
          <w:color w:val="000000" w:themeColor="text1"/>
          <w:highlight w:val="none"/>
        </w:rPr>
      </w:pPr>
      <w:bookmarkStart w:id="1999" w:name="_Toc9858"/>
      <w:bookmarkStart w:id="2000" w:name="_Toc432695230"/>
      <w:bookmarkStart w:id="2001" w:name="_Toc32002"/>
      <w:r>
        <w:rPr>
          <w:rFonts w:hint="eastAsia"/>
          <w:color w:val="000000" w:themeColor="text1"/>
          <w:highlight w:val="none"/>
        </w:rPr>
        <w:t>附件</w:t>
      </w:r>
      <w:r>
        <w:rPr>
          <w:rFonts w:hint="eastAsia"/>
          <w:color w:val="000000" w:themeColor="text1"/>
          <w:highlight w:val="none"/>
          <w:lang w:val="en-US" w:eastAsia="zh-CN"/>
        </w:rPr>
        <w:t>八</w:t>
      </w:r>
      <w:r>
        <w:rPr>
          <w:rFonts w:hint="eastAsia"/>
          <w:color w:val="000000" w:themeColor="text1"/>
          <w:highlight w:val="none"/>
        </w:rPr>
        <w:t>：中标服务费承诺</w:t>
      </w:r>
      <w:bookmarkEnd w:id="1999"/>
      <w:bookmarkEnd w:id="2000"/>
      <w:bookmarkEnd w:id="2001"/>
    </w:p>
    <w:p>
      <w:pPr>
        <w:spacing w:line="360" w:lineRule="auto"/>
        <w:rPr>
          <w:rFonts w:ascii="宋体" w:hAnsi="宋体"/>
          <w:color w:val="000000" w:themeColor="text1"/>
          <w:highlight w:val="none"/>
        </w:rPr>
      </w:pPr>
      <w:r>
        <w:rPr>
          <w:rFonts w:hint="eastAsia" w:ascii="宋体" w:hAnsi="宋体"/>
          <w:color w:val="000000" w:themeColor="text1"/>
          <w:highlight w:val="none"/>
        </w:rPr>
        <w:t>致</w:t>
      </w:r>
      <w:r>
        <w:rPr>
          <w:rFonts w:hint="eastAsia" w:ascii="宋体" w:hAnsi="宋体"/>
          <w:color w:val="000000" w:themeColor="text1"/>
          <w:highlight w:val="none"/>
          <w:u w:val="single"/>
        </w:rPr>
        <w:t>广东业信采购招标有限公司</w:t>
      </w:r>
      <w:r>
        <w:rPr>
          <w:rFonts w:hint="eastAsia" w:ascii="宋体" w:hAnsi="宋体"/>
          <w:color w:val="000000" w:themeColor="text1"/>
          <w:highlight w:val="none"/>
        </w:rPr>
        <w:t>：</w:t>
      </w:r>
    </w:p>
    <w:p>
      <w:pPr>
        <w:spacing w:line="360" w:lineRule="auto"/>
        <w:rPr>
          <w:rFonts w:ascii="宋体" w:hAnsi="宋体"/>
          <w:color w:val="000000" w:themeColor="text1"/>
          <w:highlight w:val="none"/>
        </w:rPr>
      </w:pPr>
    </w:p>
    <w:p>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针对贵方组织的（项目名称：</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）招标（项目编号: </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），我方承诺：</w:t>
      </w:r>
    </w:p>
    <w:p>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1. 若我方中标，将严格遵照本项目招标文件的规定向代理采购机构缴纳中标服务费。</w:t>
      </w:r>
    </w:p>
    <w:p>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rPr>
        <w:t>方</w:t>
      </w:r>
      <w:r>
        <w:rPr>
          <w:rFonts w:hint="eastAsia" w:ascii="宋体" w:hAnsi="宋体"/>
          <w:color w:val="000000" w:themeColor="text1"/>
          <w:highlight w:val="none"/>
        </w:rPr>
        <w:t>有权不予退还我方的投标保证金并重新确定中标结果，</w:t>
      </w:r>
      <w:r>
        <w:rPr>
          <w:rFonts w:hint="eastAsia" w:ascii="宋体"/>
          <w:color w:val="000000" w:themeColor="text1"/>
          <w:highlight w:val="none"/>
        </w:rPr>
        <w:t>我方对此无任何异议。</w:t>
      </w:r>
    </w:p>
    <w:p>
      <w:pPr>
        <w:spacing w:line="440" w:lineRule="exact"/>
        <w:rPr>
          <w:rFonts w:ascii="宋体" w:hAnsi="宋体"/>
          <w:color w:val="000000" w:themeColor="text1"/>
          <w:highlight w:val="none"/>
        </w:rPr>
      </w:pPr>
      <w:r>
        <w:rPr>
          <w:rFonts w:hint="eastAsia" w:ascii="宋体" w:hAnsi="宋体"/>
          <w:color w:val="000000" w:themeColor="text1"/>
          <w:highlight w:val="none"/>
        </w:rPr>
        <w:t xml:space="preserve">     </w:t>
      </w:r>
    </w:p>
    <w:p>
      <w:pPr>
        <w:spacing w:line="440" w:lineRule="exact"/>
        <w:ind w:firstLine="420" w:firstLineChars="200"/>
        <w:rPr>
          <w:rFonts w:ascii="宋体" w:hAnsi="宋体"/>
          <w:color w:val="000000" w:themeColor="text1"/>
          <w:highlight w:val="none"/>
        </w:rPr>
      </w:pP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rPr>
          <w:color w:val="000000" w:themeColor="text1"/>
          <w:highlight w:val="none"/>
        </w:rPr>
        <w:sectPr>
          <w:pgSz w:w="11906" w:h="16838"/>
          <w:pgMar w:top="1474" w:right="1418" w:bottom="1474" w:left="1418" w:header="851" w:footer="851" w:gutter="0"/>
          <w:cols w:space="720" w:num="1"/>
          <w:titlePg/>
          <w:docGrid w:linePitch="312" w:charSpace="0"/>
        </w:sectPr>
      </w:pPr>
    </w:p>
    <w:p>
      <w:pPr>
        <w:pStyle w:val="4"/>
        <w:numPr>
          <w:ilvl w:val="1"/>
          <w:numId w:val="0"/>
        </w:numPr>
        <w:spacing w:line="400" w:lineRule="exact"/>
        <w:rPr>
          <w:color w:val="000000" w:themeColor="text1"/>
          <w:highlight w:val="none"/>
        </w:rPr>
      </w:pPr>
      <w:bookmarkStart w:id="2002" w:name="_Toc326065622"/>
      <w:bookmarkStart w:id="2003" w:name="_Toc343248449"/>
      <w:bookmarkStart w:id="2004" w:name="_Toc7961"/>
      <w:bookmarkStart w:id="2005" w:name="_Toc332270378"/>
      <w:bookmarkStart w:id="2006" w:name="_Toc333238665"/>
      <w:bookmarkStart w:id="2007" w:name="_Toc350438780"/>
      <w:bookmarkStart w:id="2008" w:name="_Toc343247131"/>
      <w:bookmarkStart w:id="2009" w:name="_Toc10463"/>
      <w:bookmarkStart w:id="2010" w:name="_Toc342312474"/>
      <w:bookmarkStart w:id="2011" w:name="_Toc330460017"/>
      <w:bookmarkStart w:id="2012" w:name="_Toc333935718"/>
      <w:bookmarkStart w:id="2013" w:name="_Toc340507473"/>
      <w:bookmarkStart w:id="2014" w:name="_Toc339019920"/>
      <w:bookmarkStart w:id="2015" w:name="_Toc343612951"/>
      <w:bookmarkStart w:id="2016" w:name="_Toc339020046"/>
      <w:bookmarkStart w:id="2017" w:name="_Toc332206740"/>
      <w:bookmarkStart w:id="2018" w:name="_Toc350756481"/>
      <w:bookmarkStart w:id="2019" w:name="_Toc365985212"/>
      <w:bookmarkStart w:id="2020" w:name="_Toc342296792"/>
      <w:bookmarkStart w:id="2021" w:name="_Toc336681611"/>
      <w:bookmarkStart w:id="2022" w:name="_Toc432695231"/>
      <w:bookmarkStart w:id="2023" w:name="_Toc339020264"/>
      <w:bookmarkStart w:id="2024" w:name="_Toc345312628"/>
      <w:bookmarkStart w:id="2025" w:name="_Toc333237820"/>
      <w:bookmarkStart w:id="2026" w:name="_Toc331684073"/>
      <w:bookmarkStart w:id="2027" w:name="_Toc366072563"/>
      <w:bookmarkStart w:id="2028" w:name="_Toc340677101"/>
      <w:bookmarkStart w:id="2029" w:name="_Toc342398161"/>
      <w:bookmarkStart w:id="2030" w:name="_Toc331512932"/>
      <w:bookmarkStart w:id="2031" w:name="_Toc333935377"/>
      <w:bookmarkStart w:id="2032" w:name="_Toc341348371"/>
      <w:bookmarkStart w:id="2033" w:name="_Toc339020126"/>
      <w:bookmarkStart w:id="2034" w:name="_Toc339362331"/>
      <w:bookmarkStart w:id="2035" w:name="_Toc342060406"/>
      <w:bookmarkStart w:id="2036" w:name="_Toc337632389"/>
      <w:bookmarkStart w:id="2037" w:name="_Toc333237709"/>
      <w:bookmarkStart w:id="2038" w:name="_Toc339441118"/>
      <w:bookmarkStart w:id="2039" w:name="_Toc336681966"/>
      <w:bookmarkStart w:id="2040" w:name="_Toc340672900"/>
      <w:bookmarkStart w:id="2041" w:name="_Toc365967106"/>
      <w:r>
        <w:rPr>
          <w:rFonts w:hint="eastAsia"/>
          <w:color w:val="000000" w:themeColor="text1"/>
          <w:highlight w:val="none"/>
        </w:rPr>
        <w:t>附件</w:t>
      </w:r>
      <w:r>
        <w:rPr>
          <w:rFonts w:hint="eastAsia"/>
          <w:color w:val="000000" w:themeColor="text1"/>
          <w:highlight w:val="none"/>
          <w:lang w:val="en-US" w:eastAsia="zh-CN"/>
        </w:rPr>
        <w:t>九</w:t>
      </w:r>
      <w:r>
        <w:rPr>
          <w:rFonts w:hint="eastAsia"/>
          <w:color w:val="000000" w:themeColor="text1"/>
          <w:highlight w:val="none"/>
        </w:rPr>
        <w:t>：</w:t>
      </w:r>
      <w:bookmarkEnd w:id="2002"/>
      <w:r>
        <w:rPr>
          <w:rFonts w:hint="eastAsia"/>
          <w:color w:val="000000" w:themeColor="text1"/>
          <w:highlight w:val="none"/>
        </w:rPr>
        <w:t>投标人提交的其它商务和技术资料</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pPr>
        <w:adjustRightInd w:val="0"/>
        <w:snapToGrid w:val="0"/>
        <w:spacing w:line="360" w:lineRule="auto"/>
        <w:jc w:val="left"/>
        <w:rPr>
          <w:rFonts w:ascii="宋体" w:hAnsi="宋体"/>
          <w:bCs/>
          <w:color w:val="000000" w:themeColor="text1"/>
          <w:highlight w:val="none"/>
        </w:rPr>
      </w:pPr>
    </w:p>
    <w:p>
      <w:pPr>
        <w:adjustRightInd w:val="0"/>
        <w:snapToGrid w:val="0"/>
        <w:spacing w:line="360" w:lineRule="auto"/>
        <w:jc w:val="left"/>
        <w:rPr>
          <w:rFonts w:ascii="宋体" w:hAnsi="宋体"/>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szCs w:val="21"/>
          <w:highlight w:val="none"/>
        </w:rPr>
        <w:t xml:space="preserve">           </w:t>
      </w:r>
    </w:p>
    <w:p>
      <w:pPr>
        <w:adjustRightInd w:val="0"/>
        <w:snapToGrid w:val="0"/>
        <w:spacing w:line="360" w:lineRule="auto"/>
        <w:ind w:left="1050" w:hanging="1050" w:hangingChars="500"/>
        <w:jc w:val="left"/>
        <w:rPr>
          <w:rFonts w:ascii="宋体" w:hAnsi="宋体"/>
          <w:bCs/>
          <w:color w:val="000000" w:themeColor="text1"/>
          <w:highlight w:val="none"/>
        </w:rPr>
      </w:pPr>
      <w:r>
        <w:rPr>
          <w:rFonts w:hint="eastAsia" w:ascii="宋体" w:hAnsi="宋体"/>
          <w:bCs/>
          <w:color w:val="000000" w:themeColor="text1"/>
          <w:szCs w:val="21"/>
          <w:highlight w:val="none"/>
        </w:rPr>
        <w:t>项目名称：</w:t>
      </w:r>
      <w:r>
        <w:rPr>
          <w:rFonts w:hint="eastAsia"/>
          <w:color w:val="000000" w:themeColor="text1"/>
          <w:szCs w:val="21"/>
          <w:highlight w:val="none"/>
          <w:u w:val="single"/>
        </w:rPr>
        <w:t xml:space="preserve">                          </w:t>
      </w:r>
    </w:p>
    <w:p>
      <w:pPr>
        <w:adjustRightInd w:val="0"/>
        <w:snapToGrid w:val="0"/>
        <w:spacing w:line="360" w:lineRule="auto"/>
        <w:ind w:left="1050" w:hanging="1050" w:hangingChars="500"/>
        <w:jc w:val="left"/>
        <w:rPr>
          <w:rFonts w:ascii="宋体" w:hAnsi="宋体"/>
          <w:bCs/>
          <w:color w:val="000000" w:themeColor="text1"/>
          <w:highlight w:val="none"/>
        </w:rPr>
      </w:pPr>
    </w:p>
    <w:p>
      <w:pPr>
        <w:pStyle w:val="5"/>
        <w:spacing w:line="360" w:lineRule="auto"/>
        <w:rPr>
          <w:rFonts w:hAnsi="宋体"/>
          <w:bCs/>
          <w:color w:val="000000" w:themeColor="text1"/>
          <w:sz w:val="21"/>
          <w:highlight w:val="none"/>
        </w:rPr>
      </w:pP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本节无格式要求，投标人可根据自身实际情况以及招标文件评分细则规定的详细评审内容和应当提供的证明材料进行编制。</w:t>
      </w: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一、</w:t>
      </w:r>
      <w:r>
        <w:rPr>
          <w:rFonts w:hAnsi="宋体"/>
          <w:bCs/>
          <w:color w:val="000000" w:themeColor="text1"/>
          <w:sz w:val="21"/>
          <w:highlight w:val="none"/>
        </w:rPr>
        <w:t>...</w:t>
      </w: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二、</w:t>
      </w:r>
      <w:r>
        <w:rPr>
          <w:rFonts w:hAnsi="宋体"/>
          <w:bCs/>
          <w:color w:val="000000" w:themeColor="text1"/>
          <w:sz w:val="21"/>
          <w:highlight w:val="none"/>
        </w:rPr>
        <w:t>...</w:t>
      </w: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三、</w:t>
      </w:r>
      <w:r>
        <w:rPr>
          <w:rFonts w:hAnsi="宋体"/>
          <w:bCs/>
          <w:color w:val="000000" w:themeColor="text1"/>
          <w:sz w:val="21"/>
          <w:highlight w:val="none"/>
        </w:rPr>
        <w:t>...</w:t>
      </w: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四、</w:t>
      </w:r>
      <w:r>
        <w:rPr>
          <w:rFonts w:hAnsi="宋体"/>
          <w:bCs/>
          <w:color w:val="000000" w:themeColor="text1"/>
          <w:sz w:val="21"/>
          <w:highlight w:val="none"/>
        </w:rPr>
        <w:t>...</w:t>
      </w: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5"/>
        <w:spacing w:line="360" w:lineRule="auto"/>
        <w:rPr>
          <w:color w:val="000000" w:themeColor="text1"/>
          <w:highlight w:val="none"/>
        </w:rPr>
      </w:pPr>
    </w:p>
    <w:p>
      <w:pPr>
        <w:adjustRightInd w:val="0"/>
        <w:snapToGrid w:val="0"/>
        <w:spacing w:line="440" w:lineRule="exact"/>
        <w:rPr>
          <w:color w:val="000000" w:themeColor="text1"/>
          <w:highlight w:val="none"/>
        </w:rPr>
      </w:pPr>
      <w:r>
        <w:rPr>
          <w:rFonts w:hint="eastAsia"/>
          <w:color w:val="000000" w:themeColor="text1"/>
          <w:highlight w:val="none"/>
        </w:rPr>
        <w:t>（投标人认为本节无须提交的，应注明“本节空白”字样）。</w:t>
      </w: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ind w:firstLine="0"/>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4"/>
        <w:numPr>
          <w:ilvl w:val="1"/>
          <w:numId w:val="0"/>
        </w:numPr>
        <w:rPr>
          <w:color w:val="000000" w:themeColor="text1"/>
          <w:sz w:val="52"/>
          <w:highlight w:val="none"/>
        </w:rPr>
      </w:pPr>
      <w:bookmarkStart w:id="2042" w:name="_Toc456887842"/>
      <w:bookmarkStart w:id="2043" w:name="_Toc456888293"/>
      <w:bookmarkStart w:id="2044" w:name="_Toc25122"/>
      <w:r>
        <w:rPr>
          <w:rFonts w:hint="eastAsia"/>
          <w:color w:val="000000" w:themeColor="text1"/>
          <w:sz w:val="52"/>
          <w:highlight w:val="none"/>
        </w:rPr>
        <w:t>其 他 格 式</w:t>
      </w:r>
      <w:bookmarkEnd w:id="1998"/>
      <w:bookmarkEnd w:id="2042"/>
      <w:bookmarkEnd w:id="2043"/>
      <w:bookmarkEnd w:id="2044"/>
    </w:p>
    <w:p>
      <w:pPr>
        <w:jc w:val="center"/>
        <w:rPr>
          <w:rFonts w:ascii="宋体" w:hAnsi="宋体"/>
          <w:b/>
          <w:color w:val="000000" w:themeColor="text1"/>
          <w:sz w:val="28"/>
          <w:highlight w:val="none"/>
        </w:rPr>
      </w:pPr>
      <w:r>
        <w:rPr>
          <w:rFonts w:hint="eastAsia" w:ascii="宋体" w:hAnsi="宋体"/>
          <w:b/>
          <w:color w:val="000000" w:themeColor="text1"/>
          <w:sz w:val="36"/>
          <w:highlight w:val="none"/>
        </w:rPr>
        <w:t>（以下文件勿装订在投标文件内</w:t>
      </w:r>
      <w:r>
        <w:rPr>
          <w:rFonts w:ascii="宋体" w:hAnsi="宋体"/>
          <w:b/>
          <w:color w:val="000000" w:themeColor="text1"/>
          <w:sz w:val="36"/>
          <w:highlight w:val="none"/>
        </w:rPr>
        <w:t>）</w:t>
      </w: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pStyle w:val="6"/>
        <w:numPr>
          <w:ilvl w:val="2"/>
          <w:numId w:val="0"/>
        </w:numPr>
        <w:spacing w:afterLines="50"/>
        <w:jc w:val="center"/>
        <w:rPr>
          <w:rFonts w:ascii="宋体" w:hAnsi="宋体" w:eastAsia="宋体"/>
          <w:b/>
          <w:color w:val="000000" w:themeColor="text1"/>
          <w:sz w:val="28"/>
          <w:highlight w:val="none"/>
        </w:rPr>
      </w:pPr>
      <w:bookmarkStart w:id="2045" w:name="_Toc31821"/>
      <w:bookmarkStart w:id="2046" w:name="_Toc456888294"/>
      <w:bookmarkStart w:id="2047" w:name="_Toc456887843"/>
      <w:r>
        <w:rPr>
          <w:rFonts w:hint="eastAsia" w:ascii="宋体" w:hAnsi="宋体" w:eastAsia="宋体"/>
          <w:b/>
          <w:color w:val="000000" w:themeColor="text1"/>
          <w:sz w:val="28"/>
          <w:highlight w:val="none"/>
        </w:rPr>
        <w:t>投标保证金退付书</w:t>
      </w:r>
      <w:bookmarkEnd w:id="2045"/>
      <w:bookmarkEnd w:id="2046"/>
      <w:bookmarkEnd w:id="2047"/>
    </w:p>
    <w:p>
      <w:pPr>
        <w:pStyle w:val="5"/>
        <w:rPr>
          <w:color w:val="000000" w:themeColor="text1"/>
          <w:highlight w:val="none"/>
        </w:rPr>
      </w:pPr>
    </w:p>
    <w:p>
      <w:pPr>
        <w:spacing w:line="288" w:lineRule="auto"/>
        <w:rPr>
          <w:rFonts w:ascii="宋体" w:hAnsi="宋体"/>
          <w:b/>
          <w:color w:val="000000" w:themeColor="text1"/>
          <w:szCs w:val="21"/>
          <w:highlight w:val="none"/>
        </w:rPr>
      </w:pPr>
      <w:r>
        <w:rPr>
          <w:rFonts w:hint="eastAsia" w:ascii="宋体" w:hAnsi="宋体"/>
          <w:b/>
          <w:color w:val="000000" w:themeColor="text1"/>
          <w:szCs w:val="21"/>
          <w:highlight w:val="none"/>
        </w:rPr>
        <w:t>致：广东业信采购招标有限公司</w:t>
      </w:r>
    </w:p>
    <w:p>
      <w:pPr>
        <w:spacing w:line="288"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本公司为本项目的投标已提交了足额投标保证金，请贵方在符合退还条件时请代划入下列账户：</w:t>
      </w:r>
    </w:p>
    <w:tbl>
      <w:tblPr>
        <w:tblStyle w:val="46"/>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2836"/>
        <w:gridCol w:w="1498"/>
        <w:gridCol w:w="1481"/>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7" w:type="dxa"/>
            <w:gridSpan w:val="2"/>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项目名称</w:t>
            </w:r>
          </w:p>
        </w:tc>
        <w:tc>
          <w:tcPr>
            <w:tcW w:w="6095" w:type="dxa"/>
            <w:gridSpan w:val="3"/>
            <w:vAlign w:val="top"/>
          </w:tcPr>
          <w:p>
            <w:pPr>
              <w:ind w:right="206" w:rightChars="98"/>
              <w:rPr>
                <w:rStyle w:val="307"/>
                <w:rFonts w:ascii="宋体" w:hAnsi="宋体"/>
                <w:color w:val="000000" w:themeColor="text1"/>
                <w:spacing w:val="1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7" w:type="dxa"/>
            <w:gridSpan w:val="2"/>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项目编号</w:t>
            </w:r>
          </w:p>
        </w:tc>
        <w:tc>
          <w:tcPr>
            <w:tcW w:w="6095" w:type="dxa"/>
            <w:gridSpan w:val="3"/>
            <w:vAlign w:val="top"/>
          </w:tcPr>
          <w:p>
            <w:pPr>
              <w:ind w:right="206" w:rightChars="98"/>
              <w:rPr>
                <w:rStyle w:val="307"/>
                <w:color w:val="000000" w:themeColor="text1"/>
                <w:spacing w:val="1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restart"/>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收款单位</w:t>
            </w:r>
          </w:p>
        </w:tc>
        <w:tc>
          <w:tcPr>
            <w:tcW w:w="2836" w:type="dxa"/>
            <w:vAlign w:val="top"/>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收款单位名称</w:t>
            </w:r>
          </w:p>
        </w:tc>
        <w:tc>
          <w:tcPr>
            <w:tcW w:w="6095" w:type="dxa"/>
            <w:gridSpan w:val="3"/>
            <w:vAlign w:val="top"/>
          </w:tcPr>
          <w:p>
            <w:pPr>
              <w:ind w:right="206" w:rightChars="98"/>
              <w:jc w:val="center"/>
              <w:rPr>
                <w:rStyle w:val="307"/>
                <w:color w:val="000000" w:themeColor="text1"/>
                <w:spacing w:val="10"/>
                <w:sz w:val="21"/>
                <w:szCs w:val="21"/>
                <w:highlight w:val="none"/>
                <w:u w:val="single"/>
                <w:lang w:val="zh-CN"/>
              </w:rPr>
            </w:pPr>
            <w:r>
              <w:rPr>
                <w:rStyle w:val="307"/>
                <w:color w:val="000000" w:themeColor="text1"/>
                <w:spacing w:val="10"/>
                <w:sz w:val="21"/>
                <w:szCs w:val="21"/>
                <w:highlight w:val="none"/>
                <w:u w:val="single"/>
                <w:lang w:val="zh-CN"/>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Align w:val="top"/>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收款单位地址</w:t>
            </w:r>
          </w:p>
        </w:tc>
        <w:tc>
          <w:tcPr>
            <w:tcW w:w="6095" w:type="dxa"/>
            <w:gridSpan w:val="3"/>
            <w:vAlign w:val="top"/>
          </w:tcPr>
          <w:p>
            <w:pPr>
              <w:ind w:right="206" w:rightChars="98"/>
              <w:jc w:val="center"/>
              <w:rPr>
                <w:rStyle w:val="307"/>
                <w:color w:val="000000" w:themeColor="text1"/>
                <w:spacing w:val="10"/>
                <w:sz w:val="21"/>
                <w:szCs w:val="21"/>
                <w:highlight w:val="none"/>
                <w:lang w:val="zh-CN"/>
              </w:rPr>
            </w:pPr>
            <w:r>
              <w:rPr>
                <w:rStyle w:val="307"/>
                <w:color w:val="000000" w:themeColor="text1"/>
                <w:spacing w:val="10"/>
                <w:sz w:val="21"/>
                <w:szCs w:val="21"/>
                <w:highlight w:val="none"/>
                <w:u w:val="single"/>
                <w:lang w:val="zh-CN"/>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开户银行</w:t>
            </w:r>
            <w:r>
              <w:rPr>
                <w:rStyle w:val="307"/>
                <w:color w:val="000000" w:themeColor="text1"/>
                <w:spacing w:val="10"/>
                <w:sz w:val="21"/>
                <w:szCs w:val="21"/>
                <w:highlight w:val="none"/>
                <w:lang w:val="zh-CN"/>
              </w:rPr>
              <w:t>（含汇入地点）</w:t>
            </w:r>
          </w:p>
        </w:tc>
        <w:tc>
          <w:tcPr>
            <w:tcW w:w="6095" w:type="dxa"/>
            <w:gridSpan w:val="3"/>
            <w:vAlign w:val="center"/>
          </w:tcPr>
          <w:p>
            <w:pPr>
              <w:ind w:right="206" w:rightChars="98" w:firstLine="460" w:firstLineChars="200"/>
              <w:rPr>
                <w:rStyle w:val="307"/>
                <w:color w:val="000000" w:themeColor="text1"/>
                <w:spacing w:val="10"/>
                <w:sz w:val="21"/>
                <w:szCs w:val="21"/>
                <w:highlight w:val="none"/>
                <w:lang w:val="zh-CN"/>
              </w:rPr>
            </w:pPr>
            <w:r>
              <w:rPr>
                <w:rStyle w:val="307"/>
                <w:color w:val="000000" w:themeColor="text1"/>
                <w:spacing w:val="10"/>
                <w:sz w:val="21"/>
                <w:szCs w:val="21"/>
                <w:highlight w:val="none"/>
                <w:lang w:val="zh-CN"/>
              </w:rPr>
              <w:t xml:space="preserve">省    市（县）      银行       支行（分理处）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银行账号</w:t>
            </w:r>
          </w:p>
        </w:tc>
        <w:tc>
          <w:tcPr>
            <w:tcW w:w="6095" w:type="dxa"/>
            <w:gridSpan w:val="3"/>
            <w:vAlign w:val="top"/>
          </w:tcPr>
          <w:p>
            <w:pPr>
              <w:ind w:right="206" w:rightChars="98"/>
              <w:jc w:val="center"/>
              <w:rPr>
                <w:rStyle w:val="307"/>
                <w:color w:val="000000" w:themeColor="text1"/>
                <w:spacing w:val="10"/>
                <w:sz w:val="21"/>
                <w:szCs w:val="21"/>
                <w:highlight w:val="none"/>
                <w:u w:val="single"/>
                <w:lang w:val="zh-CN"/>
              </w:rPr>
            </w:pPr>
            <w:r>
              <w:rPr>
                <w:rStyle w:val="307"/>
                <w:color w:val="000000" w:themeColor="text1"/>
                <w:spacing w:val="10"/>
                <w:sz w:val="21"/>
                <w:szCs w:val="21"/>
                <w:highlight w:val="none"/>
                <w:u w:val="single"/>
                <w:lang w:val="zh-CN"/>
              </w:rPr>
              <w:t>（投标人对公银行账号）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总金额（投标保证金）</w:t>
            </w:r>
          </w:p>
        </w:tc>
        <w:tc>
          <w:tcPr>
            <w:tcW w:w="6095" w:type="dxa"/>
            <w:gridSpan w:val="3"/>
            <w:vAlign w:val="center"/>
          </w:tcPr>
          <w:p>
            <w:pPr>
              <w:ind w:right="206" w:rightChars="98"/>
              <w:jc w:val="center"/>
              <w:rPr>
                <w:rStyle w:val="307"/>
                <w:color w:val="000000" w:themeColor="text1"/>
                <w:spacing w:val="10"/>
                <w:sz w:val="21"/>
                <w:szCs w:val="21"/>
                <w:highlight w:val="none"/>
                <w:lang w:val="zh-CN"/>
              </w:rPr>
            </w:pPr>
            <w:r>
              <w:rPr>
                <w:color w:val="000000" w:themeColor="text1"/>
                <w:szCs w:val="21"/>
                <w:highlight w:val="none"/>
                <w:shd w:val="clear" w:color="auto" w:fill="FFFFFF"/>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Merge w:val="restart"/>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财务联系人</w:t>
            </w:r>
          </w:p>
        </w:tc>
        <w:tc>
          <w:tcPr>
            <w:tcW w:w="1498" w:type="dxa"/>
            <w:vMerge w:val="restart"/>
            <w:vAlign w:val="center"/>
          </w:tcPr>
          <w:p>
            <w:pPr>
              <w:ind w:right="206" w:rightChars="98"/>
              <w:rPr>
                <w:rStyle w:val="307"/>
                <w:color w:val="000000" w:themeColor="text1"/>
                <w:spacing w:val="10"/>
                <w:sz w:val="21"/>
                <w:szCs w:val="21"/>
                <w:highlight w:val="none"/>
                <w:lang w:val="zh-CN"/>
              </w:rPr>
            </w:pPr>
          </w:p>
        </w:tc>
        <w:tc>
          <w:tcPr>
            <w:tcW w:w="1481" w:type="dxa"/>
            <w:vAlign w:val="center"/>
          </w:tcPr>
          <w:p>
            <w:pPr>
              <w:ind w:right="206" w:rightChars="98"/>
              <w:jc w:val="center"/>
              <w:rPr>
                <w:rStyle w:val="307"/>
                <w:color w:val="000000" w:themeColor="text1"/>
                <w:spacing w:val="10"/>
                <w:sz w:val="21"/>
                <w:szCs w:val="21"/>
                <w:highlight w:val="none"/>
                <w:lang w:val="zh-CN"/>
              </w:rPr>
            </w:pPr>
            <w:r>
              <w:rPr>
                <w:rStyle w:val="307"/>
                <w:color w:val="000000" w:themeColor="text1"/>
                <w:spacing w:val="10"/>
                <w:sz w:val="21"/>
                <w:szCs w:val="21"/>
                <w:highlight w:val="none"/>
                <w:lang w:val="zh-CN"/>
              </w:rPr>
              <w:t>联系电话</w:t>
            </w:r>
          </w:p>
        </w:tc>
        <w:tc>
          <w:tcPr>
            <w:tcW w:w="3116" w:type="dxa"/>
            <w:vAlign w:val="center"/>
          </w:tcPr>
          <w:p>
            <w:pPr>
              <w:ind w:right="206" w:rightChars="98"/>
              <w:rPr>
                <w:rStyle w:val="307"/>
                <w:color w:val="000000" w:themeColor="text1"/>
                <w:spacing w:val="1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Merge w:val="continue"/>
            <w:vAlign w:val="top"/>
          </w:tcPr>
          <w:p>
            <w:pPr>
              <w:ind w:right="206" w:rightChars="98"/>
              <w:jc w:val="center"/>
              <w:rPr>
                <w:rStyle w:val="307"/>
                <w:b/>
                <w:color w:val="000000" w:themeColor="text1"/>
                <w:spacing w:val="10"/>
                <w:sz w:val="21"/>
                <w:szCs w:val="21"/>
                <w:highlight w:val="none"/>
                <w:lang w:val="zh-CN"/>
              </w:rPr>
            </w:pPr>
          </w:p>
        </w:tc>
        <w:tc>
          <w:tcPr>
            <w:tcW w:w="1498" w:type="dxa"/>
            <w:vMerge w:val="continue"/>
            <w:vAlign w:val="center"/>
          </w:tcPr>
          <w:p>
            <w:pPr>
              <w:ind w:right="206" w:rightChars="98"/>
              <w:rPr>
                <w:rStyle w:val="307"/>
                <w:color w:val="000000" w:themeColor="text1"/>
                <w:spacing w:val="10"/>
                <w:sz w:val="21"/>
                <w:szCs w:val="21"/>
                <w:highlight w:val="none"/>
                <w:lang w:val="zh-CN"/>
              </w:rPr>
            </w:pPr>
          </w:p>
        </w:tc>
        <w:tc>
          <w:tcPr>
            <w:tcW w:w="1481" w:type="dxa"/>
            <w:vAlign w:val="center"/>
          </w:tcPr>
          <w:p>
            <w:pPr>
              <w:ind w:right="206" w:rightChars="98"/>
              <w:jc w:val="center"/>
              <w:rPr>
                <w:rStyle w:val="307"/>
                <w:color w:val="000000" w:themeColor="text1"/>
                <w:spacing w:val="10"/>
                <w:sz w:val="21"/>
                <w:szCs w:val="21"/>
                <w:highlight w:val="none"/>
                <w:lang w:val="zh-CN"/>
              </w:rPr>
            </w:pPr>
            <w:r>
              <w:rPr>
                <w:rStyle w:val="307"/>
                <w:color w:val="000000" w:themeColor="text1"/>
                <w:spacing w:val="10"/>
                <w:sz w:val="21"/>
                <w:szCs w:val="21"/>
                <w:highlight w:val="none"/>
                <w:lang w:val="zh-CN"/>
              </w:rPr>
              <w:t>传真</w:t>
            </w:r>
          </w:p>
        </w:tc>
        <w:tc>
          <w:tcPr>
            <w:tcW w:w="3116" w:type="dxa"/>
            <w:vAlign w:val="center"/>
          </w:tcPr>
          <w:p>
            <w:pPr>
              <w:ind w:right="206" w:rightChars="98"/>
              <w:rPr>
                <w:rStyle w:val="307"/>
                <w:color w:val="000000" w:themeColor="text1"/>
                <w:spacing w:val="10"/>
                <w:sz w:val="21"/>
                <w:szCs w:val="21"/>
                <w:highlight w:val="none"/>
                <w:lang w:val="zh-CN"/>
              </w:rPr>
            </w:pPr>
          </w:p>
        </w:tc>
      </w:tr>
    </w:tbl>
    <w:p>
      <w:pPr>
        <w:rPr>
          <w:rFonts w:ascii="宋体" w:hAnsi="宋体"/>
          <w:color w:val="000000" w:themeColor="text1"/>
          <w:szCs w:val="21"/>
          <w:highlight w:val="none"/>
        </w:rPr>
      </w:pPr>
      <w:r>
        <w:rPr>
          <w:rFonts w:hint="eastAsia" w:ascii="宋体" w:hAnsi="宋体"/>
          <w:color w:val="000000" w:themeColor="text1"/>
          <w:szCs w:val="21"/>
          <w:highlight w:val="none"/>
        </w:rPr>
        <w:t>注：保证金退还账户必须为对公账户。</w:t>
      </w:r>
    </w:p>
    <w:tbl>
      <w:tblPr>
        <w:tblStyle w:val="46"/>
        <w:tblW w:w="9174" w:type="dxa"/>
        <w:jc w:val="center"/>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174"/>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761" w:hRule="atLeast"/>
          <w:jc w:val="center"/>
        </w:trPr>
        <w:tc>
          <w:tcPr>
            <w:tcW w:w="9174" w:type="dxa"/>
            <w:vAlign w:val="center"/>
          </w:tcPr>
          <w:p>
            <w:pPr>
              <w:jc w:val="center"/>
              <w:rPr>
                <w:rFonts w:ascii="宋体" w:hAnsi="宋体"/>
                <w:b/>
                <w:color w:val="000000" w:themeColor="text1"/>
                <w:szCs w:val="21"/>
                <w:highlight w:val="none"/>
              </w:rPr>
            </w:pPr>
            <w:r>
              <w:rPr>
                <w:rFonts w:hint="eastAsia" w:ascii="宋体" w:hAnsi="宋体"/>
                <w:b/>
                <w:color w:val="000000" w:themeColor="text1"/>
                <w:szCs w:val="21"/>
                <w:highlight w:val="none"/>
              </w:rPr>
              <w:t>投标保证金银行汇款单复印件</w:t>
            </w:r>
          </w:p>
          <w:p>
            <w:pPr>
              <w:jc w:val="center"/>
              <w:rPr>
                <w:rFonts w:ascii="宋体" w:hAnsi="宋体"/>
                <w:b/>
                <w:color w:val="000000" w:themeColor="text1"/>
                <w:szCs w:val="21"/>
                <w:highlight w:val="none"/>
              </w:rPr>
            </w:pPr>
            <w:r>
              <w:rPr>
                <w:rFonts w:hint="eastAsia" w:ascii="宋体" w:hAnsi="宋体"/>
                <w:b/>
                <w:color w:val="000000" w:themeColor="text1"/>
                <w:szCs w:val="21"/>
                <w:highlight w:val="none"/>
              </w:rPr>
              <w:t>（请投标投标人在此处贴上）</w:t>
            </w:r>
          </w:p>
        </w:tc>
      </w:tr>
    </w:tbl>
    <w:p>
      <w:pPr>
        <w:rPr>
          <w:rFonts w:ascii="宋体" w:hAnsi="宋体"/>
          <w:color w:val="000000" w:themeColor="text1"/>
          <w:szCs w:val="21"/>
          <w:highlight w:val="none"/>
        </w:rPr>
      </w:pP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rPr>
          <w:rFonts w:ascii="宋体" w:hAnsi="宋体"/>
          <w:b/>
          <w:color w:val="000000" w:themeColor="text1"/>
          <w:szCs w:val="21"/>
          <w:highlight w:val="none"/>
        </w:rPr>
      </w:pPr>
      <w:r>
        <w:rPr>
          <w:rFonts w:hint="eastAsia" w:ascii="宋体" w:hAnsi="宋体"/>
          <w:b/>
          <w:color w:val="000000" w:themeColor="text1"/>
          <w:szCs w:val="21"/>
          <w:highlight w:val="none"/>
        </w:rPr>
        <w:t>注：本退付书须放入唱标信封内，勿装订在投标文件内。</w:t>
      </w:r>
    </w:p>
    <w:p>
      <w:pPr>
        <w:rPr>
          <w:rFonts w:ascii="宋体" w:hAnsi="宋体"/>
          <w:b/>
          <w:color w:val="000000" w:themeColor="text1"/>
          <w:szCs w:val="21"/>
          <w:highlight w:val="none"/>
        </w:rPr>
      </w:pPr>
    </w:p>
    <w:p>
      <w:pPr>
        <w:jc w:val="center"/>
        <w:rPr>
          <w:rFonts w:hint="eastAsia"/>
          <w:b/>
          <w:bCs/>
          <w:color w:val="000000" w:themeColor="text1"/>
          <w:sz w:val="44"/>
          <w:szCs w:val="44"/>
          <w:highlight w:val="none"/>
        </w:rPr>
      </w:pPr>
    </w:p>
    <w:p>
      <w:pPr>
        <w:jc w:val="center"/>
        <w:rPr>
          <w:rFonts w:hint="eastAsia"/>
          <w:b/>
          <w:bCs/>
          <w:color w:val="000000" w:themeColor="text1"/>
          <w:szCs w:val="21"/>
          <w:highlight w:val="none"/>
        </w:rPr>
      </w:pPr>
      <w:r>
        <w:rPr>
          <w:rFonts w:hint="eastAsia"/>
          <w:b/>
          <w:bCs/>
          <w:color w:val="000000" w:themeColor="text1"/>
          <w:sz w:val="44"/>
          <w:szCs w:val="44"/>
          <w:highlight w:val="none"/>
        </w:rPr>
        <w:t>购买标书登记表</w:t>
      </w:r>
    </w:p>
    <w:p>
      <w:pPr>
        <w:jc w:val="center"/>
        <w:rPr>
          <w:rFonts w:hint="eastAsia"/>
          <w:color w:val="000000" w:themeColor="text1"/>
          <w:szCs w:val="21"/>
          <w:highlight w:val="none"/>
        </w:rPr>
      </w:pPr>
    </w:p>
    <w:tbl>
      <w:tblPr>
        <w:tblStyle w:val="46"/>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项目名称</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招标编号</w:t>
            </w:r>
          </w:p>
        </w:tc>
        <w:tc>
          <w:tcPr>
            <w:tcW w:w="1940" w:type="dxa"/>
            <w:vAlign w:val="top"/>
          </w:tcPr>
          <w:p>
            <w:pPr>
              <w:rPr>
                <w:rFonts w:hint="eastAsia"/>
                <w:color w:val="000000" w:themeColor="text1"/>
                <w:sz w:val="28"/>
                <w:szCs w:val="28"/>
                <w:highlight w:val="none"/>
              </w:rPr>
            </w:pPr>
          </w:p>
        </w:tc>
        <w:tc>
          <w:tcPr>
            <w:tcW w:w="1940"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购买时间</w:t>
            </w:r>
          </w:p>
        </w:tc>
        <w:tc>
          <w:tcPr>
            <w:tcW w:w="2895" w:type="dxa"/>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投标商名称</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地址</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电话</w:t>
            </w:r>
          </w:p>
        </w:tc>
        <w:tc>
          <w:tcPr>
            <w:tcW w:w="1940" w:type="dxa"/>
            <w:vAlign w:val="top"/>
          </w:tcPr>
          <w:p>
            <w:pPr>
              <w:rPr>
                <w:rFonts w:hint="eastAsia"/>
                <w:color w:val="000000" w:themeColor="text1"/>
                <w:sz w:val="28"/>
                <w:szCs w:val="28"/>
                <w:highlight w:val="none"/>
              </w:rPr>
            </w:pPr>
          </w:p>
        </w:tc>
        <w:tc>
          <w:tcPr>
            <w:tcW w:w="1940"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传真</w:t>
            </w:r>
          </w:p>
        </w:tc>
        <w:tc>
          <w:tcPr>
            <w:tcW w:w="2895" w:type="dxa"/>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联系人</w:t>
            </w:r>
          </w:p>
        </w:tc>
        <w:tc>
          <w:tcPr>
            <w:tcW w:w="1940" w:type="dxa"/>
            <w:vAlign w:val="top"/>
          </w:tcPr>
          <w:p>
            <w:pPr>
              <w:rPr>
                <w:rFonts w:hint="eastAsia"/>
                <w:color w:val="000000" w:themeColor="text1"/>
                <w:sz w:val="28"/>
                <w:szCs w:val="28"/>
                <w:highlight w:val="none"/>
              </w:rPr>
            </w:pPr>
          </w:p>
        </w:tc>
        <w:tc>
          <w:tcPr>
            <w:tcW w:w="1940"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手机</w:t>
            </w:r>
          </w:p>
        </w:tc>
        <w:tc>
          <w:tcPr>
            <w:tcW w:w="2895" w:type="dxa"/>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职务</w:t>
            </w:r>
          </w:p>
        </w:tc>
        <w:tc>
          <w:tcPr>
            <w:tcW w:w="1940" w:type="dxa"/>
            <w:vAlign w:val="top"/>
          </w:tcPr>
          <w:p>
            <w:pPr>
              <w:rPr>
                <w:rFonts w:hint="eastAsia"/>
                <w:color w:val="000000" w:themeColor="text1"/>
                <w:sz w:val="28"/>
                <w:szCs w:val="28"/>
                <w:highlight w:val="none"/>
              </w:rPr>
            </w:pPr>
          </w:p>
        </w:tc>
        <w:tc>
          <w:tcPr>
            <w:tcW w:w="1940"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电子邮件</w:t>
            </w:r>
          </w:p>
        </w:tc>
        <w:tc>
          <w:tcPr>
            <w:tcW w:w="2895" w:type="dxa"/>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拟投设备</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制造厂商</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经营范围</w:t>
            </w:r>
          </w:p>
        </w:tc>
        <w:tc>
          <w:tcPr>
            <w:tcW w:w="6775" w:type="dxa"/>
            <w:gridSpan w:val="3"/>
            <w:vAlign w:val="top"/>
          </w:tcPr>
          <w:p>
            <w:pPr>
              <w:rPr>
                <w:rFonts w:hint="eastAsia"/>
                <w:color w:val="000000" w:themeColor="text1"/>
                <w:sz w:val="28"/>
                <w:szCs w:val="28"/>
                <w:highlight w:val="none"/>
              </w:rPr>
            </w:pPr>
          </w:p>
        </w:tc>
      </w:tr>
    </w:tbl>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询问函、质疑函格式</w:t>
      </w:r>
    </w:p>
    <w:p>
      <w:pPr>
        <w:pStyle w:val="41"/>
        <w:snapToGrid w:val="0"/>
        <w:spacing w:before="0" w:beforeAutospacing="0" w:after="0" w:afterAutospacing="0" w:line="360" w:lineRule="auto"/>
        <w:jc w:val="both"/>
        <w:rPr>
          <w:color w:val="000000" w:themeColor="text1"/>
          <w:szCs w:val="21"/>
          <w:highlight w:val="none"/>
        </w:rPr>
      </w:pPr>
    </w:p>
    <w:p>
      <w:pPr>
        <w:snapToGrid w:val="0"/>
        <w:spacing w:line="360" w:lineRule="auto"/>
        <w:ind w:firstLine="424" w:firstLineChars="201"/>
        <w:rPr>
          <w:rFonts w:ascii="宋体" w:hAnsi="宋体"/>
          <w:b/>
          <w:color w:val="000000" w:themeColor="text1"/>
          <w:szCs w:val="21"/>
          <w:highlight w:val="none"/>
        </w:rPr>
      </w:pPr>
      <w:r>
        <w:rPr>
          <w:rFonts w:hint="eastAsia" w:ascii="宋体" w:hAnsi="宋体"/>
          <w:b/>
          <w:color w:val="000000" w:themeColor="text1"/>
          <w:szCs w:val="21"/>
          <w:highlight w:val="none"/>
        </w:rPr>
        <w:t>说明：本部分格式为投标供应商提交询问函、质疑函、投诉函时使用，不属于投标文件格式的组成部分。</w:t>
      </w:r>
    </w:p>
    <w:p>
      <w:pPr>
        <w:pStyle w:val="41"/>
        <w:snapToGrid w:val="0"/>
        <w:spacing w:before="0" w:beforeAutospacing="0" w:after="0" w:afterAutospacing="0" w:line="360" w:lineRule="auto"/>
        <w:jc w:val="both"/>
        <w:rPr>
          <w:color w:val="000000" w:themeColor="text1"/>
          <w:szCs w:val="21"/>
          <w:highlight w:val="none"/>
        </w:rPr>
      </w:pPr>
    </w:p>
    <w:p>
      <w:pPr>
        <w:pStyle w:val="41"/>
        <w:snapToGrid w:val="0"/>
        <w:spacing w:before="0" w:beforeAutospacing="0" w:after="0" w:afterAutospacing="0" w:line="360" w:lineRule="auto"/>
        <w:jc w:val="both"/>
        <w:rPr>
          <w:color w:val="000000" w:themeColor="text1"/>
          <w:highlight w:val="none"/>
        </w:rPr>
      </w:pPr>
      <w:r>
        <w:rPr>
          <w:rFonts w:hint="eastAsia"/>
          <w:color w:val="000000" w:themeColor="text1"/>
          <w:highlight w:val="none"/>
        </w:rPr>
        <w:t>1：询问函格式</w:t>
      </w:r>
    </w:p>
    <w:p>
      <w:pPr>
        <w:pStyle w:val="41"/>
        <w:spacing w:before="0" w:beforeAutospacing="0" w:after="0" w:afterAutospacing="0" w:line="360" w:lineRule="auto"/>
        <w:jc w:val="center"/>
        <w:rPr>
          <w:rStyle w:val="48"/>
          <w:rFonts w:cs="Times New Roman"/>
          <w:color w:val="000000" w:themeColor="text1"/>
          <w:highlight w:val="none"/>
        </w:rPr>
      </w:pPr>
      <w:r>
        <w:rPr>
          <w:rStyle w:val="48"/>
          <w:rFonts w:hint="eastAsia" w:cs="Times New Roman"/>
          <w:b w:val="0"/>
          <w:color w:val="000000" w:themeColor="text1"/>
          <w:highlight w:val="none"/>
        </w:rPr>
        <w:t>询问函</w:t>
      </w:r>
    </w:p>
    <w:p>
      <w:pPr>
        <w:widowControl/>
        <w:tabs>
          <w:tab w:val="left" w:pos="6300"/>
        </w:tabs>
        <w:snapToGrid w:val="0"/>
        <w:spacing w:line="360" w:lineRule="auto"/>
        <w:jc w:val="left"/>
        <w:rPr>
          <w:rFonts w:ascii="宋体" w:hAnsi="宋体"/>
          <w:color w:val="000000" w:themeColor="text1"/>
          <w:highlight w:val="none"/>
        </w:rPr>
      </w:pPr>
      <w:r>
        <w:rPr>
          <w:rFonts w:hint="eastAsia" w:ascii="宋体" w:hAnsi="宋体"/>
          <w:color w:val="000000" w:themeColor="text1"/>
          <w:sz w:val="24"/>
          <w:highlight w:val="none"/>
        </w:rPr>
        <w:t>广东业信采购招标有限公司：</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我单位已报名并准备参与</w:t>
      </w:r>
      <w:r>
        <w:rPr>
          <w:rFonts w:hint="eastAsia" w:ascii="宋体" w:hAnsi="宋体"/>
          <w:color w:val="000000" w:themeColor="text1"/>
          <w:sz w:val="24"/>
          <w:highlight w:val="none"/>
          <w:u w:val="single"/>
        </w:rPr>
        <w:t>（项目名称）</w:t>
      </w:r>
      <w:r>
        <w:rPr>
          <w:rFonts w:hint="eastAsia" w:ascii="宋体" w:hAnsi="宋体"/>
          <w:color w:val="000000" w:themeColor="text1"/>
          <w:sz w:val="24"/>
          <w:highlight w:val="none"/>
        </w:rPr>
        <w:t>项目（采购文件编号：</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）的投标（或报价）活动，现有以下几个内容（或条款）存在疑问（或无法理解），特提出询问。</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一、_____________________（事项一）</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（1）____________________（问题或条款内容）</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（2）____________________（说明疑问或无法理解原因）</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（3）____________________（建议）</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二、_____________________（事项二）</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随附相关证明材料如下：（目录）。</w:t>
      </w:r>
    </w:p>
    <w:p>
      <w:pPr>
        <w:widowControl/>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询问人：（公章）</w:t>
      </w:r>
    </w:p>
    <w:p>
      <w:pPr>
        <w:widowControl/>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法定代表人（负责人）（授权代表）：</w:t>
      </w:r>
    </w:p>
    <w:p>
      <w:pPr>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地址/邮编：</w:t>
      </w:r>
    </w:p>
    <w:p>
      <w:pPr>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电话/传真：</w:t>
      </w:r>
    </w:p>
    <w:p>
      <w:pPr>
        <w:spacing w:line="360" w:lineRule="auto"/>
        <w:jc w:val="right"/>
        <w:rPr>
          <w:rFonts w:ascii="宋体" w:hAnsi="宋体"/>
          <w:color w:val="000000" w:themeColor="text1"/>
          <w:sz w:val="24"/>
          <w:highlight w:val="none"/>
        </w:rPr>
      </w:pPr>
      <w:r>
        <w:rPr>
          <w:rFonts w:hint="eastAsia" w:ascii="宋体" w:hAnsi="宋体"/>
          <w:color w:val="000000" w:themeColor="text1"/>
          <w:sz w:val="24"/>
          <w:highlight w:val="none"/>
        </w:rPr>
        <w:t xml:space="preserve"> </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年</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月</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日</w:t>
      </w:r>
    </w:p>
    <w:p>
      <w:pPr>
        <w:snapToGrid w:val="0"/>
        <w:spacing w:line="360" w:lineRule="auto"/>
        <w:ind w:firstLine="432" w:firstLineChars="180"/>
        <w:rPr>
          <w:rFonts w:ascii="宋体" w:hAnsi="宋体"/>
          <w:color w:val="000000" w:themeColor="text1"/>
          <w:sz w:val="24"/>
          <w:highlight w:val="none"/>
        </w:rPr>
      </w:pPr>
    </w:p>
    <w:p>
      <w:pPr>
        <w:pStyle w:val="41"/>
        <w:adjustRightInd w:val="0"/>
        <w:snapToGrid w:val="0"/>
        <w:spacing w:before="0" w:beforeAutospacing="0" w:after="0" w:afterAutospacing="0" w:line="360" w:lineRule="auto"/>
        <w:jc w:val="both"/>
        <w:rPr>
          <w:color w:val="000000" w:themeColor="text1"/>
          <w:highlight w:val="none"/>
        </w:rPr>
      </w:pPr>
      <w:r>
        <w:rPr>
          <w:rFonts w:hint="eastAsia"/>
          <w:color w:val="000000" w:themeColor="text1"/>
          <w:highlight w:val="none"/>
        </w:rPr>
        <w:br w:type="page"/>
      </w:r>
      <w:r>
        <w:rPr>
          <w:rFonts w:hint="eastAsia"/>
          <w:color w:val="000000" w:themeColor="text1"/>
          <w:highlight w:val="none"/>
        </w:rPr>
        <w:t>2：质疑函格式</w:t>
      </w:r>
    </w:p>
    <w:p>
      <w:pPr>
        <w:pStyle w:val="41"/>
        <w:spacing w:before="0" w:beforeAutospacing="0" w:after="0" w:afterAutospacing="0" w:line="360" w:lineRule="auto"/>
        <w:jc w:val="center"/>
        <w:rPr>
          <w:rStyle w:val="48"/>
          <w:rFonts w:cs="Times New Roman"/>
          <w:color w:val="000000" w:themeColor="text1"/>
          <w:highlight w:val="none"/>
        </w:rPr>
      </w:pPr>
      <w:r>
        <w:rPr>
          <w:rStyle w:val="48"/>
          <w:rFonts w:hint="eastAsia" w:cs="Times New Roman"/>
          <w:b w:val="0"/>
          <w:color w:val="000000" w:themeColor="text1"/>
          <w:highlight w:val="none"/>
        </w:rPr>
        <w:t>质疑函</w:t>
      </w:r>
    </w:p>
    <w:p>
      <w:pPr>
        <w:adjustRightInd w:val="0"/>
        <w:snapToGrid w:val="0"/>
        <w:spacing w:beforeLines="100"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一、质疑供应商基本信息</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质疑供应商：</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地址：</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邮编：</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联系人：</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联系电话：</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授权代表：</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联系电话：</w:t>
      </w:r>
      <w:r>
        <w:rPr>
          <w:rFonts w:hint="eastAsia" w:ascii="宋体" w:hAnsi="宋体" w:cs="仿宋"/>
          <w:color w:val="000000" w:themeColor="text1"/>
          <w:sz w:val="24"/>
          <w:highlight w:val="none"/>
          <w:u w:val="dotted"/>
        </w:rPr>
        <w:t xml:space="preserve">                                           </w:t>
      </w:r>
      <w:r>
        <w:rPr>
          <w:rFonts w:ascii="宋体" w:hAnsi="宋体" w:cs="仿宋"/>
          <w:color w:val="000000" w:themeColor="text1"/>
          <w:sz w:val="24"/>
          <w:highlight w:val="none"/>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地址：</w:t>
      </w:r>
      <w:r>
        <w:rPr>
          <w:rFonts w:ascii="宋体" w:hAnsi="宋体" w:cs="仿宋"/>
          <w:color w:val="000000" w:themeColor="text1"/>
          <w:sz w:val="24"/>
          <w:highlight w:val="none"/>
        </w:rPr>
        <w:t xml:space="preserve"> </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邮编：</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二、质疑项目基本情况</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质疑项目的名称：</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质疑项目的编号：</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包号：</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采购人名称：</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采购文件获取日期：</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三、质疑事项具体内容</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质疑事项1：</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事实依据：</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法律依据：</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质疑事项2</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w:t>
      </w:r>
    </w:p>
    <w:p>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四、与质疑事项相关的质疑请求</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请求：</w:t>
      </w:r>
      <w:r>
        <w:rPr>
          <w:rFonts w:hint="eastAsia" w:ascii="宋体" w:hAnsi="宋体" w:cs="仿宋"/>
          <w:color w:val="000000" w:themeColor="text1"/>
          <w:sz w:val="24"/>
          <w:highlight w:val="none"/>
          <w:u w:val="dotted"/>
        </w:rPr>
        <w:t xml:space="preserve">                                               </w:t>
      </w:r>
    </w:p>
    <w:p>
      <w:pPr>
        <w:rPr>
          <w:rFonts w:ascii="宋体" w:hAnsi="宋体"/>
          <w:color w:val="000000" w:themeColor="text1"/>
          <w:sz w:val="24"/>
          <w:highlight w:val="none"/>
        </w:rPr>
      </w:pPr>
    </w:p>
    <w:p>
      <w:pPr>
        <w:rPr>
          <w:rFonts w:ascii="宋体" w:hAnsi="宋体"/>
          <w:color w:val="000000" w:themeColor="text1"/>
          <w:sz w:val="24"/>
          <w:highlight w:val="none"/>
        </w:rPr>
      </w:pPr>
      <w:r>
        <w:rPr>
          <w:rFonts w:hint="eastAsia" w:ascii="宋体" w:hAnsi="宋体"/>
          <w:color w:val="000000" w:themeColor="text1"/>
          <w:sz w:val="24"/>
          <w:highlight w:val="none"/>
        </w:rPr>
        <w:t xml:space="preserve">签字(签章)：                   公章：                      </w:t>
      </w:r>
    </w:p>
    <w:p>
      <w:pPr>
        <w:rPr>
          <w:rFonts w:ascii="宋体" w:hAnsi="宋体"/>
          <w:color w:val="000000" w:themeColor="text1"/>
          <w:sz w:val="24"/>
          <w:highlight w:val="none"/>
        </w:rPr>
      </w:pPr>
    </w:p>
    <w:p>
      <w:pPr>
        <w:rPr>
          <w:rFonts w:ascii="宋体" w:hAnsi="宋体"/>
          <w:color w:val="000000" w:themeColor="text1"/>
          <w:sz w:val="24"/>
          <w:highlight w:val="none"/>
        </w:rPr>
      </w:pPr>
      <w:r>
        <w:rPr>
          <w:rFonts w:hint="eastAsia" w:ascii="宋体" w:hAnsi="宋体"/>
          <w:color w:val="000000" w:themeColor="text1"/>
          <w:sz w:val="24"/>
          <w:highlight w:val="none"/>
        </w:rPr>
        <w:t xml:space="preserve">日期：    </w:t>
      </w:r>
    </w:p>
    <w:p>
      <w:pPr>
        <w:adjustRightInd w:val="0"/>
        <w:snapToGrid w:val="0"/>
        <w:spacing w:line="360" w:lineRule="auto"/>
        <w:rPr>
          <w:rFonts w:ascii="宋体" w:hAnsi="宋体" w:cs="仿宋"/>
          <w:color w:val="000000" w:themeColor="text1"/>
          <w:sz w:val="24"/>
          <w:highlight w:val="none"/>
        </w:rPr>
      </w:pPr>
    </w:p>
    <w:p>
      <w:pPr>
        <w:adjustRightInd w:val="0"/>
        <w:snapToGrid w:val="0"/>
        <w:spacing w:line="360" w:lineRule="auto"/>
        <w:rPr>
          <w:rFonts w:ascii="宋体" w:hAnsi="宋体" w:cs="仿宋"/>
          <w:color w:val="000000" w:themeColor="text1"/>
          <w:sz w:val="24"/>
          <w:highlight w:val="none"/>
        </w:rPr>
      </w:pPr>
    </w:p>
    <w:p>
      <w:pPr>
        <w:adjustRightInd w:val="0"/>
        <w:snapToGrid w:val="0"/>
        <w:spacing w:line="360" w:lineRule="auto"/>
        <w:rPr>
          <w:rFonts w:ascii="宋体" w:hAnsi="宋体" w:cs="仿宋"/>
          <w:color w:val="000000" w:themeColor="text1"/>
          <w:sz w:val="24"/>
          <w:highlight w:val="none"/>
        </w:rPr>
      </w:pP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质疑函制作说明：</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1.供应商提出质疑时，应提交质疑函和必要的证明材料。</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3.质疑供应商若对项目的某一分包进行质疑，质疑函中应列明具体分包号。</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4.质疑函的质疑事项应具体、明确，并有必要的事实依据和法律依据。</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5.质疑函的质疑请求应与质疑事项相关。</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6.质疑供应商为自然人的，质疑函应由本人签字；质疑供应商为法人或者其他组织的，</w:t>
      </w:r>
      <w:r>
        <w:rPr>
          <w:rFonts w:ascii="宋体" w:hAnsi="宋体" w:cs="宋体"/>
          <w:color w:val="000000" w:themeColor="text1"/>
          <w:kern w:val="0"/>
          <w:szCs w:val="21"/>
          <w:highlight w:val="none"/>
        </w:rPr>
        <w:t>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w:t>
      </w:r>
      <w:r>
        <w:rPr>
          <w:rFonts w:ascii="宋体" w:hAnsi="宋体" w:cs="宋体"/>
          <w:color w:val="000000" w:themeColor="text1"/>
          <w:kern w:val="0"/>
          <w:szCs w:val="21"/>
          <w:highlight w:val="none"/>
        </w:rPr>
        <w:t>法定代表人（负责人）或主要负责人签字并加盖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pPr>
        <w:widowControl/>
        <w:snapToGrid w:val="0"/>
        <w:spacing w:line="360" w:lineRule="auto"/>
        <w:ind w:right="960"/>
        <w:rPr>
          <w:rFonts w:ascii="宋体" w:hAnsi="宋体"/>
          <w:color w:val="000000" w:themeColor="text1"/>
          <w:sz w:val="24"/>
          <w:highlight w:val="none"/>
        </w:rPr>
      </w:pPr>
    </w:p>
    <w:p>
      <w:pPr>
        <w:spacing w:line="360" w:lineRule="auto"/>
        <w:jc w:val="left"/>
        <w:rPr>
          <w:rFonts w:ascii="仿宋_GB2312" w:hAnsi="仿宋" w:eastAsia="仿宋_GB2312"/>
          <w:color w:val="000000" w:themeColor="text1"/>
          <w:sz w:val="24"/>
          <w:highlight w:val="none"/>
        </w:rPr>
      </w:pPr>
    </w:p>
    <w:p>
      <w:pPr>
        <w:rPr>
          <w:rFonts w:ascii="宋体" w:hAnsi="宋体"/>
          <w:b/>
          <w:color w:val="000000" w:themeColor="text1"/>
          <w:szCs w:val="21"/>
          <w:highlight w:val="none"/>
        </w:rPr>
      </w:pPr>
    </w:p>
    <w:sectPr>
      <w:pgSz w:w="11906" w:h="16838"/>
      <w:pgMar w:top="1418" w:right="1474" w:bottom="1418"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ì.">
    <w:altName w:val="宋体"/>
    <w:panose1 w:val="00000000000000000000"/>
    <w:charset w:val="86"/>
    <w:family w:val="auto"/>
    <w:pitch w:val="default"/>
    <w:sig w:usb0="00000000" w:usb1="00000000" w:usb2="00000000"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OMBFXO+Univers-Light">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Futura-Heavy">
    <w:altName w:val="Courier New"/>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61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separate"/>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420" w:firstLine="42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46</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41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DD7B"/>
    <w:multiLevelType w:val="singleLevel"/>
    <w:tmpl w:val="AB31DD7B"/>
    <w:lvl w:ilvl="0" w:tentative="0">
      <w:start w:val="3"/>
      <w:numFmt w:val="decimal"/>
      <w:suff w:val="nothing"/>
      <w:lvlText w:val="%1、"/>
      <w:lvlJc w:val="left"/>
    </w:lvl>
  </w:abstractNum>
  <w:abstractNum w:abstractNumId="1">
    <w:nsid w:val="00000003"/>
    <w:multiLevelType w:val="multilevel"/>
    <w:tmpl w:val="00000003"/>
    <w:lvl w:ilvl="0" w:tentative="0">
      <w:start w:val="1"/>
      <w:numFmt w:val="decimal"/>
      <w:pStyle w:val="220"/>
      <w:lvlText w:val="%1. "/>
      <w:lvlJc w:val="left"/>
      <w:pPr>
        <w:tabs>
          <w:tab w:val="left" w:pos="981"/>
        </w:tabs>
        <w:ind w:left="981" w:hanging="419"/>
      </w:pPr>
    </w:lvl>
    <w:lvl w:ilvl="1" w:tentative="0">
      <w:start w:val="1"/>
      <w:numFmt w:val="upperLetter"/>
      <w:pStyle w:val="209"/>
      <w:lvlText w:val="%2. "/>
      <w:lvlJc w:val="left"/>
      <w:pPr>
        <w:tabs>
          <w:tab w:val="left" w:pos="1191"/>
        </w:tabs>
        <w:ind w:left="1191" w:hanging="420"/>
      </w:pPr>
    </w:lvl>
    <w:lvl w:ilvl="2" w:tentative="0">
      <w:start w:val="1"/>
      <w:numFmt w:val="lowerLetter"/>
      <w:pStyle w:val="218"/>
      <w:lvlText w:val="%3. "/>
      <w:lvlJc w:val="left"/>
      <w:pPr>
        <w:tabs>
          <w:tab w:val="left" w:pos="1401"/>
        </w:tabs>
        <w:ind w:left="1401" w:hanging="420"/>
      </w:pPr>
    </w:lvl>
    <w:lvl w:ilvl="3" w:tentative="0">
      <w:start w:val="1"/>
      <w:numFmt w:val="lowerLetter"/>
      <w:pStyle w:val="77"/>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2">
    <w:nsid w:val="00000008"/>
    <w:multiLevelType w:val="multilevel"/>
    <w:tmpl w:val="00000008"/>
    <w:lvl w:ilvl="0" w:tentative="0">
      <w:start w:val="1"/>
      <w:numFmt w:val="decimal"/>
      <w:pStyle w:val="19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4">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10"/>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5">
    <w:nsid w:val="0000000F"/>
    <w:multiLevelType w:val="multilevel"/>
    <w:tmpl w:val="0000000F"/>
    <w:lvl w:ilvl="0" w:tentative="0">
      <w:start w:val="1"/>
      <w:numFmt w:val="bullet"/>
      <w:pStyle w:val="8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2"/>
    <w:multiLevelType w:val="singleLevel"/>
    <w:tmpl w:val="00000012"/>
    <w:lvl w:ilvl="0" w:tentative="0">
      <w:start w:val="1"/>
      <w:numFmt w:val="decimal"/>
      <w:pStyle w:val="198"/>
      <w:lvlText w:val="%1."/>
      <w:lvlJc w:val="left"/>
      <w:pPr>
        <w:tabs>
          <w:tab w:val="left" w:pos="1200"/>
        </w:tabs>
        <w:ind w:left="1200" w:hanging="360"/>
      </w:pPr>
    </w:lvl>
  </w:abstractNum>
  <w:abstractNum w:abstractNumId="7">
    <w:nsid w:val="00000014"/>
    <w:multiLevelType w:val="singleLevel"/>
    <w:tmpl w:val="00000014"/>
    <w:lvl w:ilvl="0" w:tentative="0">
      <w:start w:val="1"/>
      <w:numFmt w:val="decimal"/>
      <w:pStyle w:val="135"/>
      <w:lvlText w:val="%1."/>
      <w:lvlJc w:val="left"/>
      <w:pPr>
        <w:tabs>
          <w:tab w:val="left" w:pos="1620"/>
        </w:tabs>
        <w:ind w:left="1620" w:hanging="360"/>
      </w:pPr>
    </w:lvl>
  </w:abstractNum>
  <w:abstractNum w:abstractNumId="8">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singleLevel"/>
    <w:tmpl w:val="00000017"/>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10">
    <w:nsid w:val="00000018"/>
    <w:multiLevelType w:val="multilevel"/>
    <w:tmpl w:val="00000018"/>
    <w:lvl w:ilvl="0" w:tentative="0">
      <w:start w:val="2"/>
      <w:numFmt w:val="decimal"/>
      <w:pStyle w:val="179"/>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A"/>
    <w:multiLevelType w:val="multilevel"/>
    <w:tmpl w:val="0000001A"/>
    <w:lvl w:ilvl="0" w:tentative="0">
      <w:start w:val="1"/>
      <w:numFmt w:val="decimal"/>
      <w:pStyle w:val="200"/>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pStyle w:val="217"/>
      <w:suff w:val="space"/>
      <w:lvlText w:val="%1.%2.%3.%4"/>
      <w:lvlJc w:val="left"/>
      <w:pPr>
        <w:tabs>
          <w:tab w:val="left" w:pos="1984"/>
        </w:tabs>
        <w:ind w:left="0" w:firstLine="0"/>
      </w:pPr>
    </w:lvl>
    <w:lvl w:ilvl="4" w:tentative="0">
      <w:start w:val="1"/>
      <w:numFmt w:val="decimal"/>
      <w:pStyle w:val="213"/>
      <w:suff w:val="space"/>
      <w:lvlText w:val="%1.%2.%3.%4.%5"/>
      <w:lvlJc w:val="left"/>
      <w:pPr>
        <w:tabs>
          <w:tab w:val="left" w:pos="2551"/>
        </w:tabs>
        <w:ind w:left="0" w:firstLine="0"/>
      </w:pPr>
    </w:lvl>
    <w:lvl w:ilvl="5" w:tentative="0">
      <w:start w:val="1"/>
      <w:numFmt w:val="decimal"/>
      <w:pStyle w:val="118"/>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C"/>
    <w:multiLevelType w:val="singleLevel"/>
    <w:tmpl w:val="0000001C"/>
    <w:lvl w:ilvl="0" w:tentative="0">
      <w:start w:val="1"/>
      <w:numFmt w:val="decimal"/>
      <w:pStyle w:val="25"/>
      <w:lvlText w:val="%1."/>
      <w:lvlJc w:val="left"/>
      <w:pPr>
        <w:tabs>
          <w:tab w:val="left" w:pos="425"/>
        </w:tabs>
        <w:ind w:left="425" w:hanging="425"/>
      </w:pPr>
      <w:rPr>
        <w:rFonts w:hint="eastAsia"/>
      </w:rPr>
    </w:lvl>
  </w:abstractNum>
  <w:abstractNum w:abstractNumId="13">
    <w:nsid w:val="0000001D"/>
    <w:multiLevelType w:val="multilevel"/>
    <w:tmpl w:val="0000001D"/>
    <w:lvl w:ilvl="0" w:tentative="0">
      <w:start w:val="1"/>
      <w:numFmt w:val="decimal"/>
      <w:pStyle w:val="120"/>
      <w:lvlText w:val="%1)"/>
      <w:lvlJc w:val="left"/>
      <w:pPr>
        <w:tabs>
          <w:tab w:val="left" w:pos="420"/>
        </w:tabs>
        <w:ind w:left="420" w:hanging="420"/>
      </w:pPr>
    </w:lvl>
    <w:lvl w:ilvl="1" w:tentative="0">
      <w:start w:val="1"/>
      <w:numFmt w:val="lowerLetter"/>
      <w:pStyle w:val="62"/>
      <w:lvlText w:val="%2)"/>
      <w:lvlJc w:val="left"/>
      <w:pPr>
        <w:tabs>
          <w:tab w:val="left" w:pos="840"/>
        </w:tabs>
        <w:ind w:left="840" w:hanging="420"/>
      </w:pPr>
    </w:lvl>
    <w:lvl w:ilvl="2" w:tentative="0">
      <w:start w:val="1"/>
      <w:numFmt w:val="lowerRoman"/>
      <w:pStyle w:val="61"/>
      <w:lvlText w:val="%3."/>
      <w:lvlJc w:val="right"/>
      <w:pPr>
        <w:tabs>
          <w:tab w:val="left" w:pos="1260"/>
        </w:tabs>
        <w:ind w:left="1260" w:hanging="420"/>
      </w:pPr>
    </w:lvl>
    <w:lvl w:ilvl="3" w:tentative="0">
      <w:start w:val="1"/>
      <w:numFmt w:val="decimal"/>
      <w:pStyle w:val="10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2"/>
    <w:multiLevelType w:val="singleLevel"/>
    <w:tmpl w:val="00000022"/>
    <w:lvl w:ilvl="0" w:tentative="0">
      <w:start w:val="1"/>
      <w:numFmt w:val="decimal"/>
      <w:pStyle w:val="189"/>
      <w:lvlText w:val="%1."/>
      <w:lvlJc w:val="left"/>
      <w:pPr>
        <w:tabs>
          <w:tab w:val="left" w:pos="1145"/>
        </w:tabs>
        <w:ind w:left="902" w:hanging="477"/>
      </w:pPr>
      <w:rPr>
        <w:rFonts w:hint="eastAsia"/>
      </w:rPr>
    </w:lvl>
  </w:abstractNum>
  <w:abstractNum w:abstractNumId="16">
    <w:nsid w:val="00000024"/>
    <w:multiLevelType w:val="singleLevel"/>
    <w:tmpl w:val="00000024"/>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17">
    <w:nsid w:val="00000025"/>
    <w:multiLevelType w:val="multilevel"/>
    <w:tmpl w:val="00000025"/>
    <w:lvl w:ilvl="0" w:tentative="0">
      <w:start w:val="1"/>
      <w:numFmt w:val="decimal"/>
      <w:pStyle w:val="2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00000026"/>
    <w:multiLevelType w:val="singleLevel"/>
    <w:tmpl w:val="00000026"/>
    <w:lvl w:ilvl="0" w:tentative="0">
      <w:start w:val="1"/>
      <w:numFmt w:val="decimal"/>
      <w:pStyle w:val="53"/>
      <w:lvlText w:val="%1."/>
      <w:lvlJc w:val="left"/>
      <w:pPr>
        <w:tabs>
          <w:tab w:val="left" w:pos="360"/>
        </w:tabs>
        <w:ind w:left="360" w:hanging="360"/>
      </w:pPr>
    </w:lvl>
  </w:abstractNum>
  <w:abstractNum w:abstractNumId="19">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0">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2">
    <w:nsid w:val="0000002B"/>
    <w:multiLevelType w:val="multilevel"/>
    <w:tmpl w:val="0000002B"/>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rPr>
        <w:lang w:val="en-US"/>
      </w:rPr>
    </w:lvl>
    <w:lvl w:ilvl="2" w:tentative="0">
      <w:start w:val="1"/>
      <w:numFmt w:val="lowerLetter"/>
      <w:pStyle w:val="6"/>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3">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11"/>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30"/>
    <w:multiLevelType w:val="singleLevel"/>
    <w:tmpl w:val="00000030"/>
    <w:lvl w:ilvl="0" w:tentative="0">
      <w:start w:val="1"/>
      <w:numFmt w:val="decimal"/>
      <w:pStyle w:val="170"/>
      <w:lvlText w:val="%1."/>
      <w:lvlJc w:val="left"/>
      <w:pPr>
        <w:tabs>
          <w:tab w:val="left" w:pos="2040"/>
        </w:tabs>
        <w:ind w:left="2040" w:hanging="360"/>
      </w:pPr>
    </w:lvl>
  </w:abstractNum>
  <w:abstractNum w:abstractNumId="25">
    <w:nsid w:val="00000032"/>
    <w:multiLevelType w:val="singleLevel"/>
    <w:tmpl w:val="00000032"/>
    <w:lvl w:ilvl="0" w:tentative="0">
      <w:start w:val="1"/>
      <w:numFmt w:val="bullet"/>
      <w:pStyle w:val="154"/>
      <w:lvlText w:val=""/>
      <w:lvlJc w:val="left"/>
      <w:pPr>
        <w:tabs>
          <w:tab w:val="left" w:pos="2040"/>
        </w:tabs>
        <w:ind w:left="2040" w:hanging="360"/>
      </w:pPr>
      <w:rPr>
        <w:rFonts w:hint="default" w:ascii="Wingdings" w:hAnsi="Wingdings"/>
      </w:rPr>
    </w:lvl>
  </w:abstractNum>
  <w:abstractNum w:abstractNumId="26">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4"/>
    <w:multiLevelType w:val="multilevel"/>
    <w:tmpl w:val="00000034"/>
    <w:lvl w:ilvl="0" w:tentative="0">
      <w:start w:val="1"/>
      <w:numFmt w:val="decimal"/>
      <w:pStyle w:val="63"/>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8">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3A55017"/>
    <w:multiLevelType w:val="multilevel"/>
    <w:tmpl w:val="73A55017"/>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009"/>
        </w:tabs>
        <w:ind w:left="1009" w:hanging="420"/>
      </w:pPr>
    </w:lvl>
    <w:lvl w:ilvl="2" w:tentative="0">
      <w:start w:val="1"/>
      <w:numFmt w:val="lowerRoman"/>
      <w:lvlText w:val="%3."/>
      <w:lvlJc w:val="right"/>
      <w:pPr>
        <w:tabs>
          <w:tab w:val="left" w:pos="1429"/>
        </w:tabs>
        <w:ind w:left="1429" w:hanging="420"/>
      </w:pPr>
    </w:lvl>
    <w:lvl w:ilvl="3" w:tentative="0">
      <w:start w:val="1"/>
      <w:numFmt w:val="decimal"/>
      <w:lvlText w:val="%4."/>
      <w:lvlJc w:val="left"/>
      <w:pPr>
        <w:tabs>
          <w:tab w:val="left" w:pos="1849"/>
        </w:tabs>
        <w:ind w:left="1849" w:hanging="420"/>
      </w:pPr>
    </w:lvl>
    <w:lvl w:ilvl="4" w:tentative="0">
      <w:start w:val="1"/>
      <w:numFmt w:val="lowerLetter"/>
      <w:lvlText w:val="%5)"/>
      <w:lvlJc w:val="left"/>
      <w:pPr>
        <w:tabs>
          <w:tab w:val="left" w:pos="2269"/>
        </w:tabs>
        <w:ind w:left="2269" w:hanging="420"/>
      </w:pPr>
    </w:lvl>
    <w:lvl w:ilvl="5" w:tentative="0">
      <w:start w:val="1"/>
      <w:numFmt w:val="lowerRoman"/>
      <w:lvlText w:val="%6."/>
      <w:lvlJc w:val="right"/>
      <w:pPr>
        <w:tabs>
          <w:tab w:val="left" w:pos="2689"/>
        </w:tabs>
        <w:ind w:left="2689" w:hanging="420"/>
      </w:pPr>
    </w:lvl>
    <w:lvl w:ilvl="6" w:tentative="0">
      <w:start w:val="1"/>
      <w:numFmt w:val="decimal"/>
      <w:lvlText w:val="%7."/>
      <w:lvlJc w:val="left"/>
      <w:pPr>
        <w:tabs>
          <w:tab w:val="left" w:pos="3109"/>
        </w:tabs>
        <w:ind w:left="3109" w:hanging="420"/>
      </w:pPr>
    </w:lvl>
    <w:lvl w:ilvl="7" w:tentative="0">
      <w:start w:val="1"/>
      <w:numFmt w:val="lowerLetter"/>
      <w:lvlText w:val="%8)"/>
      <w:lvlJc w:val="left"/>
      <w:pPr>
        <w:tabs>
          <w:tab w:val="left" w:pos="3529"/>
        </w:tabs>
        <w:ind w:left="3529" w:hanging="420"/>
      </w:pPr>
    </w:lvl>
    <w:lvl w:ilvl="8" w:tentative="0">
      <w:start w:val="1"/>
      <w:numFmt w:val="lowerRoman"/>
      <w:lvlText w:val="%9."/>
      <w:lvlJc w:val="right"/>
      <w:pPr>
        <w:tabs>
          <w:tab w:val="left" w:pos="3949"/>
        </w:tabs>
        <w:ind w:left="3949" w:hanging="420"/>
      </w:pPr>
    </w:lvl>
  </w:abstractNum>
  <w:num w:numId="1">
    <w:abstractNumId w:val="22"/>
  </w:num>
  <w:num w:numId="2">
    <w:abstractNumId w:val="16"/>
  </w:num>
  <w:num w:numId="3">
    <w:abstractNumId w:val="17"/>
  </w:num>
  <w:num w:numId="4">
    <w:abstractNumId w:val="12"/>
  </w:num>
  <w:num w:numId="5">
    <w:abstractNumId w:val="18"/>
  </w:num>
  <w:num w:numId="6">
    <w:abstractNumId w:val="13"/>
  </w:num>
  <w:num w:numId="7">
    <w:abstractNumId w:val="27"/>
  </w:num>
  <w:num w:numId="8">
    <w:abstractNumId w:val="1"/>
  </w:num>
  <w:num w:numId="9">
    <w:abstractNumId w:val="5"/>
  </w:num>
  <w:num w:numId="10">
    <w:abstractNumId w:val="23"/>
  </w:num>
  <w:num w:numId="11">
    <w:abstractNumId w:val="11"/>
  </w:num>
  <w:num w:numId="12">
    <w:abstractNumId w:val="7"/>
  </w:num>
  <w:num w:numId="13">
    <w:abstractNumId w:val="25"/>
  </w:num>
  <w:num w:numId="14">
    <w:abstractNumId w:val="24"/>
  </w:num>
  <w:num w:numId="15">
    <w:abstractNumId w:val="10"/>
  </w:num>
  <w:num w:numId="16">
    <w:abstractNumId w:val="9"/>
  </w:num>
  <w:num w:numId="17">
    <w:abstractNumId w:val="15"/>
  </w:num>
  <w:num w:numId="18">
    <w:abstractNumId w:val="2"/>
  </w:num>
  <w:num w:numId="19">
    <w:abstractNumId w:val="6"/>
  </w:num>
  <w:num w:numId="20">
    <w:abstractNumId w:val="4"/>
  </w:num>
  <w:num w:numId="21">
    <w:abstractNumId w:val="29"/>
  </w:num>
  <w:num w:numId="22">
    <w:abstractNumId w:val="30"/>
    <w:lvlOverride w:ilvl="0">
      <w:startOverride w:val="1"/>
    </w:lvlOverride>
  </w:num>
  <w:num w:numId="23">
    <w:abstractNumId w:val="28"/>
  </w:num>
  <w:num w:numId="24">
    <w:abstractNumId w:val="0"/>
  </w:num>
  <w:num w:numId="25">
    <w:abstractNumId w:val="14"/>
  </w:num>
  <w:num w:numId="26">
    <w:abstractNumId w:val="19"/>
  </w:num>
  <w:num w:numId="27">
    <w:abstractNumId w:val="20"/>
  </w:num>
  <w:num w:numId="28">
    <w:abstractNumId w:val="3"/>
  </w:num>
  <w:num w:numId="29">
    <w:abstractNumId w:val="8"/>
  </w:num>
  <w:num w:numId="30">
    <w:abstractNumId w:val="21"/>
    <w:lvlOverride w:ilvl="0">
      <w:startOverride w:val="1"/>
    </w:lvlOverride>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FiNmYyYjVkNGE3NTBlNTI5NjhmNDJhNWZkOWZiMmQifQ=="/>
  </w:docVars>
  <w:rsids>
    <w:rsidRoot w:val="00000000"/>
    <w:rsid w:val="035E2B6B"/>
    <w:rsid w:val="0BA15CEB"/>
    <w:rsid w:val="0C9A272B"/>
    <w:rsid w:val="15747FCD"/>
    <w:rsid w:val="1B666609"/>
    <w:rsid w:val="1CB9075F"/>
    <w:rsid w:val="21D249F9"/>
    <w:rsid w:val="27A110F5"/>
    <w:rsid w:val="30D047F9"/>
    <w:rsid w:val="34A90C26"/>
    <w:rsid w:val="34AD2F86"/>
    <w:rsid w:val="35814899"/>
    <w:rsid w:val="361C75D1"/>
    <w:rsid w:val="36853EF4"/>
    <w:rsid w:val="38D770B1"/>
    <w:rsid w:val="3A59463F"/>
    <w:rsid w:val="3AF7551B"/>
    <w:rsid w:val="3E014244"/>
    <w:rsid w:val="40A7345C"/>
    <w:rsid w:val="411B561D"/>
    <w:rsid w:val="42F93608"/>
    <w:rsid w:val="45C344D5"/>
    <w:rsid w:val="46031658"/>
    <w:rsid w:val="4AC73519"/>
    <w:rsid w:val="4F950C90"/>
    <w:rsid w:val="524254AC"/>
    <w:rsid w:val="53542C10"/>
    <w:rsid w:val="55C23E61"/>
    <w:rsid w:val="5B177049"/>
    <w:rsid w:val="5C232887"/>
    <w:rsid w:val="5E54255C"/>
    <w:rsid w:val="60047A60"/>
    <w:rsid w:val="6047060B"/>
    <w:rsid w:val="60B67442"/>
    <w:rsid w:val="618B5A4F"/>
    <w:rsid w:val="61CB0541"/>
    <w:rsid w:val="64D12CB1"/>
    <w:rsid w:val="6A1A44A6"/>
    <w:rsid w:val="6A2A26F3"/>
    <w:rsid w:val="6B8D6035"/>
    <w:rsid w:val="6DB60126"/>
    <w:rsid w:val="6F7044D6"/>
    <w:rsid w:val="726F5390"/>
    <w:rsid w:val="74C04A73"/>
    <w:rsid w:val="75751EF9"/>
    <w:rsid w:val="76F5717F"/>
    <w:rsid w:val="7DC85B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6"/>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4">
    <w:name w:val="heading 2"/>
    <w:basedOn w:val="1"/>
    <w:next w:val="5"/>
    <w:link w:val="272"/>
    <w:qFormat/>
    <w:uiPriority w:val="0"/>
    <w:pPr>
      <w:keepNext/>
      <w:keepLines/>
      <w:widowControl/>
      <w:numPr>
        <w:ilvl w:val="1"/>
        <w:numId w:val="1"/>
      </w:numPr>
      <w:tabs>
        <w:tab w:val="left" w:pos="1440"/>
      </w:tabs>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6">
    <w:name w:val="heading 3"/>
    <w:basedOn w:val="1"/>
    <w:next w:val="5"/>
    <w:link w:val="287"/>
    <w:qFormat/>
    <w:uiPriority w:val="0"/>
    <w:pPr>
      <w:keepNext/>
      <w:keepLines/>
      <w:widowControl/>
      <w:numPr>
        <w:ilvl w:val="2"/>
        <w:numId w:val="1"/>
      </w:numPr>
      <w:tabs>
        <w:tab w:val="left" w:pos="753"/>
        <w:tab w:val="left" w:pos="1440"/>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7">
    <w:name w:val="heading 4"/>
    <w:basedOn w:val="1"/>
    <w:next w:val="5"/>
    <w:link w:val="264"/>
    <w:qFormat/>
    <w:uiPriority w:val="0"/>
    <w:pPr>
      <w:keepNext/>
      <w:keepLines/>
      <w:spacing w:before="280" w:after="290" w:line="376" w:lineRule="auto"/>
      <w:outlineLvl w:val="3"/>
    </w:pPr>
    <w:rPr>
      <w:rFonts w:ascii="Arial" w:hAnsi="Arial" w:eastAsia="黑体"/>
      <w:b/>
      <w:sz w:val="28"/>
      <w:szCs w:val="20"/>
    </w:rPr>
  </w:style>
  <w:style w:type="paragraph" w:styleId="8">
    <w:name w:val="heading 5"/>
    <w:basedOn w:val="1"/>
    <w:next w:val="5"/>
    <w:link w:val="276"/>
    <w:qFormat/>
    <w:uiPriority w:val="0"/>
    <w:pPr>
      <w:keepNext/>
      <w:keepLines/>
      <w:spacing w:before="280" w:after="290" w:line="376" w:lineRule="auto"/>
      <w:outlineLvl w:val="4"/>
    </w:pPr>
    <w:rPr>
      <w:b/>
      <w:sz w:val="28"/>
      <w:szCs w:val="20"/>
    </w:rPr>
  </w:style>
  <w:style w:type="paragraph" w:styleId="9">
    <w:name w:val="heading 6"/>
    <w:basedOn w:val="1"/>
    <w:next w:val="5"/>
    <w:link w:val="26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5"/>
    <w:link w:val="280"/>
    <w:qFormat/>
    <w:uiPriority w:val="0"/>
    <w:pPr>
      <w:keepNext/>
      <w:keepLines/>
      <w:spacing w:before="240" w:after="64" w:line="320" w:lineRule="auto"/>
      <w:outlineLvl w:val="6"/>
    </w:pPr>
    <w:rPr>
      <w:b/>
      <w:sz w:val="24"/>
      <w:szCs w:val="20"/>
    </w:rPr>
  </w:style>
  <w:style w:type="paragraph" w:styleId="11">
    <w:name w:val="heading 8"/>
    <w:basedOn w:val="1"/>
    <w:next w:val="5"/>
    <w:link w:val="269"/>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5"/>
    <w:link w:val="261"/>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8"/>
    <w:qFormat/>
    <w:uiPriority w:val="0"/>
    <w:pPr>
      <w:spacing w:after="120"/>
    </w:pPr>
  </w:style>
  <w:style w:type="paragraph" w:styleId="5">
    <w:name w:val="Normal Indent"/>
    <w:basedOn w:val="1"/>
    <w:link w:val="282"/>
    <w:qFormat/>
    <w:uiPriority w:val="0"/>
    <w:pPr>
      <w:autoSpaceDE w:val="0"/>
      <w:autoSpaceDN w:val="0"/>
      <w:adjustRightInd w:val="0"/>
      <w:ind w:firstLine="420"/>
      <w:jc w:val="left"/>
      <w:textAlignment w:val="baseline"/>
    </w:pPr>
    <w:rPr>
      <w:rFonts w:ascii="宋体"/>
      <w:kern w:val="0"/>
      <w:sz w:val="34"/>
      <w:szCs w:val="20"/>
    </w:rPr>
  </w:style>
  <w:style w:type="paragraph" w:styleId="13">
    <w:name w:val="toc 7"/>
    <w:basedOn w:val="1"/>
    <w:next w:val="1"/>
    <w:qFormat/>
    <w:uiPriority w:val="0"/>
    <w:pPr>
      <w:ind w:left="1200" w:leftChars="1200"/>
    </w:pPr>
    <w:rPr>
      <w:rFonts w:ascii="Calibri" w:hAnsi="Calibri"/>
      <w:szCs w:val="22"/>
    </w:rPr>
  </w:style>
  <w:style w:type="paragraph" w:styleId="14">
    <w:name w:val="caption"/>
    <w:basedOn w:val="1"/>
    <w:next w:val="1"/>
    <w:qFormat/>
    <w:uiPriority w:val="0"/>
    <w:pPr>
      <w:spacing w:line="360" w:lineRule="auto"/>
    </w:pPr>
    <w:rPr>
      <w:rFonts w:ascii="Arial" w:hAnsi="Arial" w:eastAsia="黑体" w:cs="Arial"/>
      <w:sz w:val="20"/>
      <w:szCs w:val="20"/>
    </w:rPr>
  </w:style>
  <w:style w:type="paragraph" w:styleId="15">
    <w:name w:val="List Bullet"/>
    <w:basedOn w:val="1"/>
    <w:qFormat/>
    <w:uiPriority w:val="0"/>
    <w:pPr>
      <w:tabs>
        <w:tab w:val="left" w:pos="360"/>
        <w:tab w:val="left" w:pos="1320"/>
      </w:tabs>
      <w:spacing w:line="360" w:lineRule="auto"/>
      <w:ind w:left="1320" w:hanging="420"/>
    </w:pPr>
    <w:rPr>
      <w:sz w:val="24"/>
    </w:rPr>
  </w:style>
  <w:style w:type="paragraph" w:styleId="16">
    <w:name w:val="Document Map"/>
    <w:basedOn w:val="1"/>
    <w:qFormat/>
    <w:uiPriority w:val="0"/>
    <w:pPr>
      <w:shd w:val="clear" w:color="auto" w:fill="000080"/>
    </w:pPr>
  </w:style>
  <w:style w:type="paragraph" w:styleId="17">
    <w:name w:val="annotation text"/>
    <w:basedOn w:val="1"/>
    <w:link w:val="297"/>
    <w:qFormat/>
    <w:uiPriority w:val="0"/>
    <w:pPr>
      <w:spacing w:line="360" w:lineRule="auto"/>
      <w:jc w:val="left"/>
    </w:pPr>
    <w:rPr>
      <w:sz w:val="24"/>
    </w:rPr>
  </w:style>
  <w:style w:type="paragraph" w:styleId="18">
    <w:name w:val="Body Text Indent"/>
    <w:basedOn w:val="1"/>
    <w:link w:val="289"/>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19">
    <w:name w:val="List Bullet 2"/>
    <w:basedOn w:val="1"/>
    <w:qFormat/>
    <w:uiPriority w:val="0"/>
    <w:pPr>
      <w:numPr>
        <w:ilvl w:val="0"/>
        <w:numId w:val="2"/>
      </w:numPr>
    </w:pPr>
  </w:style>
  <w:style w:type="paragraph" w:styleId="20">
    <w:name w:val="HTML Address"/>
    <w:basedOn w:val="1"/>
    <w:link w:val="295"/>
    <w:qFormat/>
    <w:uiPriority w:val="0"/>
    <w:pPr>
      <w:numPr>
        <w:ilvl w:val="0"/>
        <w:numId w:val="3"/>
      </w:numPr>
      <w:ind w:left="0" w:firstLine="0"/>
    </w:pPr>
    <w:rPr>
      <w:i/>
    </w:rPr>
  </w:style>
  <w:style w:type="paragraph" w:styleId="21">
    <w:name w:val="toc 5"/>
    <w:basedOn w:val="1"/>
    <w:next w:val="1"/>
    <w:qFormat/>
    <w:uiPriority w:val="0"/>
    <w:pPr>
      <w:ind w:left="800" w:leftChars="800"/>
    </w:pPr>
    <w:rPr>
      <w:rFonts w:ascii="Calibri" w:hAnsi="Calibri"/>
      <w:szCs w:val="22"/>
    </w:rPr>
  </w:style>
  <w:style w:type="paragraph" w:styleId="22">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3">
    <w:name w:val="Plain Text"/>
    <w:basedOn w:val="1"/>
    <w:link w:val="246"/>
    <w:qFormat/>
    <w:uiPriority w:val="0"/>
    <w:rPr>
      <w:rFonts w:ascii="宋体" w:hAnsi="Courier New"/>
      <w:szCs w:val="20"/>
    </w:rPr>
  </w:style>
  <w:style w:type="paragraph" w:styleId="24">
    <w:name w:val="toc 8"/>
    <w:basedOn w:val="1"/>
    <w:next w:val="1"/>
    <w:qFormat/>
    <w:uiPriority w:val="0"/>
    <w:pPr>
      <w:ind w:left="1400" w:leftChars="1400"/>
    </w:pPr>
    <w:rPr>
      <w:rFonts w:ascii="Calibri" w:hAnsi="Calibri"/>
      <w:szCs w:val="22"/>
    </w:rPr>
  </w:style>
  <w:style w:type="paragraph" w:styleId="25">
    <w:name w:val="Date"/>
    <w:basedOn w:val="1"/>
    <w:next w:val="1"/>
    <w:link w:val="237"/>
    <w:qFormat/>
    <w:uiPriority w:val="0"/>
    <w:pPr>
      <w:numPr>
        <w:ilvl w:val="0"/>
        <w:numId w:val="4"/>
      </w:numPr>
      <w:ind w:left="100" w:leftChars="2500"/>
    </w:pPr>
  </w:style>
  <w:style w:type="paragraph" w:styleId="26">
    <w:name w:val="Body Text Indent 2"/>
    <w:basedOn w:val="1"/>
    <w:link w:val="243"/>
    <w:qFormat/>
    <w:uiPriority w:val="0"/>
    <w:pPr>
      <w:spacing w:line="480" w:lineRule="exact"/>
      <w:ind w:left="810" w:firstLine="675"/>
    </w:pPr>
    <w:rPr>
      <w:rFonts w:eastAsia="仿宋_GB2312"/>
      <w:sz w:val="30"/>
      <w:szCs w:val="20"/>
    </w:rPr>
  </w:style>
  <w:style w:type="paragraph" w:styleId="27">
    <w:name w:val="Balloon Text"/>
    <w:basedOn w:val="1"/>
    <w:link w:val="257"/>
    <w:qFormat/>
    <w:uiPriority w:val="0"/>
    <w:rPr>
      <w:sz w:val="18"/>
      <w:szCs w:val="18"/>
    </w:rPr>
  </w:style>
  <w:style w:type="paragraph" w:styleId="28">
    <w:name w:val="footer"/>
    <w:basedOn w:val="1"/>
    <w:link w:val="298"/>
    <w:qFormat/>
    <w:uiPriority w:val="0"/>
    <w:pPr>
      <w:tabs>
        <w:tab w:val="center" w:pos="4153"/>
        <w:tab w:val="right" w:pos="8306"/>
      </w:tabs>
      <w:snapToGrid w:val="0"/>
      <w:jc w:val="left"/>
    </w:pPr>
    <w:rPr>
      <w:sz w:val="18"/>
      <w:szCs w:val="20"/>
    </w:rPr>
  </w:style>
  <w:style w:type="paragraph" w:styleId="29">
    <w:name w:val="header"/>
    <w:basedOn w:val="1"/>
    <w:link w:val="290"/>
    <w:qFormat/>
    <w:uiPriority w:val="99"/>
    <w:pPr>
      <w:pBdr>
        <w:bottom w:val="single" w:color="auto" w:sz="6" w:space="1"/>
      </w:pBdr>
      <w:tabs>
        <w:tab w:val="center" w:pos="4153"/>
        <w:tab w:val="right" w:pos="8306"/>
      </w:tabs>
      <w:snapToGrid w:val="0"/>
      <w:jc w:val="center"/>
    </w:pPr>
    <w:rPr>
      <w:sz w:val="18"/>
      <w:szCs w:val="20"/>
    </w:rPr>
  </w:style>
  <w:style w:type="paragraph" w:styleId="30">
    <w:name w:val="toc 1"/>
    <w:basedOn w:val="1"/>
    <w:next w:val="1"/>
    <w:qFormat/>
    <w:uiPriority w:val="39"/>
    <w:pPr>
      <w:tabs>
        <w:tab w:val="right" w:leader="dot" w:pos="8949"/>
      </w:tabs>
      <w:spacing w:before="120" w:after="120"/>
      <w:jc w:val="left"/>
    </w:pPr>
    <w:rPr>
      <w:b/>
      <w:bCs/>
      <w:caps/>
      <w:szCs w:val="21"/>
    </w:rPr>
  </w:style>
  <w:style w:type="paragraph" w:styleId="31">
    <w:name w:val="toc 4"/>
    <w:basedOn w:val="1"/>
    <w:next w:val="1"/>
    <w:qFormat/>
    <w:uiPriority w:val="0"/>
    <w:pPr>
      <w:ind w:left="600" w:leftChars="600"/>
    </w:pPr>
    <w:rPr>
      <w:rFonts w:ascii="Calibri" w:hAnsi="Calibri"/>
      <w:szCs w:val="22"/>
    </w:rPr>
  </w:style>
  <w:style w:type="paragraph" w:styleId="32">
    <w:name w:val="index heading"/>
    <w:basedOn w:val="1"/>
    <w:next w:val="33"/>
    <w:qFormat/>
    <w:uiPriority w:val="0"/>
    <w:rPr>
      <w:szCs w:val="20"/>
    </w:rPr>
  </w:style>
  <w:style w:type="paragraph" w:styleId="33">
    <w:name w:val="index 1"/>
    <w:basedOn w:val="1"/>
    <w:next w:val="1"/>
    <w:qFormat/>
    <w:uiPriority w:val="0"/>
  </w:style>
  <w:style w:type="paragraph" w:styleId="34">
    <w:name w:val="List"/>
    <w:basedOn w:val="1"/>
    <w:qFormat/>
    <w:uiPriority w:val="0"/>
    <w:pPr>
      <w:ind w:left="200" w:hanging="200" w:hangingChars="200"/>
    </w:pPr>
  </w:style>
  <w:style w:type="paragraph" w:styleId="35">
    <w:name w:val="toc 6"/>
    <w:basedOn w:val="1"/>
    <w:next w:val="1"/>
    <w:qFormat/>
    <w:uiPriority w:val="0"/>
    <w:pPr>
      <w:ind w:left="1000" w:leftChars="1000"/>
    </w:pPr>
    <w:rPr>
      <w:rFonts w:ascii="Calibri" w:hAnsi="Calibri"/>
      <w:szCs w:val="22"/>
    </w:rPr>
  </w:style>
  <w:style w:type="paragraph" w:styleId="36">
    <w:name w:val="Body Text Indent 3"/>
    <w:basedOn w:val="1"/>
    <w:link w:val="244"/>
    <w:qFormat/>
    <w:uiPriority w:val="0"/>
    <w:pPr>
      <w:widowControl/>
      <w:tabs>
        <w:tab w:val="left" w:pos="502"/>
      </w:tabs>
      <w:adjustRightInd w:val="0"/>
      <w:snapToGrid w:val="0"/>
      <w:spacing w:line="360" w:lineRule="auto"/>
      <w:ind w:left="540" w:leftChars="257"/>
    </w:pPr>
    <w:rPr>
      <w:rFonts w:ascii="宋体" w:hAnsi="宋体"/>
    </w:rPr>
  </w:style>
  <w:style w:type="paragraph" w:styleId="37">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8">
    <w:name w:val="toc 9"/>
    <w:basedOn w:val="1"/>
    <w:next w:val="1"/>
    <w:qFormat/>
    <w:uiPriority w:val="0"/>
    <w:pPr>
      <w:ind w:left="1600" w:leftChars="1600"/>
    </w:pPr>
    <w:rPr>
      <w:rFonts w:ascii="Calibri" w:hAnsi="Calibri"/>
      <w:szCs w:val="22"/>
    </w:rPr>
  </w:style>
  <w:style w:type="paragraph" w:styleId="39">
    <w:name w:val="Body Text 2"/>
    <w:basedOn w:val="1"/>
    <w:link w:val="271"/>
    <w:qFormat/>
    <w:uiPriority w:val="0"/>
    <w:pPr>
      <w:spacing w:line="360" w:lineRule="auto"/>
    </w:pPr>
    <w:rPr>
      <w:rFonts w:ascii="仿宋_GB2312" w:eastAsia="仿宋_GB2312"/>
      <w:sz w:val="32"/>
    </w:rPr>
  </w:style>
  <w:style w:type="paragraph" w:styleId="4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2"/>
    <w:basedOn w:val="1"/>
    <w:next w:val="1"/>
    <w:qFormat/>
    <w:uiPriority w:val="0"/>
    <w:pPr>
      <w:ind w:left="420" w:hanging="210"/>
      <w:jc w:val="left"/>
    </w:pPr>
    <w:rPr>
      <w:sz w:val="20"/>
      <w:szCs w:val="20"/>
    </w:rPr>
  </w:style>
  <w:style w:type="paragraph" w:styleId="43">
    <w:name w:val="Title"/>
    <w:basedOn w:val="1"/>
    <w:next w:val="1"/>
    <w:link w:val="291"/>
    <w:qFormat/>
    <w:uiPriority w:val="0"/>
    <w:pPr>
      <w:spacing w:before="240" w:after="60"/>
      <w:jc w:val="center"/>
      <w:outlineLvl w:val="0"/>
    </w:pPr>
    <w:rPr>
      <w:rFonts w:ascii="Cambria" w:hAnsi="Cambria"/>
      <w:b/>
      <w:bCs/>
      <w:sz w:val="32"/>
      <w:szCs w:val="32"/>
    </w:rPr>
  </w:style>
  <w:style w:type="paragraph" w:styleId="44">
    <w:name w:val="Body Text First Indent"/>
    <w:basedOn w:val="2"/>
    <w:link w:val="299"/>
    <w:qFormat/>
    <w:uiPriority w:val="0"/>
    <w:pPr>
      <w:ind w:firstLine="100" w:firstLineChars="100"/>
    </w:pPr>
    <w:rPr>
      <w:rFonts w:ascii="Calibri" w:hAnsi="Calibri"/>
      <w:szCs w:val="22"/>
    </w:rPr>
  </w:style>
  <w:style w:type="paragraph" w:styleId="45">
    <w:name w:val="Body Text First Indent 2"/>
    <w:basedOn w:val="18"/>
    <w:link w:val="234"/>
    <w:qFormat/>
    <w:uiPriority w:val="0"/>
    <w:pPr>
      <w:adjustRightInd/>
      <w:spacing w:after="120" w:line="240" w:lineRule="auto"/>
      <w:ind w:left="200" w:leftChars="200" w:firstLine="200" w:firstLineChars="200"/>
      <w:textAlignment w:val="auto"/>
    </w:pPr>
    <w:rPr>
      <w:rFonts w:ascii="Calibri" w:hAnsi="Calibri"/>
      <w:kern w:val="2"/>
      <w:sz w:val="21"/>
      <w:szCs w:val="22"/>
    </w:rPr>
  </w:style>
  <w:style w:type="character" w:styleId="48">
    <w:name w:val="Strong"/>
    <w:qFormat/>
    <w:uiPriority w:val="22"/>
    <w:rPr>
      <w:b/>
      <w:bCs/>
    </w:rPr>
  </w:style>
  <w:style w:type="character" w:styleId="49">
    <w:name w:val="page number"/>
    <w:basedOn w:val="47"/>
    <w:qFormat/>
    <w:uiPriority w:val="0"/>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paragraph" w:customStyle="1" w:styleId="53">
    <w:name w:val="表格文字"/>
    <w:basedOn w:val="1"/>
    <w:qFormat/>
    <w:uiPriority w:val="0"/>
    <w:pPr>
      <w:numPr>
        <w:ilvl w:val="0"/>
        <w:numId w:val="5"/>
      </w:numPr>
      <w:ind w:left="0" w:firstLine="0"/>
      <w:jc w:val="left"/>
    </w:pPr>
    <w:rPr>
      <w:rFonts w:ascii="Arial" w:hAnsi="Arial" w:eastAsia="仿宋_GB2312" w:cs="Arial"/>
      <w:sz w:val="18"/>
      <w:szCs w:val="18"/>
    </w:rPr>
  </w:style>
  <w:style w:type="paragraph" w:customStyle="1" w:styleId="5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5">
    <w:name w:val="文档正文"/>
    <w:link w:val="239"/>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paragraph" w:customStyle="1" w:styleId="56">
    <w:name w:val="样式 样式 宋体 小四 行距: 1.5 倍行距 + ˎ̥ 黑色"/>
    <w:basedOn w:val="45"/>
    <w:link w:val="241"/>
    <w:qFormat/>
    <w:uiPriority w:val="0"/>
  </w:style>
  <w:style w:type="paragraph" w:customStyle="1" w:styleId="57">
    <w:name w:val="正文（缩进）"/>
    <w:basedOn w:val="1"/>
    <w:link w:val="256"/>
    <w:qFormat/>
    <w:uiPriority w:val="0"/>
    <w:pPr>
      <w:spacing w:beforeLines="50" w:afterLines="50" w:line="360" w:lineRule="auto"/>
      <w:ind w:firstLine="480" w:firstLineChars="200"/>
    </w:pPr>
    <w:rPr>
      <w:sz w:val="24"/>
    </w:rPr>
  </w:style>
  <w:style w:type="paragraph" w:customStyle="1" w:styleId="58">
    <w:name w:val="类目1"/>
    <w:basedOn w:val="1"/>
    <w:link w:val="270"/>
    <w:qFormat/>
    <w:uiPriority w:val="0"/>
    <w:pPr>
      <w:adjustRightInd w:val="0"/>
      <w:snapToGrid w:val="0"/>
      <w:spacing w:line="220" w:lineRule="atLeast"/>
    </w:pPr>
    <w:rPr>
      <w:b/>
      <w:color w:val="17365D"/>
      <w:sz w:val="28"/>
      <w:szCs w:val="28"/>
    </w:rPr>
  </w:style>
  <w:style w:type="paragraph" w:customStyle="1" w:styleId="59">
    <w:name w:val="Normal Indent1"/>
    <w:basedOn w:val="1"/>
    <w:link w:val="278"/>
    <w:qFormat/>
    <w:uiPriority w:val="0"/>
    <w:pPr>
      <w:autoSpaceDE w:val="0"/>
      <w:autoSpaceDN w:val="0"/>
      <w:adjustRightInd w:val="0"/>
      <w:ind w:firstLine="420"/>
      <w:jc w:val="left"/>
      <w:textAlignment w:val="baseline"/>
    </w:pPr>
    <w:rPr>
      <w:rFonts w:ascii="宋体"/>
      <w:kern w:val="0"/>
      <w:sz w:val="34"/>
      <w:szCs w:val="20"/>
    </w:rPr>
  </w:style>
  <w:style w:type="paragraph" w:customStyle="1" w:styleId="60">
    <w:name w:val="样式5"/>
    <w:basedOn w:val="1"/>
    <w:link w:val="283"/>
    <w:qFormat/>
    <w:uiPriority w:val="0"/>
    <w:pPr>
      <w:spacing w:line="400" w:lineRule="exact"/>
      <w:ind w:left="482"/>
    </w:pPr>
    <w:rPr>
      <w:rFonts w:ascii="宋体" w:hAnsi="宋体" w:cs="Arial"/>
      <w:b/>
      <w:sz w:val="24"/>
    </w:rPr>
  </w:style>
  <w:style w:type="paragraph" w:customStyle="1" w:styleId="61">
    <w:name w:val="书籍标题3"/>
    <w:basedOn w:val="62"/>
    <w:link w:val="288"/>
    <w:qFormat/>
    <w:uiPriority w:val="0"/>
    <w:pPr>
      <w:numPr>
        <w:ilvl w:val="2"/>
        <w:numId w:val="6"/>
      </w:numPr>
      <w:tabs>
        <w:tab w:val="left" w:pos="420"/>
        <w:tab w:val="left" w:pos="840"/>
      </w:tabs>
      <w:outlineLvl w:val="2"/>
    </w:pPr>
    <w:rPr>
      <w:rFonts w:cs="Times New Roman"/>
      <w:sz w:val="28"/>
      <w:szCs w:val="28"/>
    </w:rPr>
  </w:style>
  <w:style w:type="paragraph" w:customStyle="1" w:styleId="62">
    <w:name w:val="书籍标题2"/>
    <w:basedOn w:val="1"/>
    <w:qFormat/>
    <w:uiPriority w:val="0"/>
    <w:pPr>
      <w:numPr>
        <w:ilvl w:val="1"/>
        <w:numId w:val="6"/>
      </w:numPr>
      <w:tabs>
        <w:tab w:val="left" w:pos="420"/>
      </w:tabs>
      <w:spacing w:beforeLines="100" w:afterLines="100"/>
      <w:jc w:val="left"/>
      <w:outlineLvl w:val="1"/>
    </w:pPr>
    <w:rPr>
      <w:rFonts w:cs="宋体"/>
      <w:b/>
      <w:bCs/>
      <w:spacing w:val="20"/>
      <w:sz w:val="32"/>
      <w:szCs w:val="20"/>
    </w:rPr>
  </w:style>
  <w:style w:type="paragraph" w:customStyle="1" w:styleId="63">
    <w:name w:val="细目1"/>
    <w:basedOn w:val="1"/>
    <w:link w:val="303"/>
    <w:qFormat/>
    <w:uiPriority w:val="0"/>
    <w:pPr>
      <w:numPr>
        <w:ilvl w:val="0"/>
        <w:numId w:val="7"/>
      </w:numPr>
      <w:tabs>
        <w:tab w:val="left" w:pos="1200"/>
        <w:tab w:val="clear" w:pos="1260"/>
      </w:tabs>
      <w:adjustRightInd w:val="0"/>
      <w:snapToGrid w:val="0"/>
      <w:spacing w:line="220" w:lineRule="atLeast"/>
    </w:pPr>
    <w:rPr>
      <w:b/>
      <w:color w:val="215868"/>
      <w:sz w:val="24"/>
    </w:rPr>
  </w:style>
  <w:style w:type="paragraph" w:customStyle="1" w:styleId="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6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9">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7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71">
    <w:name w:val="TOC 标题1"/>
    <w:basedOn w:val="3"/>
    <w:next w:val="1"/>
    <w:qFormat/>
    <w:uiPriority w:val="0"/>
    <w:pPr>
      <w:widowControl/>
      <w:numPr>
        <w:ilvl w:val="0"/>
        <w:numId w:val="0"/>
      </w:numPr>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72">
    <w:name w:val="默认段落字体 Para Char Char Char Char Char Char Char Char Char Char"/>
    <w:basedOn w:val="1"/>
    <w:qFormat/>
    <w:uiPriority w:val="0"/>
    <w:rPr>
      <w:rFonts w:ascii="Tahoma" w:hAnsi="Tahoma"/>
      <w:sz w:val="24"/>
      <w:szCs w:val="20"/>
    </w:rPr>
  </w:style>
  <w:style w:type="paragraph" w:customStyle="1" w:styleId="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5">
    <w:name w:val="字元 字元"/>
    <w:basedOn w:val="1"/>
    <w:qFormat/>
    <w:uiPriority w:val="0"/>
    <w:pPr>
      <w:spacing w:line="360" w:lineRule="auto"/>
      <w:ind w:firstLine="200" w:firstLineChars="200"/>
    </w:pPr>
    <w:rPr>
      <w:rFonts w:ascii="宋体" w:hAnsi="宋体" w:cs="宋体"/>
      <w:sz w:val="24"/>
    </w:rPr>
  </w:style>
  <w:style w:type="paragraph" w:customStyle="1" w:styleId="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7">
    <w:name w:val="正文序号 4"/>
    <w:basedOn w:val="1"/>
    <w:qFormat/>
    <w:uiPriority w:val="0"/>
    <w:pPr>
      <w:numPr>
        <w:ilvl w:val="3"/>
        <w:numId w:val="8"/>
      </w:numPr>
      <w:tabs>
        <w:tab w:val="left" w:pos="981"/>
        <w:tab w:val="left" w:pos="1469"/>
      </w:tabs>
      <w:spacing w:before="60"/>
    </w:pPr>
  </w:style>
  <w:style w:type="paragraph" w:customStyle="1" w:styleId="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79">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0">
    <w:name w:val="Char3"/>
    <w:basedOn w:val="1"/>
    <w:qFormat/>
    <w:uiPriority w:val="0"/>
  </w:style>
  <w:style w:type="paragraph" w:customStyle="1" w:styleId="81">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2">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Char28"/>
    <w:basedOn w:val="1"/>
    <w:qFormat/>
    <w:uiPriority w:val="0"/>
    <w:pPr>
      <w:adjustRightInd w:val="0"/>
      <w:spacing w:line="360" w:lineRule="auto"/>
    </w:pPr>
  </w:style>
  <w:style w:type="paragraph" w:customStyle="1" w:styleId="84">
    <w:name w:val="pa-14"/>
    <w:basedOn w:val="1"/>
    <w:qFormat/>
    <w:uiPriority w:val="0"/>
    <w:pPr>
      <w:widowControl/>
      <w:spacing w:before="150" w:after="150"/>
      <w:jc w:val="left"/>
    </w:pPr>
    <w:rPr>
      <w:rFonts w:ascii="宋体" w:hAnsi="宋体" w:cs="宋体"/>
      <w:kern w:val="0"/>
      <w:sz w:val="24"/>
    </w:rPr>
  </w:style>
  <w:style w:type="paragraph" w:customStyle="1" w:styleId="85">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Item List in Table"/>
    <w:basedOn w:val="1"/>
    <w:qFormat/>
    <w:uiPriority w:val="0"/>
    <w:pPr>
      <w:numPr>
        <w:ilvl w:val="0"/>
        <w:numId w:val="9"/>
      </w:numPr>
      <w:jc w:val="left"/>
    </w:pPr>
  </w:style>
  <w:style w:type="paragraph" w:customStyle="1" w:styleId="8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9">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91">
    <w:name w:val="默认段落字体 Para Char"/>
    <w:basedOn w:val="1"/>
    <w:qFormat/>
    <w:uiPriority w:val="0"/>
    <w:rPr>
      <w:rFonts w:ascii="Tahoma" w:hAnsi="Tahoma"/>
      <w:sz w:val="24"/>
      <w:szCs w:val="20"/>
    </w:rPr>
  </w:style>
  <w:style w:type="paragraph" w:customStyle="1" w:styleId="92">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9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样式 正文缩进 + 首行缩进:  2 字符"/>
    <w:basedOn w:val="5"/>
    <w:qFormat/>
    <w:uiPriority w:val="0"/>
    <w:pPr>
      <w:adjustRightInd/>
      <w:spacing w:line="360" w:lineRule="auto"/>
      <w:ind w:firstLine="480" w:firstLineChars="200"/>
      <w:jc w:val="both"/>
      <w:textAlignment w:val="auto"/>
    </w:pPr>
    <w:rPr>
      <w:rFonts w:ascii="Times New Roman"/>
      <w:kern w:val="2"/>
      <w:sz w:val="24"/>
      <w:szCs w:val="24"/>
    </w:rPr>
  </w:style>
  <w:style w:type="paragraph" w:customStyle="1" w:styleId="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8">
    <w:name w:val="p0"/>
    <w:basedOn w:val="1"/>
    <w:qFormat/>
    <w:uiPriority w:val="0"/>
    <w:pPr>
      <w:widowControl/>
    </w:pPr>
    <w:rPr>
      <w:kern w:val="0"/>
      <w:szCs w:val="21"/>
    </w:rPr>
  </w:style>
  <w:style w:type="paragraph" w:customStyle="1" w:styleId="9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0">
    <w:name w:val="默认段落字体 Para Char Char Char1 Char"/>
    <w:basedOn w:val="45"/>
    <w:qFormat/>
    <w:uiPriority w:val="0"/>
  </w:style>
  <w:style w:type="paragraph" w:customStyle="1" w:styleId="101">
    <w:name w:val="Char1"/>
    <w:basedOn w:val="1"/>
    <w:qFormat/>
    <w:uiPriority w:val="0"/>
    <w:pPr>
      <w:widowControl/>
      <w:spacing w:line="400" w:lineRule="exact"/>
      <w:jc w:val="center"/>
    </w:pPr>
    <w:rPr>
      <w:rFonts w:ascii="Verdana" w:hAnsi="Verdana"/>
      <w:kern w:val="0"/>
      <w:szCs w:val="20"/>
      <w:lang w:eastAsia="en-US"/>
    </w:rPr>
  </w:style>
  <w:style w:type="paragraph" w:customStyle="1" w:styleId="102">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3">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4">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0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
    <w:name w:val="列出段落1"/>
    <w:basedOn w:val="1"/>
    <w:qFormat/>
    <w:uiPriority w:val="0"/>
    <w:pPr>
      <w:ind w:firstLine="200" w:firstLineChars="200"/>
    </w:pPr>
    <w:rPr>
      <w:rFonts w:ascii="Calibri" w:hAnsi="Calibri"/>
      <w:szCs w:val="22"/>
    </w:rPr>
  </w:style>
  <w:style w:type="paragraph" w:customStyle="1" w:styleId="107">
    <w:name w:val="缺省文本"/>
    <w:basedOn w:val="1"/>
    <w:qFormat/>
    <w:uiPriority w:val="0"/>
    <w:pPr>
      <w:autoSpaceDE w:val="0"/>
      <w:autoSpaceDN w:val="0"/>
      <w:adjustRightInd w:val="0"/>
      <w:jc w:val="left"/>
    </w:pPr>
    <w:rPr>
      <w:kern w:val="0"/>
      <w:sz w:val="24"/>
    </w:rPr>
  </w:style>
  <w:style w:type="paragraph" w:customStyle="1" w:styleId="108">
    <w:name w:val="Char Char Char Char Char Char Char Char Char"/>
    <w:basedOn w:val="1"/>
    <w:qFormat/>
    <w:uiPriority w:val="0"/>
    <w:rPr>
      <w:sz w:val="28"/>
    </w:rPr>
  </w:style>
  <w:style w:type="paragraph" w:customStyle="1" w:styleId="109">
    <w:name w:val="书籍标题4"/>
    <w:basedOn w:val="61"/>
    <w:next w:val="1"/>
    <w:qFormat/>
    <w:uiPriority w:val="0"/>
    <w:pPr>
      <w:numPr>
        <w:ilvl w:val="3"/>
        <w:numId w:val="6"/>
      </w:numPr>
      <w:tabs>
        <w:tab w:val="left" w:pos="2160"/>
        <w:tab w:val="clear" w:pos="840"/>
        <w:tab w:val="clear" w:pos="1260"/>
      </w:tabs>
      <w:ind w:left="2160"/>
      <w:outlineLvl w:val="3"/>
    </w:pPr>
    <w:rPr>
      <w:sz w:val="24"/>
      <w:szCs w:val="24"/>
      <w:lang w:val="zh-CN"/>
    </w:rPr>
  </w:style>
  <w:style w:type="paragraph" w:customStyle="1" w:styleId="11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1">
    <w:name w:val="样式 书籍标题3 + Arial 段前: 1 行 段后: 1 行"/>
    <w:basedOn w:val="61"/>
    <w:qFormat/>
    <w:uiPriority w:val="0"/>
    <w:pPr>
      <w:numPr>
        <w:ilvl w:val="1"/>
        <w:numId w:val="10"/>
      </w:numPr>
      <w:tabs>
        <w:tab w:val="left" w:pos="1275"/>
        <w:tab w:val="clear" w:pos="420"/>
        <w:tab w:val="clear" w:pos="840"/>
        <w:tab w:val="clear" w:pos="1260"/>
      </w:tabs>
      <w:spacing w:beforeLines="0" w:afterLines="0"/>
    </w:pPr>
    <w:rPr>
      <w:rFonts w:ascii="Arial" w:hAnsi="Arial" w:cs="宋体"/>
      <w:b w:val="0"/>
      <w:bCs w:val="0"/>
    </w:rPr>
  </w:style>
  <w:style w:type="paragraph" w:customStyle="1" w:styleId="11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Char Char"/>
    <w:basedOn w:val="1"/>
    <w:qFormat/>
    <w:uiPriority w:val="0"/>
    <w:pPr>
      <w:widowControl/>
      <w:spacing w:after="160" w:line="240" w:lineRule="exact"/>
      <w:jc w:val="left"/>
    </w:pPr>
    <w:rPr>
      <w:sz w:val="32"/>
      <w:szCs w:val="20"/>
    </w:rPr>
  </w:style>
  <w:style w:type="paragraph" w:customStyle="1" w:styleId="11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5">
    <w:name w:val="List Paragraph"/>
    <w:basedOn w:val="1"/>
    <w:qFormat/>
    <w:uiPriority w:val="0"/>
    <w:pPr>
      <w:ind w:firstLine="420" w:firstLineChars="200"/>
    </w:pPr>
  </w:style>
  <w:style w:type="paragraph" w:customStyle="1" w:styleId="1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7">
    <w:name w:val="Char1 Char Char Char"/>
    <w:basedOn w:val="1"/>
    <w:qFormat/>
    <w:uiPriority w:val="0"/>
    <w:pPr>
      <w:ind w:left="1365" w:hanging="360"/>
    </w:pPr>
    <w:rPr>
      <w:sz w:val="24"/>
    </w:rPr>
  </w:style>
  <w:style w:type="paragraph" w:customStyle="1" w:styleId="118">
    <w:name w:val="MM Topic 6"/>
    <w:basedOn w:val="9"/>
    <w:qFormat/>
    <w:uiPriority w:val="0"/>
    <w:pPr>
      <w:numPr>
        <w:ilvl w:val="5"/>
        <w:numId w:val="11"/>
      </w:numPr>
      <w:tabs>
        <w:tab w:val="left" w:pos="425"/>
        <w:tab w:val="clear" w:pos="3260"/>
      </w:tabs>
      <w:spacing w:line="319" w:lineRule="auto"/>
    </w:pPr>
    <w:rPr>
      <w:bCs/>
      <w:szCs w:val="24"/>
    </w:rPr>
  </w:style>
  <w:style w:type="paragraph" w:customStyle="1" w:styleId="11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0">
    <w:name w:val="书籍标题1"/>
    <w:basedOn w:val="1"/>
    <w:next w:val="1"/>
    <w:qFormat/>
    <w:uiPriority w:val="0"/>
    <w:pPr>
      <w:pageBreakBefore/>
      <w:widowControl/>
      <w:numPr>
        <w:ilvl w:val="0"/>
        <w:numId w:val="6"/>
      </w:numPr>
      <w:spacing w:beforeLines="200" w:afterLines="200"/>
      <w:jc w:val="center"/>
      <w:outlineLvl w:val="0"/>
    </w:pPr>
    <w:rPr>
      <w:rFonts w:eastAsia="黑体" w:cs="宋体"/>
      <w:b/>
      <w:bCs/>
      <w:spacing w:val="20"/>
      <w:kern w:val="44"/>
      <w:sz w:val="44"/>
      <w:szCs w:val="20"/>
    </w:rPr>
  </w:style>
  <w:style w:type="paragraph" w:customStyle="1" w:styleId="12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2">
    <w:name w:val="样式 标题 4Alt+41.1.1.1 Heading 4bulletblbbH44h4H41h41H42... Char"/>
    <w:basedOn w:val="7"/>
    <w:qFormat/>
    <w:uiPriority w:val="0"/>
    <w:pPr>
      <w:tabs>
        <w:tab w:val="left" w:pos="1914"/>
      </w:tabs>
      <w:spacing w:before="120" w:after="120"/>
      <w:ind w:left="1914" w:hanging="864"/>
    </w:pPr>
    <w:rPr>
      <w:rFonts w:ascii="宋体" w:hAnsi="宋体"/>
      <w:bCs/>
      <w:color w:val="000000"/>
      <w:szCs w:val="28"/>
    </w:rPr>
  </w:style>
  <w:style w:type="paragraph" w:customStyle="1" w:styleId="1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24">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2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2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3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2">
    <w:name w:val="特点标题"/>
    <w:basedOn w:val="1"/>
    <w:next w:val="36"/>
    <w:qFormat/>
    <w:uiPriority w:val="0"/>
    <w:pPr>
      <w:adjustRightInd w:val="0"/>
      <w:spacing w:line="360" w:lineRule="auto"/>
      <w:ind w:firstLine="482"/>
      <w:textAlignment w:val="baseline"/>
    </w:pPr>
    <w:rPr>
      <w:rFonts w:ascii="宋体" w:hAnsi="宋体"/>
      <w:kern w:val="0"/>
      <w:sz w:val="24"/>
    </w:rPr>
  </w:style>
  <w:style w:type="paragraph" w:customStyle="1" w:styleId="133">
    <w:name w:val="pa-13"/>
    <w:basedOn w:val="1"/>
    <w:qFormat/>
    <w:uiPriority w:val="0"/>
    <w:pPr>
      <w:widowControl/>
      <w:spacing w:before="150" w:after="150"/>
      <w:jc w:val="left"/>
    </w:pPr>
    <w:rPr>
      <w:rFonts w:ascii="宋体" w:hAnsi="宋体" w:cs="宋体"/>
      <w:kern w:val="0"/>
      <w:sz w:val="24"/>
    </w:rPr>
  </w:style>
  <w:style w:type="paragraph" w:customStyle="1" w:styleId="13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5">
    <w:name w:val="MM Topic 1"/>
    <w:basedOn w:val="3"/>
    <w:qFormat/>
    <w:uiPriority w:val="0"/>
    <w:pPr>
      <w:numPr>
        <w:ilvl w:val="0"/>
        <w:numId w:val="12"/>
      </w:numPr>
      <w:tabs>
        <w:tab w:val="clear" w:pos="1440"/>
      </w:tabs>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136">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37">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13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2">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3">
    <w:name w:val="样式 标题 3"/>
    <w:basedOn w:val="6"/>
    <w:next w:val="1"/>
    <w:qFormat/>
    <w:uiPriority w:val="0"/>
    <w:pPr>
      <w:widowControl w:val="0"/>
      <w:numPr>
        <w:ilvl w:val="2"/>
        <w:numId w:val="0"/>
      </w:numPr>
      <w:tabs>
        <w:tab w:val="left" w:pos="720"/>
        <w:tab w:val="clear" w:pos="432"/>
        <w:tab w:val="clear" w:pos="753"/>
        <w:tab w:val="clear" w:pos="1440"/>
      </w:tabs>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14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4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8">
    <w:name w:val="Char1 Char Char Char1"/>
    <w:basedOn w:val="1"/>
    <w:qFormat/>
    <w:uiPriority w:val="0"/>
    <w:pPr>
      <w:tabs>
        <w:tab w:val="left" w:pos="425"/>
      </w:tabs>
      <w:ind w:left="425" w:hanging="425"/>
    </w:pPr>
    <w:rPr>
      <w:sz w:val="24"/>
    </w:rPr>
  </w:style>
  <w:style w:type="paragraph" w:customStyle="1" w:styleId="1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50">
    <w:name w:val="Char"/>
    <w:basedOn w:val="1"/>
    <w:qFormat/>
    <w:uiPriority w:val="0"/>
    <w:pPr>
      <w:tabs>
        <w:tab w:val="left" w:pos="1365"/>
      </w:tabs>
      <w:ind w:left="1365" w:hanging="360"/>
    </w:pPr>
    <w:rPr>
      <w:sz w:val="24"/>
    </w:rPr>
  </w:style>
  <w:style w:type="paragraph" w:customStyle="1" w:styleId="15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52">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1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54">
    <w:name w:val="没有缩进（为图形使用）"/>
    <w:basedOn w:val="1"/>
    <w:qFormat/>
    <w:uiPriority w:val="0"/>
    <w:pPr>
      <w:numPr>
        <w:ilvl w:val="0"/>
        <w:numId w:val="13"/>
      </w:numPr>
      <w:spacing w:before="120" w:after="120" w:line="360" w:lineRule="auto"/>
      <w:ind w:left="0" w:firstLine="0"/>
    </w:pPr>
    <w:rPr>
      <w:rFonts w:cs="宋体"/>
      <w:sz w:val="24"/>
      <w:szCs w:val="20"/>
    </w:rPr>
  </w:style>
  <w:style w:type="paragraph" w:customStyle="1" w:styleId="15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5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8">
    <w:name w:val="样式1"/>
    <w:next w:val="16"/>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15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16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1">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162">
    <w:name w:val="Char Char Char Char Char Char Char Char Char1"/>
    <w:basedOn w:val="1"/>
    <w:qFormat/>
    <w:uiPriority w:val="0"/>
    <w:pPr>
      <w:widowControl/>
      <w:spacing w:after="160" w:line="240" w:lineRule="exact"/>
      <w:jc w:val="left"/>
    </w:pPr>
  </w:style>
  <w:style w:type="paragraph" w:customStyle="1" w:styleId="1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65">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16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6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1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0">
    <w:name w:val="MM Topic 2"/>
    <w:basedOn w:val="4"/>
    <w:qFormat/>
    <w:uiPriority w:val="0"/>
    <w:pPr>
      <w:widowControl w:val="0"/>
      <w:numPr>
        <w:ilvl w:val="0"/>
        <w:numId w:val="14"/>
      </w:numPr>
      <w:tabs>
        <w:tab w:val="left" w:pos="425"/>
        <w:tab w:val="clear" w:pos="2040"/>
        <w:tab w:val="clear" w:pos="720"/>
        <w:tab w:val="clear" w:pos="1440"/>
      </w:tabs>
      <w:adjustRightInd/>
      <w:snapToGrid/>
      <w:spacing w:line="415" w:lineRule="auto"/>
      <w:ind w:left="0" w:firstLine="0"/>
      <w:jc w:val="both"/>
      <w:textAlignment w:val="auto"/>
    </w:pPr>
    <w:rPr>
      <w:rFonts w:ascii="Arial" w:hAnsi="Arial"/>
      <w:b/>
      <w:kern w:val="2"/>
      <w:sz w:val="32"/>
      <w:szCs w:val="32"/>
    </w:rPr>
  </w:style>
  <w:style w:type="paragraph" w:customStyle="1" w:styleId="17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2">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4">
    <w:name w:val="font6"/>
    <w:basedOn w:val="1"/>
    <w:qFormat/>
    <w:uiPriority w:val="0"/>
    <w:pPr>
      <w:widowControl/>
      <w:spacing w:before="100" w:beforeAutospacing="1" w:after="100" w:afterAutospacing="1"/>
      <w:jc w:val="left"/>
    </w:pPr>
    <w:rPr>
      <w:kern w:val="0"/>
      <w:sz w:val="24"/>
    </w:rPr>
  </w:style>
  <w:style w:type="paragraph" w:customStyle="1" w:styleId="17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78">
    <w:name w:val="样式 首行缩进:  0.85 厘米"/>
    <w:basedOn w:val="1"/>
    <w:qFormat/>
    <w:uiPriority w:val="0"/>
    <w:pPr>
      <w:spacing w:line="360" w:lineRule="auto"/>
      <w:ind w:firstLine="200" w:firstLineChars="200"/>
    </w:pPr>
    <w:rPr>
      <w:rFonts w:cs="宋体"/>
      <w:sz w:val="24"/>
      <w:szCs w:val="20"/>
    </w:rPr>
  </w:style>
  <w:style w:type="paragraph" w:customStyle="1" w:styleId="179">
    <w:name w:val="列举"/>
    <w:basedOn w:val="1"/>
    <w:qFormat/>
    <w:uiPriority w:val="0"/>
    <w:pPr>
      <w:numPr>
        <w:ilvl w:val="0"/>
        <w:numId w:val="15"/>
      </w:numPr>
      <w:spacing w:line="360" w:lineRule="auto"/>
    </w:pPr>
    <w:rPr>
      <w:rFonts w:ascii="宋体"/>
    </w:rPr>
  </w:style>
  <w:style w:type="paragraph" w:customStyle="1" w:styleId="180">
    <w:name w:val="正文1"/>
    <w:basedOn w:val="1"/>
    <w:qFormat/>
    <w:uiPriority w:val="0"/>
    <w:pPr>
      <w:spacing w:line="360" w:lineRule="auto"/>
    </w:pPr>
    <w:rPr>
      <w:rFonts w:ascii="宋体" w:hAnsi="宋体"/>
      <w:sz w:val="24"/>
    </w:rPr>
  </w:style>
  <w:style w:type="paragraph" w:customStyle="1" w:styleId="18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正文缩进2字符"/>
    <w:basedOn w:val="44"/>
    <w:qFormat/>
    <w:uiPriority w:val="0"/>
    <w:pPr>
      <w:spacing w:after="0" w:line="360" w:lineRule="auto"/>
      <w:ind w:firstLine="200" w:firstLineChars="200"/>
    </w:pPr>
    <w:rPr>
      <w:sz w:val="24"/>
      <w:szCs w:val="24"/>
    </w:rPr>
  </w:style>
  <w:style w:type="paragraph" w:customStyle="1" w:styleId="183">
    <w:name w:val="font8"/>
    <w:basedOn w:val="1"/>
    <w:qFormat/>
    <w:uiPriority w:val="0"/>
    <w:pPr>
      <w:widowControl/>
      <w:spacing w:before="100" w:beforeAutospacing="1" w:after="100" w:afterAutospacing="1"/>
      <w:jc w:val="left"/>
    </w:pPr>
    <w:rPr>
      <w:kern w:val="0"/>
      <w:sz w:val="20"/>
      <w:szCs w:val="20"/>
    </w:rPr>
  </w:style>
  <w:style w:type="paragraph" w:customStyle="1" w:styleId="184">
    <w:name w:val="Char Char1 Char Char Char Char Char Char"/>
    <w:basedOn w:val="1"/>
    <w:qFormat/>
    <w:uiPriority w:val="0"/>
    <w:pPr>
      <w:widowControl/>
      <w:numPr>
        <w:ilvl w:val="0"/>
        <w:numId w:val="16"/>
      </w:numPr>
      <w:spacing w:after="160" w:line="240" w:lineRule="exact"/>
      <w:ind w:left="0" w:firstLine="0"/>
      <w:jc w:val="center"/>
    </w:pPr>
    <w:rPr>
      <w:rFonts w:ascii="黑体" w:hAnsi="Calibri" w:eastAsia="黑体"/>
      <w:kern w:val="0"/>
      <w:sz w:val="36"/>
      <w:szCs w:val="36"/>
    </w:rPr>
  </w:style>
  <w:style w:type="paragraph" w:customStyle="1" w:styleId="185">
    <w:name w:val="pa-3"/>
    <w:basedOn w:val="1"/>
    <w:qFormat/>
    <w:uiPriority w:val="0"/>
    <w:pPr>
      <w:widowControl/>
      <w:spacing w:before="150" w:after="150"/>
      <w:jc w:val="left"/>
    </w:pPr>
    <w:rPr>
      <w:rFonts w:ascii="宋体" w:hAnsi="宋体" w:cs="宋体"/>
      <w:kern w:val="0"/>
      <w:sz w:val="24"/>
    </w:rPr>
  </w:style>
  <w:style w:type="paragraph" w:customStyle="1" w:styleId="186">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187">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8">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9">
    <w:name w:val="列表数字1"/>
    <w:next w:val="44"/>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19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1">
    <w:name w:val="加点标题"/>
    <w:basedOn w:val="1"/>
    <w:qFormat/>
    <w:uiPriority w:val="0"/>
    <w:pPr>
      <w:numPr>
        <w:ilvl w:val="0"/>
        <w:numId w:val="18"/>
      </w:numPr>
      <w:spacing w:line="360" w:lineRule="auto"/>
    </w:pPr>
    <w:rPr>
      <w:sz w:val="24"/>
    </w:rPr>
  </w:style>
  <w:style w:type="paragraph" w:customStyle="1" w:styleId="192">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19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9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5">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8">
    <w:name w:val="段"/>
    <w:qFormat/>
    <w:uiPriority w:val="0"/>
    <w:pPr>
      <w:numPr>
        <w:ilvl w:val="0"/>
        <w:numId w:val="19"/>
      </w:numPr>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19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0">
    <w:name w:val="MM Topic 3"/>
    <w:basedOn w:val="6"/>
    <w:qFormat/>
    <w:uiPriority w:val="0"/>
    <w:pPr>
      <w:widowControl w:val="0"/>
      <w:numPr>
        <w:ilvl w:val="0"/>
        <w:numId w:val="11"/>
      </w:numPr>
      <w:tabs>
        <w:tab w:val="left" w:pos="1418"/>
        <w:tab w:val="clear" w:pos="432"/>
        <w:tab w:val="clear" w:pos="753"/>
        <w:tab w:val="clear" w:pos="1440"/>
      </w:tabs>
      <w:adjustRightInd/>
      <w:snapToGrid/>
      <w:spacing w:line="415" w:lineRule="auto"/>
      <w:textAlignment w:val="auto"/>
    </w:pPr>
    <w:rPr>
      <w:rFonts w:ascii="Times New Roman" w:eastAsia="宋体"/>
      <w:b/>
      <w:color w:val="auto"/>
      <w:sz w:val="32"/>
      <w:szCs w:val="32"/>
    </w:rPr>
  </w:style>
  <w:style w:type="paragraph" w:customStyle="1" w:styleId="201">
    <w:name w:val="列出段落2"/>
    <w:basedOn w:val="1"/>
    <w:qFormat/>
    <w:uiPriority w:val="0"/>
    <w:pPr>
      <w:ind w:firstLine="420" w:firstLineChars="200"/>
    </w:pPr>
  </w:style>
  <w:style w:type="paragraph" w:customStyle="1" w:styleId="202">
    <w:name w:val="font15"/>
    <w:basedOn w:val="1"/>
    <w:qFormat/>
    <w:uiPriority w:val="0"/>
    <w:pPr>
      <w:widowControl/>
      <w:spacing w:before="100" w:beforeAutospacing="1" w:after="100" w:afterAutospacing="1"/>
      <w:jc w:val="left"/>
    </w:pPr>
    <w:rPr>
      <w:kern w:val="0"/>
      <w:sz w:val="20"/>
      <w:szCs w:val="20"/>
    </w:rPr>
  </w:style>
  <w:style w:type="paragraph" w:customStyle="1" w:styleId="203">
    <w:name w:val="pa-15"/>
    <w:basedOn w:val="1"/>
    <w:qFormat/>
    <w:uiPriority w:val="0"/>
    <w:pPr>
      <w:widowControl/>
      <w:spacing w:before="150" w:after="150"/>
      <w:jc w:val="left"/>
    </w:pPr>
    <w:rPr>
      <w:rFonts w:ascii="宋体" w:hAnsi="宋体" w:cs="宋体"/>
      <w:kern w:val="0"/>
      <w:sz w:val="24"/>
    </w:rPr>
  </w:style>
  <w:style w:type="paragraph" w:customStyle="1" w:styleId="20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6">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07">
    <w:name w:val="Char Char3 Char Char"/>
    <w:basedOn w:val="1"/>
    <w:qFormat/>
    <w:uiPriority w:val="0"/>
    <w:pPr>
      <w:spacing w:line="360" w:lineRule="auto"/>
      <w:ind w:firstLine="200" w:firstLineChars="200"/>
    </w:pPr>
    <w:rPr>
      <w:rFonts w:ascii="宋体" w:hAnsi="宋体" w:cs="宋体"/>
      <w:sz w:val="24"/>
    </w:rPr>
  </w:style>
  <w:style w:type="paragraph" w:customStyle="1" w:styleId="208">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09">
    <w:name w:val="正文序号 2"/>
    <w:basedOn w:val="1"/>
    <w:qFormat/>
    <w:uiPriority w:val="0"/>
    <w:pPr>
      <w:numPr>
        <w:ilvl w:val="1"/>
        <w:numId w:val="8"/>
      </w:numPr>
      <w:tabs>
        <w:tab w:val="left" w:pos="981"/>
        <w:tab w:val="left" w:pos="1049"/>
      </w:tabs>
      <w:spacing w:before="60"/>
    </w:pPr>
  </w:style>
  <w:style w:type="paragraph" w:customStyle="1" w:styleId="210">
    <w:name w:val="样式 样式 标题 4Alt+41.1.1.1 Heading 4bulletblbbH44h4H41h41H42... + 自动..."/>
    <w:basedOn w:val="122"/>
    <w:qFormat/>
    <w:uiPriority w:val="0"/>
    <w:pPr>
      <w:numPr>
        <w:ilvl w:val="3"/>
        <w:numId w:val="20"/>
      </w:numPr>
      <w:tabs>
        <w:tab w:val="left" w:pos="528"/>
        <w:tab w:val="clear" w:pos="1914"/>
      </w:tabs>
    </w:pPr>
    <w:rPr>
      <w:color w:val="auto"/>
    </w:rPr>
  </w:style>
  <w:style w:type="paragraph" w:customStyle="1" w:styleId="21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13">
    <w:name w:val="MM Topic 5"/>
    <w:basedOn w:val="8"/>
    <w:qFormat/>
    <w:uiPriority w:val="0"/>
    <w:pPr>
      <w:numPr>
        <w:ilvl w:val="4"/>
        <w:numId w:val="11"/>
      </w:numPr>
      <w:tabs>
        <w:tab w:val="left" w:pos="425"/>
        <w:tab w:val="clear" w:pos="2551"/>
      </w:tabs>
    </w:pPr>
    <w:rPr>
      <w:bCs/>
      <w:szCs w:val="28"/>
    </w:rPr>
  </w:style>
  <w:style w:type="paragraph" w:customStyle="1" w:styleId="214">
    <w:name w:val="正文文本样式"/>
    <w:basedOn w:val="1"/>
    <w:qFormat/>
    <w:uiPriority w:val="0"/>
    <w:pPr>
      <w:spacing w:line="360" w:lineRule="auto"/>
      <w:ind w:firstLine="482"/>
    </w:pPr>
    <w:rPr>
      <w:rFonts w:cs="宋体"/>
      <w:sz w:val="24"/>
      <w:szCs w:val="20"/>
    </w:rPr>
  </w:style>
  <w:style w:type="paragraph" w:customStyle="1" w:styleId="21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6">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MM Topic 4"/>
    <w:basedOn w:val="7"/>
    <w:qFormat/>
    <w:uiPriority w:val="0"/>
    <w:pPr>
      <w:numPr>
        <w:ilvl w:val="3"/>
        <w:numId w:val="11"/>
      </w:numPr>
      <w:tabs>
        <w:tab w:val="left" w:pos="425"/>
        <w:tab w:val="clear" w:pos="1984"/>
      </w:tabs>
    </w:pPr>
    <w:rPr>
      <w:bCs/>
      <w:szCs w:val="28"/>
    </w:rPr>
  </w:style>
  <w:style w:type="paragraph" w:customStyle="1" w:styleId="218">
    <w:name w:val="正文序号 3"/>
    <w:basedOn w:val="1"/>
    <w:qFormat/>
    <w:uiPriority w:val="0"/>
    <w:pPr>
      <w:numPr>
        <w:ilvl w:val="2"/>
        <w:numId w:val="8"/>
      </w:numPr>
      <w:tabs>
        <w:tab w:val="left" w:pos="981"/>
        <w:tab w:val="left" w:pos="1259"/>
      </w:tabs>
      <w:spacing w:before="60"/>
    </w:pPr>
  </w:style>
  <w:style w:type="paragraph" w:customStyle="1" w:styleId="219">
    <w:name w:val="Char2"/>
    <w:basedOn w:val="1"/>
    <w:qFormat/>
    <w:uiPriority w:val="0"/>
    <w:pPr>
      <w:tabs>
        <w:tab w:val="left" w:pos="425"/>
      </w:tabs>
      <w:ind w:left="425" w:hanging="425"/>
    </w:pPr>
    <w:rPr>
      <w:sz w:val="24"/>
    </w:rPr>
  </w:style>
  <w:style w:type="paragraph" w:customStyle="1" w:styleId="220">
    <w:name w:val="正文序号 1"/>
    <w:basedOn w:val="1"/>
    <w:qFormat/>
    <w:uiPriority w:val="0"/>
    <w:pPr>
      <w:numPr>
        <w:ilvl w:val="0"/>
        <w:numId w:val="8"/>
      </w:numPr>
      <w:tabs>
        <w:tab w:val="left" w:pos="839"/>
      </w:tabs>
      <w:spacing w:before="60"/>
    </w:pPr>
  </w:style>
  <w:style w:type="paragraph" w:customStyle="1" w:styleId="221">
    <w:name w:val="字元 字元1"/>
    <w:basedOn w:val="1"/>
    <w:qFormat/>
    <w:uiPriority w:val="0"/>
    <w:pPr>
      <w:spacing w:line="360" w:lineRule="auto"/>
      <w:ind w:firstLine="200" w:firstLineChars="200"/>
    </w:pPr>
    <w:rPr>
      <w:rFonts w:ascii="宋体" w:hAnsi="宋体" w:cs="宋体"/>
      <w:sz w:val="24"/>
    </w:rPr>
  </w:style>
  <w:style w:type="paragraph" w:customStyle="1" w:styleId="222">
    <w:name w:val="font12"/>
    <w:basedOn w:val="1"/>
    <w:qFormat/>
    <w:uiPriority w:val="0"/>
    <w:pPr>
      <w:widowControl/>
      <w:spacing w:before="100" w:beforeAutospacing="1" w:after="100" w:afterAutospacing="1"/>
      <w:jc w:val="left"/>
    </w:pPr>
    <w:rPr>
      <w:kern w:val="0"/>
      <w:sz w:val="22"/>
      <w:szCs w:val="22"/>
    </w:rPr>
  </w:style>
  <w:style w:type="paragraph" w:customStyle="1" w:styleId="223">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2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5">
    <w:name w:val="Table Paragraph"/>
    <w:basedOn w:val="1"/>
    <w:qFormat/>
    <w:uiPriority w:val="1"/>
    <w:rPr>
      <w:rFonts w:ascii="Calibri" w:hAnsi="Calibri"/>
      <w:sz w:val="24"/>
    </w:rPr>
  </w:style>
  <w:style w:type="paragraph" w:customStyle="1" w:styleId="226">
    <w:name w:val="正文首行缩进 21"/>
    <w:basedOn w:val="227"/>
    <w:qFormat/>
    <w:uiPriority w:val="0"/>
    <w:pPr>
      <w:widowControl/>
      <w:spacing w:line="500" w:lineRule="exact"/>
      <w:ind w:firstLine="420"/>
    </w:pPr>
    <w:rPr>
      <w:szCs w:val="20"/>
    </w:rPr>
  </w:style>
  <w:style w:type="paragraph" w:customStyle="1" w:styleId="227">
    <w:name w:val="正文文本缩进1"/>
    <w:basedOn w:val="1"/>
    <w:qFormat/>
    <w:uiPriority w:val="0"/>
    <w:pPr>
      <w:spacing w:line="500" w:lineRule="exact"/>
      <w:ind w:firstLine="880" w:firstLineChars="200"/>
    </w:pPr>
    <w:rPr>
      <w:rFonts w:ascii="Times New Roman" w:hAnsi="Times New Roman" w:eastAsia="宋体" w:cs="Times New Roman"/>
    </w:rPr>
  </w:style>
  <w:style w:type="paragraph" w:customStyle="1" w:styleId="228">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29">
    <w:name w:val="标题 1 Char Char"/>
    <w:qFormat/>
    <w:uiPriority w:val="0"/>
    <w:rPr>
      <w:rFonts w:eastAsia="宋体"/>
      <w:b/>
      <w:bCs/>
      <w:kern w:val="44"/>
      <w:sz w:val="44"/>
      <w:szCs w:val="44"/>
      <w:lang w:val="en-US" w:eastAsia="zh-CN" w:bidi="ar-SA"/>
    </w:rPr>
  </w:style>
  <w:style w:type="character" w:customStyle="1" w:styleId="230">
    <w:name w:val="标题 4 Char Char"/>
    <w:qFormat/>
    <w:uiPriority w:val="0"/>
    <w:rPr>
      <w:rFonts w:ascii="Arial" w:hAnsi="Arial" w:eastAsia="黑体"/>
      <w:b/>
      <w:bCs/>
      <w:kern w:val="2"/>
      <w:sz w:val="28"/>
      <w:szCs w:val="28"/>
      <w:lang w:val="en-US" w:eastAsia="zh-CN" w:bidi="ar-SA"/>
    </w:rPr>
  </w:style>
  <w:style w:type="character" w:customStyle="1" w:styleId="231">
    <w:name w:val="font11"/>
    <w:qFormat/>
    <w:uiPriority w:val="0"/>
    <w:rPr>
      <w:rFonts w:hint="eastAsia" w:ascii="宋体" w:hAnsi="宋体" w:eastAsia="宋体"/>
      <w:color w:val="000000"/>
      <w:sz w:val="24"/>
      <w:szCs w:val="24"/>
      <w:u w:val="none"/>
    </w:rPr>
  </w:style>
  <w:style w:type="character" w:customStyle="1" w:styleId="232">
    <w:name w:val="标题 5 Char Char"/>
    <w:qFormat/>
    <w:uiPriority w:val="0"/>
    <w:rPr>
      <w:rFonts w:eastAsia="宋体"/>
      <w:b/>
      <w:bCs/>
      <w:kern w:val="2"/>
      <w:sz w:val="28"/>
      <w:szCs w:val="28"/>
      <w:lang w:val="en-US" w:eastAsia="zh-CN" w:bidi="ar-SA"/>
    </w:rPr>
  </w:style>
  <w:style w:type="character" w:customStyle="1" w:styleId="233">
    <w:name w:val="ca-5"/>
    <w:basedOn w:val="47"/>
    <w:qFormat/>
    <w:uiPriority w:val="0"/>
  </w:style>
  <w:style w:type="character" w:customStyle="1" w:styleId="234">
    <w:name w:val="正文首行缩进 2 Char"/>
    <w:link w:val="45"/>
    <w:qFormat/>
    <w:uiPriority w:val="0"/>
    <w:rPr>
      <w:rFonts w:ascii="Calibri" w:hAnsi="Calibri" w:eastAsia="仿宋_GB2312"/>
      <w:kern w:val="2"/>
      <w:sz w:val="21"/>
      <w:szCs w:val="22"/>
      <w:lang w:val="en-US" w:eastAsia="zh-CN" w:bidi="ar-SA"/>
    </w:rPr>
  </w:style>
  <w:style w:type="character" w:customStyle="1" w:styleId="235">
    <w:name w:val="已访问的超链接1"/>
    <w:qFormat/>
    <w:uiPriority w:val="0"/>
    <w:rPr>
      <w:color w:val="800080"/>
      <w:u w:val="single"/>
    </w:rPr>
  </w:style>
  <w:style w:type="character" w:customStyle="1" w:styleId="236">
    <w:name w:val="正文首行缩进 Char Char"/>
    <w:qFormat/>
    <w:uiPriority w:val="0"/>
    <w:rPr>
      <w:rFonts w:eastAsia="仿宋_GB2312"/>
      <w:kern w:val="2"/>
      <w:sz w:val="28"/>
      <w:szCs w:val="24"/>
      <w:lang w:bidi="ar-SA"/>
    </w:rPr>
  </w:style>
  <w:style w:type="character" w:customStyle="1" w:styleId="237">
    <w:name w:val="日期 Char"/>
    <w:link w:val="25"/>
    <w:qFormat/>
    <w:uiPriority w:val="0"/>
    <w:rPr>
      <w:kern w:val="2"/>
      <w:sz w:val="21"/>
      <w:szCs w:val="24"/>
    </w:rPr>
  </w:style>
  <w:style w:type="character" w:customStyle="1" w:styleId="238">
    <w:name w:val="正文文本缩进 3 Char Char"/>
    <w:qFormat/>
    <w:uiPriority w:val="0"/>
    <w:rPr>
      <w:kern w:val="2"/>
      <w:sz w:val="16"/>
      <w:szCs w:val="16"/>
      <w:lang w:bidi="ar-SA"/>
    </w:rPr>
  </w:style>
  <w:style w:type="character" w:customStyle="1" w:styleId="239">
    <w:name w:val="文档正文 Char1"/>
    <w:link w:val="55"/>
    <w:qFormat/>
    <w:uiPriority w:val="0"/>
    <w:rPr>
      <w:rFonts w:ascii="Arial Narrow" w:hAnsi="Arial Narrow"/>
      <w:sz w:val="24"/>
      <w:szCs w:val="24"/>
      <w:lang w:val="en-US" w:eastAsia="zh-CN" w:bidi="ar-SA"/>
    </w:rPr>
  </w:style>
  <w:style w:type="character" w:customStyle="1" w:styleId="240">
    <w:name w:val="正文文本 Char Char"/>
    <w:qFormat/>
    <w:uiPriority w:val="0"/>
    <w:rPr>
      <w:rFonts w:eastAsia="宋体"/>
      <w:kern w:val="2"/>
      <w:sz w:val="21"/>
      <w:szCs w:val="24"/>
      <w:lang w:val="en-US" w:eastAsia="zh-CN" w:bidi="ar-SA"/>
    </w:rPr>
  </w:style>
  <w:style w:type="character" w:customStyle="1" w:styleId="241">
    <w:name w:val="样式 样式 宋体 小四 行距: 1.5 倍行距 + ˎ̥ 黑色 Char Char"/>
    <w:link w:val="56"/>
    <w:qFormat/>
    <w:uiPriority w:val="0"/>
    <w:rPr>
      <w:rFonts w:ascii="Calibri" w:hAnsi="Calibri" w:eastAsia="仿宋_GB2312"/>
      <w:kern w:val="2"/>
      <w:sz w:val="21"/>
      <w:szCs w:val="22"/>
      <w:lang w:val="en-US" w:eastAsia="zh-CN" w:bidi="ar-SA"/>
    </w:rPr>
  </w:style>
  <w:style w:type="character" w:customStyle="1" w:styleId="242">
    <w:name w:val="style71"/>
    <w:qFormat/>
    <w:uiPriority w:val="0"/>
    <w:rPr>
      <w:sz w:val="21"/>
      <w:szCs w:val="21"/>
    </w:rPr>
  </w:style>
  <w:style w:type="character" w:customStyle="1" w:styleId="243">
    <w:name w:val="正文文本缩进 2 Char"/>
    <w:link w:val="26"/>
    <w:qFormat/>
    <w:uiPriority w:val="0"/>
    <w:rPr>
      <w:rFonts w:eastAsia="仿宋_GB2312"/>
      <w:kern w:val="2"/>
      <w:sz w:val="30"/>
      <w:lang w:val="en-US" w:eastAsia="zh-CN" w:bidi="ar-SA"/>
    </w:rPr>
  </w:style>
  <w:style w:type="character" w:customStyle="1" w:styleId="244">
    <w:name w:val="正文文本缩进 3 Char"/>
    <w:link w:val="36"/>
    <w:qFormat/>
    <w:uiPriority w:val="0"/>
    <w:rPr>
      <w:rFonts w:ascii="宋体" w:hAnsi="宋体" w:eastAsia="宋体"/>
      <w:kern w:val="2"/>
      <w:sz w:val="21"/>
      <w:szCs w:val="24"/>
      <w:lang w:val="en-US" w:eastAsia="zh-CN" w:bidi="ar-SA"/>
    </w:rPr>
  </w:style>
  <w:style w:type="character" w:customStyle="1" w:styleId="245">
    <w:name w:val="ca-9"/>
    <w:basedOn w:val="47"/>
    <w:qFormat/>
    <w:uiPriority w:val="0"/>
  </w:style>
  <w:style w:type="character" w:customStyle="1" w:styleId="246">
    <w:name w:val="纯文本 Char"/>
    <w:link w:val="23"/>
    <w:qFormat/>
    <w:uiPriority w:val="0"/>
    <w:rPr>
      <w:rFonts w:ascii="宋体" w:hAnsi="Courier New" w:eastAsia="宋体"/>
      <w:kern w:val="2"/>
      <w:sz w:val="21"/>
      <w:lang w:val="en-US" w:eastAsia="zh-CN" w:bidi="ar-SA"/>
    </w:rPr>
  </w:style>
  <w:style w:type="character" w:customStyle="1" w:styleId="247">
    <w:name w:val="页脚 Char Char"/>
    <w:qFormat/>
    <w:uiPriority w:val="0"/>
    <w:rPr>
      <w:rFonts w:eastAsia="宋体"/>
      <w:sz w:val="18"/>
      <w:szCs w:val="18"/>
      <w:lang w:bidi="ar-SA"/>
    </w:rPr>
  </w:style>
  <w:style w:type="character" w:customStyle="1" w:styleId="248">
    <w:name w:val="正文文本 Char"/>
    <w:link w:val="2"/>
    <w:qFormat/>
    <w:uiPriority w:val="0"/>
    <w:rPr>
      <w:rFonts w:eastAsia="宋体"/>
      <w:kern w:val="2"/>
      <w:sz w:val="21"/>
      <w:szCs w:val="24"/>
      <w:lang w:val="en-US" w:eastAsia="zh-CN" w:bidi="ar-SA"/>
    </w:rPr>
  </w:style>
  <w:style w:type="character" w:customStyle="1" w:styleId="249">
    <w:name w:val="标题 2 Char Char"/>
    <w:qFormat/>
    <w:uiPriority w:val="0"/>
    <w:rPr>
      <w:rFonts w:ascii="Cambria" w:hAnsi="Cambria" w:eastAsia="宋体"/>
      <w:b/>
      <w:bCs/>
      <w:kern w:val="2"/>
      <w:sz w:val="32"/>
      <w:szCs w:val="32"/>
      <w:lang w:val="en-US" w:eastAsia="zh-CN" w:bidi="ar-SA"/>
    </w:rPr>
  </w:style>
  <w:style w:type="character" w:customStyle="1" w:styleId="250">
    <w:name w:val="标题 1 1 Char"/>
    <w:qFormat/>
    <w:uiPriority w:val="0"/>
    <w:rPr>
      <w:rFonts w:ascii="黑体" w:eastAsia="黑体"/>
      <w:bCs/>
      <w:kern w:val="44"/>
      <w:sz w:val="24"/>
      <w:lang w:val="en-US" w:eastAsia="zh-CN" w:bidi="ar-SA"/>
    </w:rPr>
  </w:style>
  <w:style w:type="character" w:customStyle="1" w:styleId="251">
    <w:name w:val="Char Char14"/>
    <w:qFormat/>
    <w:uiPriority w:val="0"/>
    <w:rPr>
      <w:rFonts w:ascii="宋体" w:eastAsia="宋体"/>
      <w:sz w:val="34"/>
      <w:lang w:val="en-US" w:eastAsia="zh-CN" w:bidi="ar-SA"/>
    </w:rPr>
  </w:style>
  <w:style w:type="character" w:customStyle="1" w:styleId="252">
    <w:name w:val="content"/>
    <w:qFormat/>
    <w:uiPriority w:val="0"/>
  </w:style>
  <w:style w:type="character" w:customStyle="1" w:styleId="253">
    <w:name w:val="Char Char5"/>
    <w:qFormat/>
    <w:uiPriority w:val="0"/>
    <w:rPr>
      <w:rFonts w:eastAsia="宋体"/>
      <w:kern w:val="2"/>
      <w:sz w:val="18"/>
      <w:lang w:val="en-US" w:eastAsia="zh-CN" w:bidi="ar-SA"/>
    </w:rPr>
  </w:style>
  <w:style w:type="character" w:customStyle="1" w:styleId="254">
    <w:name w:val="c_666"/>
    <w:basedOn w:val="47"/>
    <w:qFormat/>
    <w:uiPriority w:val="0"/>
  </w:style>
  <w:style w:type="character" w:customStyle="1" w:styleId="255">
    <w:name w:val="ALT+Z Char"/>
    <w:qFormat/>
    <w:uiPriority w:val="0"/>
    <w:rPr>
      <w:rFonts w:ascii="宋体"/>
      <w:sz w:val="34"/>
    </w:rPr>
  </w:style>
  <w:style w:type="character" w:customStyle="1" w:styleId="256">
    <w:name w:val="正文（缩进） Char Char"/>
    <w:link w:val="57"/>
    <w:qFormat/>
    <w:uiPriority w:val="0"/>
    <w:rPr>
      <w:rFonts w:eastAsia="宋体"/>
      <w:kern w:val="2"/>
      <w:sz w:val="24"/>
      <w:szCs w:val="24"/>
      <w:lang w:val="en-US" w:eastAsia="zh-CN" w:bidi="ar-SA"/>
    </w:rPr>
  </w:style>
  <w:style w:type="character" w:customStyle="1" w:styleId="257">
    <w:name w:val="批注框文本 Char"/>
    <w:link w:val="27"/>
    <w:qFormat/>
    <w:uiPriority w:val="0"/>
    <w:rPr>
      <w:rFonts w:eastAsia="宋体"/>
      <w:kern w:val="2"/>
      <w:sz w:val="18"/>
      <w:szCs w:val="18"/>
      <w:lang w:val="en-US" w:eastAsia="zh-CN" w:bidi="ar-SA"/>
    </w:rPr>
  </w:style>
  <w:style w:type="character" w:customStyle="1" w:styleId="258">
    <w:name w:val="表格内容"/>
    <w:qFormat/>
    <w:uiPriority w:val="0"/>
    <w:rPr>
      <w:sz w:val="24"/>
    </w:rPr>
  </w:style>
  <w:style w:type="character" w:customStyle="1" w:styleId="259">
    <w:name w:val="ca-8"/>
    <w:basedOn w:val="47"/>
    <w:qFormat/>
    <w:uiPriority w:val="0"/>
  </w:style>
  <w:style w:type="character" w:customStyle="1" w:styleId="260">
    <w:name w:val="不明显参考1"/>
    <w:qFormat/>
    <w:uiPriority w:val="0"/>
    <w:rPr>
      <w:smallCaps/>
      <w:color w:val="C0504D"/>
      <w:u w:val="single"/>
    </w:rPr>
  </w:style>
  <w:style w:type="character" w:customStyle="1" w:styleId="261">
    <w:name w:val="标题 9 Char"/>
    <w:link w:val="12"/>
    <w:qFormat/>
    <w:uiPriority w:val="0"/>
    <w:rPr>
      <w:rFonts w:ascii="Arial" w:hAnsi="Arial" w:eastAsia="黑体"/>
      <w:kern w:val="2"/>
      <w:sz w:val="21"/>
      <w:lang w:val="en-US" w:eastAsia="zh-CN" w:bidi="ar-SA"/>
    </w:rPr>
  </w:style>
  <w:style w:type="character" w:customStyle="1" w:styleId="262">
    <w:name w:val="标题 6 Char"/>
    <w:link w:val="9"/>
    <w:qFormat/>
    <w:uiPriority w:val="0"/>
    <w:rPr>
      <w:rFonts w:ascii="Arial" w:hAnsi="Arial" w:eastAsia="黑体"/>
      <w:b/>
      <w:kern w:val="2"/>
      <w:sz w:val="24"/>
      <w:lang w:val="en-US" w:eastAsia="zh-CN" w:bidi="ar-SA"/>
    </w:rPr>
  </w:style>
  <w:style w:type="character" w:customStyle="1" w:styleId="263">
    <w:name w:val="ca-10"/>
    <w:basedOn w:val="47"/>
    <w:qFormat/>
    <w:uiPriority w:val="0"/>
  </w:style>
  <w:style w:type="character" w:customStyle="1" w:styleId="264">
    <w:name w:val="标题 4 Char"/>
    <w:link w:val="7"/>
    <w:qFormat/>
    <w:uiPriority w:val="0"/>
    <w:rPr>
      <w:rFonts w:ascii="Arial" w:hAnsi="Arial" w:eastAsia="黑体"/>
      <w:b/>
      <w:kern w:val="2"/>
      <w:sz w:val="28"/>
      <w:lang w:val="en-US" w:eastAsia="zh-CN" w:bidi="ar-SA"/>
    </w:rPr>
  </w:style>
  <w:style w:type="character" w:customStyle="1" w:styleId="265">
    <w:name w:val="批注文字 Char Char"/>
    <w:qFormat/>
    <w:uiPriority w:val="0"/>
    <w:rPr>
      <w:kern w:val="2"/>
      <w:sz w:val="21"/>
      <w:lang w:bidi="ar-SA"/>
    </w:rPr>
  </w:style>
  <w:style w:type="character" w:customStyle="1" w:styleId="266">
    <w:name w:val="style18"/>
    <w:qFormat/>
    <w:uiPriority w:val="0"/>
  </w:style>
  <w:style w:type="character" w:customStyle="1" w:styleId="267">
    <w:name w:val="font21"/>
    <w:qFormat/>
    <w:uiPriority w:val="0"/>
    <w:rPr>
      <w:rFonts w:hint="default" w:ascii="Arial" w:hAnsi="Arial" w:cs="Arial"/>
      <w:color w:val="000000"/>
      <w:sz w:val="24"/>
      <w:szCs w:val="24"/>
      <w:u w:val="none"/>
    </w:rPr>
  </w:style>
  <w:style w:type="character" w:customStyle="1" w:styleId="268">
    <w:name w:val="ca-11"/>
    <w:basedOn w:val="47"/>
    <w:qFormat/>
    <w:uiPriority w:val="0"/>
  </w:style>
  <w:style w:type="character" w:customStyle="1" w:styleId="269">
    <w:name w:val="标题 8 Char"/>
    <w:link w:val="11"/>
    <w:qFormat/>
    <w:uiPriority w:val="0"/>
    <w:rPr>
      <w:rFonts w:ascii="Arial" w:hAnsi="Arial" w:eastAsia="黑体"/>
      <w:kern w:val="2"/>
      <w:sz w:val="24"/>
      <w:lang w:val="en-US" w:eastAsia="zh-CN" w:bidi="ar-SA"/>
    </w:rPr>
  </w:style>
  <w:style w:type="character" w:customStyle="1" w:styleId="270">
    <w:name w:val="类目1 Char Char"/>
    <w:link w:val="58"/>
    <w:qFormat/>
    <w:uiPriority w:val="0"/>
    <w:rPr>
      <w:b/>
      <w:color w:val="17365D"/>
      <w:kern w:val="2"/>
      <w:sz w:val="28"/>
      <w:szCs w:val="28"/>
      <w:lang w:bidi="ar-SA"/>
    </w:rPr>
  </w:style>
  <w:style w:type="character" w:customStyle="1" w:styleId="271">
    <w:name w:val="正文文本 2 Char"/>
    <w:link w:val="39"/>
    <w:qFormat/>
    <w:uiPriority w:val="0"/>
    <w:rPr>
      <w:rFonts w:ascii="仿宋_GB2312" w:eastAsia="仿宋_GB2312"/>
      <w:kern w:val="2"/>
      <w:sz w:val="32"/>
      <w:szCs w:val="24"/>
      <w:lang w:val="en-US" w:eastAsia="zh-CN" w:bidi="ar-SA"/>
    </w:rPr>
  </w:style>
  <w:style w:type="character" w:customStyle="1" w:styleId="272">
    <w:name w:val="标题 2 Char"/>
    <w:link w:val="4"/>
    <w:qFormat/>
    <w:uiPriority w:val="0"/>
    <w:rPr>
      <w:rFonts w:ascii="黑体" w:hAnsi="宋体" w:eastAsia="黑体"/>
      <w:bCs/>
      <w:kern w:val="44"/>
      <w:sz w:val="21"/>
      <w:szCs w:val="24"/>
    </w:rPr>
  </w:style>
  <w:style w:type="character" w:customStyle="1" w:styleId="273">
    <w:name w:val="lineitems1"/>
    <w:qFormat/>
    <w:uiPriority w:val="0"/>
    <w:rPr>
      <w:sz w:val="17"/>
      <w:szCs w:val="17"/>
    </w:rPr>
  </w:style>
  <w:style w:type="character" w:customStyle="1" w:styleId="274">
    <w:name w:val="题注 Char1"/>
    <w:qFormat/>
    <w:uiPriority w:val="0"/>
    <w:rPr>
      <w:rFonts w:ascii="Arial" w:hAnsi="Arial" w:eastAsia="宋体" w:cs="Arial"/>
      <w:kern w:val="2"/>
      <w:lang w:val="en-US" w:eastAsia="zh-CN" w:bidi="ar-SA"/>
    </w:rPr>
  </w:style>
  <w:style w:type="character" w:customStyle="1" w:styleId="275">
    <w:name w:val="标题 3 Char Char"/>
    <w:qFormat/>
    <w:uiPriority w:val="0"/>
    <w:rPr>
      <w:rFonts w:eastAsia="宋体"/>
      <w:b/>
      <w:bCs/>
      <w:kern w:val="2"/>
      <w:sz w:val="32"/>
      <w:szCs w:val="32"/>
      <w:lang w:val="en-US" w:eastAsia="zh-CN" w:bidi="ar-SA"/>
    </w:rPr>
  </w:style>
  <w:style w:type="character" w:customStyle="1" w:styleId="276">
    <w:name w:val="标题 5 Char"/>
    <w:link w:val="8"/>
    <w:qFormat/>
    <w:uiPriority w:val="0"/>
    <w:rPr>
      <w:rFonts w:eastAsia="宋体"/>
      <w:b/>
      <w:kern w:val="2"/>
      <w:sz w:val="28"/>
      <w:lang w:val="en-US" w:eastAsia="zh-CN" w:bidi="ar-SA"/>
    </w:rPr>
  </w:style>
  <w:style w:type="character" w:customStyle="1" w:styleId="277">
    <w:name w:val="p12"/>
    <w:basedOn w:val="47"/>
    <w:qFormat/>
    <w:uiPriority w:val="0"/>
  </w:style>
  <w:style w:type="character" w:customStyle="1" w:styleId="278">
    <w:name w:val="正文缩进 Char2"/>
    <w:link w:val="59"/>
    <w:qFormat/>
    <w:uiPriority w:val="0"/>
    <w:rPr>
      <w:rFonts w:ascii="宋体" w:eastAsia="宋体"/>
      <w:sz w:val="34"/>
      <w:lang w:bidi="ar-SA"/>
    </w:rPr>
  </w:style>
  <w:style w:type="character" w:customStyle="1" w:styleId="279">
    <w:name w:val="标题 9 Char Char"/>
    <w:qFormat/>
    <w:uiPriority w:val="0"/>
    <w:rPr>
      <w:rFonts w:ascii="Arial" w:hAnsi="Arial" w:eastAsia="黑体"/>
      <w:kern w:val="2"/>
      <w:sz w:val="21"/>
      <w:szCs w:val="21"/>
      <w:lang w:val="en-US" w:eastAsia="zh-CN" w:bidi="ar-SA"/>
    </w:rPr>
  </w:style>
  <w:style w:type="character" w:customStyle="1" w:styleId="280">
    <w:name w:val="标题 7 Char"/>
    <w:link w:val="10"/>
    <w:qFormat/>
    <w:uiPriority w:val="0"/>
    <w:rPr>
      <w:rFonts w:eastAsia="宋体"/>
      <w:b/>
      <w:kern w:val="2"/>
      <w:sz w:val="24"/>
      <w:lang w:val="en-US" w:eastAsia="zh-CN" w:bidi="ar-SA"/>
    </w:rPr>
  </w:style>
  <w:style w:type="character" w:customStyle="1" w:styleId="281">
    <w:name w:val="flname7"/>
    <w:basedOn w:val="47"/>
    <w:qFormat/>
    <w:uiPriority w:val="0"/>
  </w:style>
  <w:style w:type="character" w:customStyle="1" w:styleId="282">
    <w:name w:val="正文缩进 Char"/>
    <w:link w:val="5"/>
    <w:qFormat/>
    <w:uiPriority w:val="0"/>
    <w:rPr>
      <w:rFonts w:ascii="宋体" w:eastAsia="宋体"/>
      <w:sz w:val="34"/>
      <w:lang w:val="en-US" w:eastAsia="zh-CN" w:bidi="ar-SA"/>
    </w:rPr>
  </w:style>
  <w:style w:type="character" w:customStyle="1" w:styleId="283">
    <w:name w:val="样式5 Char Char"/>
    <w:link w:val="60"/>
    <w:qFormat/>
    <w:uiPriority w:val="0"/>
    <w:rPr>
      <w:rFonts w:ascii="宋体" w:hAnsi="宋体" w:eastAsia="宋体" w:cs="Arial"/>
      <w:b/>
      <w:kern w:val="2"/>
      <w:sz w:val="24"/>
      <w:szCs w:val="24"/>
      <w:lang w:val="en-US" w:eastAsia="zh-CN" w:bidi="ar-SA"/>
    </w:rPr>
  </w:style>
  <w:style w:type="character" w:customStyle="1" w:styleId="284">
    <w:name w:val="text1"/>
    <w:qFormat/>
    <w:uiPriority w:val="0"/>
    <w:rPr>
      <w:sz w:val="20"/>
      <w:szCs w:val="20"/>
    </w:rPr>
  </w:style>
  <w:style w:type="character" w:customStyle="1" w:styleId="285">
    <w:name w:val="样式2"/>
    <w:qFormat/>
    <w:uiPriority w:val="0"/>
    <w:rPr>
      <w:rFonts w:eastAsia="华文楷体"/>
      <w:b/>
      <w:sz w:val="32"/>
    </w:rPr>
  </w:style>
  <w:style w:type="character" w:customStyle="1" w:styleId="286">
    <w:name w:val="页眉 Char Char"/>
    <w:qFormat/>
    <w:uiPriority w:val="0"/>
    <w:rPr>
      <w:rFonts w:eastAsia="宋体"/>
      <w:sz w:val="18"/>
      <w:szCs w:val="18"/>
      <w:lang w:bidi="ar-SA"/>
    </w:rPr>
  </w:style>
  <w:style w:type="character" w:customStyle="1" w:styleId="287">
    <w:name w:val="标题 3 Char"/>
    <w:link w:val="6"/>
    <w:qFormat/>
    <w:uiPriority w:val="0"/>
    <w:rPr>
      <w:rFonts w:ascii="黑体" w:eastAsia="黑体"/>
      <w:bCs/>
      <w:color w:val="000000"/>
      <w:kern w:val="2"/>
      <w:sz w:val="21"/>
      <w:szCs w:val="24"/>
    </w:rPr>
  </w:style>
  <w:style w:type="character" w:customStyle="1" w:styleId="288">
    <w:name w:val="书籍标题3 Char1"/>
    <w:link w:val="61"/>
    <w:qFormat/>
    <w:uiPriority w:val="0"/>
    <w:rPr>
      <w:b/>
      <w:bCs/>
      <w:spacing w:val="20"/>
      <w:kern w:val="2"/>
      <w:sz w:val="28"/>
      <w:szCs w:val="28"/>
    </w:rPr>
  </w:style>
  <w:style w:type="character" w:customStyle="1" w:styleId="289">
    <w:name w:val="正文文本缩进 Char"/>
    <w:link w:val="18"/>
    <w:qFormat/>
    <w:uiPriority w:val="0"/>
    <w:rPr>
      <w:rFonts w:ascii="仿宋_GB2312" w:eastAsia="仿宋_GB2312"/>
      <w:sz w:val="28"/>
      <w:lang w:val="en-US" w:eastAsia="zh-CN" w:bidi="ar-SA"/>
    </w:rPr>
  </w:style>
  <w:style w:type="character" w:customStyle="1" w:styleId="290">
    <w:name w:val="页眉 Char"/>
    <w:link w:val="29"/>
    <w:qFormat/>
    <w:uiPriority w:val="99"/>
    <w:rPr>
      <w:rFonts w:eastAsia="宋体"/>
      <w:kern w:val="2"/>
      <w:sz w:val="18"/>
      <w:lang w:val="en-US" w:eastAsia="zh-CN" w:bidi="ar-SA"/>
    </w:rPr>
  </w:style>
  <w:style w:type="character" w:customStyle="1" w:styleId="291">
    <w:name w:val="标题 Char"/>
    <w:link w:val="43"/>
    <w:qFormat/>
    <w:uiPriority w:val="0"/>
    <w:rPr>
      <w:rFonts w:ascii="Cambria" w:hAnsi="Cambria"/>
      <w:b/>
      <w:bCs/>
      <w:kern w:val="2"/>
      <w:sz w:val="32"/>
      <w:szCs w:val="32"/>
    </w:rPr>
  </w:style>
  <w:style w:type="character" w:customStyle="1" w:styleId="292">
    <w:name w:val="标题 8 Char Char"/>
    <w:qFormat/>
    <w:uiPriority w:val="0"/>
    <w:rPr>
      <w:rFonts w:ascii="Arial" w:hAnsi="Arial" w:eastAsia="黑体"/>
      <w:kern w:val="2"/>
      <w:sz w:val="24"/>
      <w:szCs w:val="24"/>
      <w:lang w:val="en-US" w:eastAsia="zh-CN" w:bidi="ar-SA"/>
    </w:rPr>
  </w:style>
  <w:style w:type="character" w:customStyle="1" w:styleId="293">
    <w:name w:val="正文文本缩进 2 Char Char"/>
    <w:qFormat/>
    <w:uiPriority w:val="0"/>
    <w:rPr>
      <w:rFonts w:eastAsia="仿宋_GB2312"/>
      <w:sz w:val="30"/>
      <w:lang w:bidi="ar-SA"/>
    </w:rPr>
  </w:style>
  <w:style w:type="character" w:customStyle="1" w:styleId="294">
    <w:name w:val="标题 7 Char Char"/>
    <w:qFormat/>
    <w:uiPriority w:val="0"/>
    <w:rPr>
      <w:rFonts w:eastAsia="宋体"/>
      <w:b/>
      <w:bCs/>
      <w:kern w:val="2"/>
      <w:sz w:val="24"/>
      <w:szCs w:val="24"/>
      <w:lang w:val="en-US" w:eastAsia="zh-CN" w:bidi="ar-SA"/>
    </w:rPr>
  </w:style>
  <w:style w:type="character" w:customStyle="1" w:styleId="295">
    <w:name w:val="HTML 地址 Char"/>
    <w:link w:val="20"/>
    <w:qFormat/>
    <w:uiPriority w:val="0"/>
    <w:rPr>
      <w:i/>
      <w:kern w:val="2"/>
      <w:sz w:val="21"/>
      <w:szCs w:val="24"/>
    </w:rPr>
  </w:style>
  <w:style w:type="character" w:customStyle="1" w:styleId="296">
    <w:name w:val="标题 1 Char"/>
    <w:link w:val="3"/>
    <w:qFormat/>
    <w:uiPriority w:val="0"/>
    <w:rPr>
      <w:rFonts w:ascii="黑体" w:eastAsia="黑体"/>
      <w:bCs/>
      <w:kern w:val="44"/>
      <w:sz w:val="24"/>
      <w:szCs w:val="24"/>
    </w:rPr>
  </w:style>
  <w:style w:type="character" w:customStyle="1" w:styleId="297">
    <w:name w:val="批注文字 Char"/>
    <w:link w:val="17"/>
    <w:qFormat/>
    <w:uiPriority w:val="0"/>
    <w:rPr>
      <w:kern w:val="2"/>
      <w:sz w:val="24"/>
      <w:szCs w:val="24"/>
    </w:rPr>
  </w:style>
  <w:style w:type="character" w:customStyle="1" w:styleId="298">
    <w:name w:val="页脚 Char"/>
    <w:link w:val="28"/>
    <w:qFormat/>
    <w:uiPriority w:val="0"/>
    <w:rPr>
      <w:rFonts w:eastAsia="宋体"/>
      <w:kern w:val="2"/>
      <w:sz w:val="18"/>
      <w:lang w:val="en-US" w:eastAsia="zh-CN" w:bidi="ar-SA"/>
    </w:rPr>
  </w:style>
  <w:style w:type="character" w:customStyle="1" w:styleId="299">
    <w:name w:val="正文首行缩进 Char"/>
    <w:link w:val="44"/>
    <w:qFormat/>
    <w:uiPriority w:val="0"/>
    <w:rPr>
      <w:rFonts w:ascii="Calibri" w:hAnsi="Calibri" w:eastAsia="宋体"/>
      <w:kern w:val="2"/>
      <w:sz w:val="21"/>
      <w:szCs w:val="22"/>
      <w:lang w:val="en-US" w:eastAsia="zh-CN" w:bidi="ar-SA"/>
    </w:rPr>
  </w:style>
  <w:style w:type="character" w:customStyle="1" w:styleId="300">
    <w:name w:val="纯文本 Char Char"/>
    <w:qFormat/>
    <w:uiPriority w:val="0"/>
    <w:rPr>
      <w:rFonts w:ascii="宋体" w:hAnsi="Courier New"/>
      <w:kern w:val="2"/>
      <w:sz w:val="21"/>
      <w:lang w:bidi="ar-SA"/>
    </w:rPr>
  </w:style>
  <w:style w:type="character" w:customStyle="1" w:styleId="301">
    <w:name w:val="HTML 预设格式 Char"/>
    <w:link w:val="40"/>
    <w:qFormat/>
    <w:uiPriority w:val="0"/>
    <w:rPr>
      <w:rFonts w:ascii="黑体" w:hAnsi="Courier New" w:eastAsia="黑体" w:cs="Courier New"/>
      <w:kern w:val="2"/>
      <w:sz w:val="21"/>
      <w:szCs w:val="24"/>
      <w:lang w:val="en-US" w:eastAsia="zh-CN" w:bidi="ar-SA"/>
    </w:rPr>
  </w:style>
  <w:style w:type="character" w:customStyle="1" w:styleId="302">
    <w:name w:val="标题 6 Char Char"/>
    <w:qFormat/>
    <w:uiPriority w:val="0"/>
    <w:rPr>
      <w:rFonts w:ascii="Arial" w:hAnsi="Arial" w:eastAsia="黑体"/>
      <w:b/>
      <w:bCs/>
      <w:kern w:val="2"/>
      <w:sz w:val="24"/>
      <w:szCs w:val="24"/>
      <w:lang w:val="en-US" w:eastAsia="zh-CN" w:bidi="ar-SA"/>
    </w:rPr>
  </w:style>
  <w:style w:type="character" w:customStyle="1" w:styleId="303">
    <w:name w:val="细目1 Char Char"/>
    <w:link w:val="63"/>
    <w:qFormat/>
    <w:uiPriority w:val="0"/>
    <w:rPr>
      <w:b/>
      <w:color w:val="215868"/>
      <w:kern w:val="2"/>
      <w:sz w:val="24"/>
      <w:szCs w:val="24"/>
    </w:rPr>
  </w:style>
  <w:style w:type="character" w:customStyle="1" w:styleId="304">
    <w:name w:val="Char Char9"/>
    <w:qFormat/>
    <w:uiPriority w:val="0"/>
    <w:rPr>
      <w:rFonts w:ascii="宋体" w:hAnsi="Courier New" w:eastAsia="宋体"/>
      <w:kern w:val="2"/>
      <w:sz w:val="21"/>
      <w:lang w:val="en-US" w:eastAsia="zh-CN" w:bidi="ar-SA"/>
    </w:rPr>
  </w:style>
  <w:style w:type="character" w:customStyle="1" w:styleId="305">
    <w:name w:val="apple-converted-space"/>
    <w:qFormat/>
    <w:uiPriority w:val="0"/>
    <w:rPr>
      <w:rFonts w:cs="Times New Roman"/>
    </w:rPr>
  </w:style>
  <w:style w:type="character" w:customStyle="1" w:styleId="306">
    <w:name w:val="标题 1 Char2"/>
    <w:qFormat/>
    <w:uiPriority w:val="0"/>
    <w:rPr>
      <w:rFonts w:ascii="黑体" w:eastAsia="黑体"/>
      <w:bCs/>
      <w:kern w:val="44"/>
      <w:sz w:val="24"/>
      <w:szCs w:val="24"/>
    </w:rPr>
  </w:style>
  <w:style w:type="character" w:customStyle="1" w:styleId="307">
    <w:name w:val="Font Style17"/>
    <w:qFormat/>
    <w:uiPriority w:val="0"/>
    <w:rPr>
      <w:rFonts w:ascii="黑体" w:eastAsia="黑体" w:cs="黑体"/>
      <w:sz w:val="28"/>
      <w:szCs w:val="28"/>
    </w:rPr>
  </w:style>
  <w:style w:type="character" w:customStyle="1" w:styleId="308">
    <w:name w:val="Placeholder Text"/>
    <w:basedOn w:val="47"/>
    <w:semiHidden/>
    <w:qFormat/>
    <w:uiPriority w:val="99"/>
    <w:rPr>
      <w:color w:val="808080"/>
    </w:rPr>
  </w:style>
  <w:style w:type="character" w:customStyle="1" w:styleId="309">
    <w:name w:val="正文缩进 Char3"/>
    <w:qFormat/>
    <w:uiPriority w:val="0"/>
    <w:rPr>
      <w:rFonts w:ascii="宋体" w:eastAsia="宋体"/>
      <w:sz w:val="34"/>
      <w:lang w:val="en-US" w:eastAsia="zh-CN" w:bidi="ar-SA"/>
    </w:rPr>
  </w:style>
  <w:style w:type="character" w:customStyle="1" w:styleId="31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41588</Words>
  <Characters>43007</Characters>
  <Lines>286</Lines>
  <Paragraphs>80</Paragraphs>
  <TotalTime>4</TotalTime>
  <ScaleCrop>false</ScaleCrop>
  <LinksUpToDate>false</LinksUpToDate>
  <CharactersWithSpaces>47990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2017-11-22T01:06:00Z</dcterms:created>
  <dc:creator>杨佳佳</dc:creator>
  <cp:lastModifiedBy>Administrator</cp:lastModifiedBy>
  <cp:lastPrinted>2022-11-18T03:52:00Z</cp:lastPrinted>
  <dcterms:modified xsi:type="dcterms:W3CDTF">2023-07-11T02:22:30Z</dcterms:modified>
  <dc:title>货物公开招标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E1F259155FE24C4E88299200782D48BA_13</vt:lpwstr>
  </property>
</Properties>
</file>